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A7F2" w14:textId="77777777" w:rsidR="0031264B" w:rsidRDefault="0031264B" w:rsidP="0020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0D03F" w14:textId="77777777" w:rsidR="00437AF1" w:rsidRDefault="00C03BD0" w:rsidP="001D62FD">
      <w:pPr>
        <w:jc w:val="center"/>
        <w:rPr>
          <w:rFonts w:cs="Times New Roman"/>
          <w:b/>
        </w:rPr>
      </w:pPr>
      <w:r w:rsidRPr="009E6010">
        <w:rPr>
          <w:rFonts w:cs="Times New Roman"/>
          <w:b/>
        </w:rPr>
        <w:t>SZCZEGÓŁOWY OPIS PRZEDMIOTU ZAMÓWIENIA</w:t>
      </w:r>
    </w:p>
    <w:p w14:paraId="6C3939B0" w14:textId="1928D672" w:rsidR="00A12642" w:rsidRDefault="00A12642" w:rsidP="001D62FD">
      <w:pPr>
        <w:jc w:val="center"/>
        <w:rPr>
          <w:rFonts w:cs="Times New Roman"/>
          <w:b/>
          <w:color w:val="C00000"/>
        </w:rPr>
      </w:pPr>
      <w:r w:rsidRPr="00FF2B4E">
        <w:rPr>
          <w:rFonts w:cs="Times New Roman"/>
          <w:b/>
          <w:color w:val="C00000"/>
        </w:rPr>
        <w:t>Modyfikacja z 4.10.2023 r.</w:t>
      </w:r>
    </w:p>
    <w:p w14:paraId="7C3BAA74" w14:textId="2D3BBC08" w:rsidR="00FF2B4E" w:rsidRPr="00FF2B4E" w:rsidRDefault="00FF2B4E" w:rsidP="001D62FD">
      <w:pPr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 xml:space="preserve">Zmian dokonano w pkt 6 </w:t>
      </w:r>
      <w:proofErr w:type="spellStart"/>
      <w:r>
        <w:rPr>
          <w:rFonts w:cs="Times New Roman"/>
          <w:b/>
          <w:color w:val="C00000"/>
        </w:rPr>
        <w:t>ppkt</w:t>
      </w:r>
      <w:proofErr w:type="spellEnd"/>
      <w:r>
        <w:rPr>
          <w:rFonts w:cs="Times New Roman"/>
          <w:b/>
          <w:color w:val="C00000"/>
        </w:rPr>
        <w:t xml:space="preserve"> 2</w:t>
      </w:r>
      <w:bookmarkStart w:id="0" w:name="_GoBack"/>
      <w:bookmarkEnd w:id="0"/>
    </w:p>
    <w:p w14:paraId="046B0844" w14:textId="77777777" w:rsidR="00A12642" w:rsidRPr="001D62FD" w:rsidRDefault="00A12642" w:rsidP="001D62FD">
      <w:pPr>
        <w:jc w:val="center"/>
        <w:rPr>
          <w:rFonts w:cs="Times New Roman"/>
          <w:b/>
        </w:rPr>
      </w:pPr>
    </w:p>
    <w:p w14:paraId="7EF1D8D9" w14:textId="77777777" w:rsidR="00E85E68" w:rsidRPr="009E6010" w:rsidRDefault="00E85E68" w:rsidP="00C07B90">
      <w:pPr>
        <w:jc w:val="center"/>
        <w:rPr>
          <w:rFonts w:cs="Times New Roman"/>
          <w:b/>
        </w:rPr>
      </w:pPr>
    </w:p>
    <w:p w14:paraId="1F19067A" w14:textId="77777777" w:rsidR="00E85E68" w:rsidRPr="009E6010" w:rsidRDefault="00E85E68" w:rsidP="00E85E68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</w:rPr>
      </w:pPr>
      <w:r w:rsidRPr="009E6010">
        <w:rPr>
          <w:rFonts w:cs="Times New Roman"/>
          <w:b/>
        </w:rPr>
        <w:t xml:space="preserve">NAZWA </w:t>
      </w:r>
      <w:r w:rsidR="00B504D7" w:rsidRPr="009E6010">
        <w:rPr>
          <w:rFonts w:cs="Times New Roman"/>
          <w:b/>
        </w:rPr>
        <w:t xml:space="preserve">I RODZAJ </w:t>
      </w:r>
      <w:r w:rsidRPr="009E6010">
        <w:rPr>
          <w:rFonts w:cs="Times New Roman"/>
          <w:b/>
        </w:rPr>
        <w:t>ZAMÓWIENIA</w:t>
      </w:r>
    </w:p>
    <w:p w14:paraId="1E1A43B9" w14:textId="339C4641" w:rsidR="008C1C9C" w:rsidRPr="009E6010" w:rsidRDefault="008C1C9C" w:rsidP="00FA758B">
      <w:pPr>
        <w:tabs>
          <w:tab w:val="left" w:pos="851"/>
        </w:tabs>
        <w:spacing w:after="0" w:line="240" w:lineRule="auto"/>
        <w:ind w:left="426"/>
        <w:jc w:val="both"/>
        <w:rPr>
          <w:rFonts w:cs="Times New Roman"/>
        </w:rPr>
      </w:pPr>
      <w:r w:rsidRPr="00AC50D5">
        <w:rPr>
          <w:rFonts w:cs="Times New Roman"/>
        </w:rPr>
        <w:t>Prz</w:t>
      </w:r>
      <w:r w:rsidR="00746AA3" w:rsidRPr="00AC50D5">
        <w:rPr>
          <w:rFonts w:cs="Times New Roman"/>
        </w:rPr>
        <w:t>edmiotem zamówienia jest zakup 50</w:t>
      </w:r>
      <w:r w:rsidRPr="00AC50D5">
        <w:rPr>
          <w:rFonts w:cs="Times New Roman"/>
        </w:rPr>
        <w:t xml:space="preserve"> szt.</w:t>
      </w:r>
      <w:r w:rsidR="00DE449D" w:rsidRPr="00AC50D5">
        <w:rPr>
          <w:rFonts w:cs="Times New Roman"/>
        </w:rPr>
        <w:t xml:space="preserve"> </w:t>
      </w:r>
      <w:r w:rsidR="00746AA3" w:rsidRPr="00AC50D5">
        <w:rPr>
          <w:rFonts w:cs="Times New Roman"/>
        </w:rPr>
        <w:t xml:space="preserve">pistoletów </w:t>
      </w:r>
      <w:r w:rsidR="00731842" w:rsidRPr="00AC50D5">
        <w:rPr>
          <w:rFonts w:cs="Times New Roman"/>
        </w:rPr>
        <w:t>samopowtarzalnych kaliber 9X19 mm</w:t>
      </w:r>
      <w:r w:rsidR="00AC50D5" w:rsidRPr="00AC50D5">
        <w:rPr>
          <w:rFonts w:cs="Times New Roman"/>
        </w:rPr>
        <w:t xml:space="preserve"> </w:t>
      </w:r>
      <w:r w:rsidRPr="00AC50D5">
        <w:rPr>
          <w:rFonts w:cs="Times New Roman"/>
        </w:rPr>
        <w:t xml:space="preserve">w </w:t>
      </w:r>
      <w:r w:rsidR="00AC50D5" w:rsidRPr="00AC50D5">
        <w:rPr>
          <w:rFonts w:cs="Times New Roman"/>
        </w:rPr>
        <w:t xml:space="preserve"> ramach zamówienia podstawowego oraz zakup 25 szt. pistoletów samopowtarzalnych kaliber 9X19 mm (w ramach prawa opcji-ilość maksymalna) dla Lubuskiego Urzędu Celno-Skarbowego w Gorzowie Wlkp.</w:t>
      </w:r>
      <w:r w:rsidR="00491B5F">
        <w:rPr>
          <w:rFonts w:cs="Times New Roman"/>
        </w:rPr>
        <w:t xml:space="preserve"> </w:t>
      </w:r>
    </w:p>
    <w:p w14:paraId="29E92715" w14:textId="77777777" w:rsidR="00B504D7" w:rsidRPr="009E6010" w:rsidRDefault="00B504D7" w:rsidP="00FA758B">
      <w:pPr>
        <w:spacing w:after="0" w:line="240" w:lineRule="auto"/>
        <w:jc w:val="both"/>
        <w:rPr>
          <w:rFonts w:cs="Times New Roman"/>
        </w:rPr>
      </w:pPr>
    </w:p>
    <w:p w14:paraId="708D1569" w14:textId="77777777" w:rsidR="002349ED" w:rsidRPr="00FA758B" w:rsidRDefault="00853ED8" w:rsidP="00FA758B">
      <w:pPr>
        <w:spacing w:after="0" w:line="240" w:lineRule="auto"/>
        <w:ind w:firstLine="426"/>
        <w:jc w:val="both"/>
        <w:rPr>
          <w:rFonts w:cs="Times New Roman"/>
          <w:b/>
        </w:rPr>
      </w:pPr>
      <w:r w:rsidRPr="00FA758B">
        <w:rPr>
          <w:rFonts w:cs="Times New Roman"/>
          <w:b/>
        </w:rPr>
        <w:t xml:space="preserve">Kody CPV </w:t>
      </w:r>
      <w:r w:rsidR="00746AA3" w:rsidRPr="00FA758B">
        <w:rPr>
          <w:rFonts w:cs="Times New Roman"/>
          <w:b/>
        </w:rPr>
        <w:t>:</w:t>
      </w:r>
      <w:r w:rsidR="00C856DF" w:rsidRPr="00FA758B">
        <w:rPr>
          <w:rFonts w:cs="Times New Roman"/>
          <w:b/>
        </w:rPr>
        <w:t>35321100-1</w:t>
      </w:r>
    </w:p>
    <w:p w14:paraId="694341E4" w14:textId="77777777" w:rsidR="00853ED8" w:rsidRPr="00FA758B" w:rsidRDefault="00853ED8" w:rsidP="00A263D0">
      <w:pPr>
        <w:spacing w:after="0" w:line="240" w:lineRule="auto"/>
        <w:jc w:val="both"/>
        <w:rPr>
          <w:rFonts w:cs="Times New Roman"/>
          <w:b/>
        </w:rPr>
      </w:pPr>
    </w:p>
    <w:p w14:paraId="5443A6E9" w14:textId="77777777" w:rsidR="00F2160F" w:rsidRPr="009E6010" w:rsidRDefault="00F2160F" w:rsidP="00F2160F">
      <w:pPr>
        <w:spacing w:after="0" w:line="240" w:lineRule="auto"/>
        <w:ind w:left="425"/>
        <w:jc w:val="both"/>
        <w:rPr>
          <w:rFonts w:cs="Times New Roman"/>
          <w:i/>
        </w:rPr>
      </w:pPr>
    </w:p>
    <w:p w14:paraId="426725BE" w14:textId="77777777" w:rsidR="006621FB" w:rsidRPr="00731842" w:rsidRDefault="00731842" w:rsidP="00731842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t>SZCZEGÓŁOWY OPIS</w:t>
      </w:r>
    </w:p>
    <w:p w14:paraId="0A1FAF7C" w14:textId="77777777"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14:paraId="7C9BEA21" w14:textId="1739B39B" w:rsidR="006621FB" w:rsidRPr="00FA758B" w:rsidRDefault="006621FB" w:rsidP="00FA758B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  <w:b/>
        </w:rPr>
      </w:pPr>
      <w:r w:rsidRPr="00FA758B">
        <w:rPr>
          <w:rFonts w:cs="Times New Roman"/>
          <w:b/>
        </w:rPr>
        <w:t>CEL PLANOWANEGO ZAMÓWIENIA :</w:t>
      </w:r>
    </w:p>
    <w:p w14:paraId="0471FC23" w14:textId="77777777" w:rsidR="000E0E49" w:rsidRPr="006621FB" w:rsidRDefault="000E0E49" w:rsidP="000E0E49">
      <w:pPr>
        <w:tabs>
          <w:tab w:val="left" w:pos="851"/>
        </w:tabs>
        <w:spacing w:after="0" w:line="240" w:lineRule="auto"/>
        <w:ind w:firstLine="426"/>
        <w:jc w:val="both"/>
        <w:rPr>
          <w:rFonts w:cs="Times New Roman"/>
        </w:rPr>
      </w:pPr>
    </w:p>
    <w:p w14:paraId="23E27FD7" w14:textId="4D633C3C" w:rsidR="00B8297B" w:rsidRDefault="00476C1B" w:rsidP="00B8297B">
      <w:pPr>
        <w:spacing w:after="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Z</w:t>
      </w:r>
      <w:r w:rsidR="008242F7">
        <w:rPr>
          <w:rFonts w:cs="Times New Roman"/>
        </w:rPr>
        <w:t xml:space="preserve">akup </w:t>
      </w:r>
      <w:r w:rsidR="00260572">
        <w:rPr>
          <w:rFonts w:cs="Times New Roman"/>
        </w:rPr>
        <w:t xml:space="preserve"> broni </w:t>
      </w:r>
      <w:r w:rsidR="00BD1F9F">
        <w:rPr>
          <w:rFonts w:cs="Times New Roman"/>
        </w:rPr>
        <w:t>, która</w:t>
      </w:r>
      <w:r w:rsidR="00B8297B">
        <w:rPr>
          <w:rFonts w:cs="Times New Roman"/>
        </w:rPr>
        <w:t xml:space="preserve"> będzie mogła być</w:t>
      </w:r>
      <w:r w:rsidR="00BD1F9F">
        <w:rPr>
          <w:rFonts w:cs="Times New Roman"/>
        </w:rPr>
        <w:t xml:space="preserve"> wykorzystywana w trakcie </w:t>
      </w:r>
      <w:r w:rsidR="00B8297B">
        <w:rPr>
          <w:rFonts w:cs="Times New Roman"/>
        </w:rPr>
        <w:t>obowiązków</w:t>
      </w:r>
    </w:p>
    <w:p w14:paraId="434F2CA1" w14:textId="77777777" w:rsidR="006621FB" w:rsidRDefault="00B8297B" w:rsidP="00B8297B">
      <w:pPr>
        <w:spacing w:after="0" w:line="240" w:lineRule="auto"/>
        <w:ind w:left="709"/>
        <w:jc w:val="both"/>
        <w:rPr>
          <w:rFonts w:cs="Times New Roman"/>
          <w:i/>
        </w:rPr>
      </w:pPr>
      <w:r>
        <w:rPr>
          <w:rFonts w:cs="Times New Roman"/>
        </w:rPr>
        <w:t>Służbowych przez</w:t>
      </w:r>
      <w:r w:rsidR="00BD1F9F" w:rsidRPr="00BD1F9F">
        <w:rPr>
          <w:rFonts w:cs="Times New Roman"/>
        </w:rPr>
        <w:t xml:space="preserve"> </w:t>
      </w:r>
      <w:r>
        <w:rPr>
          <w:rFonts w:cs="Times New Roman"/>
        </w:rPr>
        <w:t>funkcjonariuszy Lubuskiego Urzędu Celno-Skarbowego w Gorzowie Wlkp. w przypadkach określonych w art.45</w:t>
      </w:r>
      <w:r w:rsidR="00BD1F9F" w:rsidRPr="00BD1F9F">
        <w:rPr>
          <w:rFonts w:cs="Times New Roman"/>
        </w:rPr>
        <w:t xml:space="preserve"> </w:t>
      </w:r>
      <w:r>
        <w:rPr>
          <w:rFonts w:cs="Times New Roman"/>
        </w:rPr>
        <w:t>USTAWY z dnia 24 maja 2013r.</w:t>
      </w:r>
      <w:r w:rsidR="00D01866">
        <w:rPr>
          <w:rFonts w:cs="Times New Roman"/>
        </w:rPr>
        <w:t xml:space="preserve"> „</w:t>
      </w:r>
      <w:r w:rsidR="00D01866" w:rsidRPr="00D01866">
        <w:rPr>
          <w:rFonts w:cs="Times New Roman"/>
          <w:i/>
        </w:rPr>
        <w:t>O</w:t>
      </w:r>
      <w:r w:rsidRPr="00D01866">
        <w:rPr>
          <w:rFonts w:cs="Times New Roman"/>
          <w:i/>
        </w:rPr>
        <w:t xml:space="preserve"> środkach przymusu bezpośredniego i broni palnej</w:t>
      </w:r>
      <w:r w:rsidR="00D01866" w:rsidRPr="00D01866">
        <w:rPr>
          <w:rFonts w:cs="Times New Roman"/>
          <w:i/>
        </w:rPr>
        <w:t>”</w:t>
      </w:r>
      <w:r w:rsidRPr="00D01866">
        <w:rPr>
          <w:rFonts w:cs="Times New Roman"/>
          <w:i/>
        </w:rPr>
        <w:t>.</w:t>
      </w:r>
    </w:p>
    <w:p w14:paraId="4F6FE7F1" w14:textId="77777777" w:rsidR="009847DF" w:rsidRDefault="009847DF" w:rsidP="009847DF">
      <w:pPr>
        <w:spacing w:after="0" w:line="240" w:lineRule="auto"/>
        <w:jc w:val="both"/>
        <w:rPr>
          <w:rFonts w:cs="Times New Roman"/>
        </w:rPr>
      </w:pPr>
    </w:p>
    <w:p w14:paraId="1321DF05" w14:textId="0B7B2033" w:rsidR="009847DF" w:rsidRPr="00FA758B" w:rsidRDefault="009847DF" w:rsidP="00FA758B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  <w:b/>
        </w:rPr>
      </w:pPr>
      <w:r w:rsidRPr="00FA758B">
        <w:rPr>
          <w:rFonts w:cs="Times New Roman"/>
          <w:b/>
        </w:rPr>
        <w:t>KONSTRUKCJA I WYMAGANE PARAMETRY TECHNICZNE:</w:t>
      </w:r>
    </w:p>
    <w:p w14:paraId="7367C711" w14:textId="77777777" w:rsidR="00FA758B" w:rsidRPr="00FA758B" w:rsidRDefault="00C856DF" w:rsidP="00FA758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 xml:space="preserve">Zasilanie - nabojem 9x19 Luger z magazynka dwurzędowego o pojemności przynajmniej </w:t>
      </w:r>
      <w:r w:rsidR="00FA758B" w:rsidRPr="00FA758B">
        <w:rPr>
          <w:rFonts w:cs="Times New Roman"/>
        </w:rPr>
        <w:t xml:space="preserve"> </w:t>
      </w:r>
      <w:r w:rsidRPr="00FA758B">
        <w:rPr>
          <w:rFonts w:cs="Times New Roman"/>
        </w:rPr>
        <w:t>15 szt.</w:t>
      </w:r>
    </w:p>
    <w:p w14:paraId="02DCD891" w14:textId="77777777" w:rsidR="00FA758B" w:rsidRDefault="009847DF" w:rsidP="00FA758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Zasada działania – krótki odrzut lufy.</w:t>
      </w:r>
    </w:p>
    <w:p w14:paraId="30713C13" w14:textId="77777777" w:rsidR="00FA758B" w:rsidRDefault="009847DF" w:rsidP="00FA758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 xml:space="preserve"> </w:t>
      </w:r>
      <w:r w:rsidR="00DA4A6F" w:rsidRPr="00FA758B">
        <w:rPr>
          <w:rFonts w:cs="Times New Roman"/>
        </w:rPr>
        <w:t xml:space="preserve"> </w:t>
      </w:r>
      <w:r w:rsidRPr="00FA758B">
        <w:rPr>
          <w:rFonts w:cs="Times New Roman"/>
        </w:rPr>
        <w:t>Zamek ryglowany  przez przekoszenie lufy w płaszczyźnie pionowej.</w:t>
      </w:r>
    </w:p>
    <w:p w14:paraId="479AC825" w14:textId="77777777" w:rsidR="00FA758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 xml:space="preserve">Mechanizm spustowy typu </w:t>
      </w:r>
      <w:proofErr w:type="spellStart"/>
      <w:r w:rsidRPr="00FA758B">
        <w:rPr>
          <w:rFonts w:cs="Times New Roman"/>
        </w:rPr>
        <w:t>bijnikowego</w:t>
      </w:r>
      <w:proofErr w:type="spellEnd"/>
      <w:r w:rsidRPr="00FA758B">
        <w:rPr>
          <w:rFonts w:cs="Times New Roman"/>
        </w:rPr>
        <w:t xml:space="preserve"> (bezkurkowy)</w:t>
      </w:r>
      <w:r w:rsidR="007923A8" w:rsidRPr="00FA758B">
        <w:rPr>
          <w:rFonts w:cs="Times New Roman"/>
        </w:rPr>
        <w:t xml:space="preserve"> z </w:t>
      </w:r>
      <w:r w:rsidR="00C0489D" w:rsidRPr="00FA758B">
        <w:rPr>
          <w:rFonts w:cs="Times New Roman"/>
        </w:rPr>
        <w:t xml:space="preserve">wyłącznym </w:t>
      </w:r>
      <w:r w:rsidR="007923A8" w:rsidRPr="00FA758B">
        <w:rPr>
          <w:rFonts w:cs="Times New Roman"/>
        </w:rPr>
        <w:t xml:space="preserve">częściowym         </w:t>
      </w:r>
      <w:r w:rsidR="00C856DF" w:rsidRPr="00FA758B">
        <w:rPr>
          <w:rFonts w:cs="Times New Roman"/>
        </w:rPr>
        <w:t xml:space="preserve">   </w:t>
      </w:r>
      <w:r w:rsidR="00FA758B">
        <w:rPr>
          <w:rFonts w:cs="Times New Roman"/>
        </w:rPr>
        <w:t xml:space="preserve"> </w:t>
      </w:r>
      <w:proofErr w:type="spellStart"/>
      <w:r w:rsidR="007923A8" w:rsidRPr="00FA758B">
        <w:rPr>
          <w:rFonts w:cs="Times New Roman"/>
        </w:rPr>
        <w:t>samonapinaniem</w:t>
      </w:r>
      <w:proofErr w:type="spellEnd"/>
      <w:r w:rsidR="007923A8" w:rsidRPr="00FA758B">
        <w:rPr>
          <w:rFonts w:cs="Times New Roman"/>
        </w:rPr>
        <w:t xml:space="preserve"> iglicy</w:t>
      </w:r>
      <w:r w:rsidR="00C856DF" w:rsidRPr="00FA758B">
        <w:rPr>
          <w:rFonts w:cs="Times New Roman"/>
        </w:rPr>
        <w:t xml:space="preserve"> (DA) </w:t>
      </w:r>
      <w:r w:rsidR="007923A8" w:rsidRPr="00FA758B">
        <w:rPr>
          <w:rFonts w:cs="Times New Roman"/>
        </w:rPr>
        <w:t>. Zamawiający nie dopuszcza pi</w:t>
      </w:r>
      <w:r w:rsidR="00C856DF" w:rsidRPr="00FA758B">
        <w:rPr>
          <w:rFonts w:cs="Times New Roman"/>
        </w:rPr>
        <w:t xml:space="preserve">stoletów z systemem </w:t>
      </w:r>
      <w:r w:rsidR="00FA758B">
        <w:rPr>
          <w:rFonts w:cs="Times New Roman"/>
        </w:rPr>
        <w:t xml:space="preserve"> </w:t>
      </w:r>
      <w:r w:rsidR="00C856DF" w:rsidRPr="00FA758B">
        <w:rPr>
          <w:rFonts w:cs="Times New Roman"/>
        </w:rPr>
        <w:t xml:space="preserve"> spustowym, </w:t>
      </w:r>
      <w:r w:rsidR="007923A8" w:rsidRPr="00FA758B">
        <w:rPr>
          <w:rFonts w:cs="Times New Roman"/>
        </w:rPr>
        <w:t xml:space="preserve">w którym użytkownik może zmieniać siłę nacisku na spust potrzebną do zwolnienia </w:t>
      </w:r>
      <w:r w:rsidR="003B5A18" w:rsidRPr="00FA758B">
        <w:rPr>
          <w:rFonts w:cs="Times New Roman"/>
        </w:rPr>
        <w:t>i</w:t>
      </w:r>
      <w:r w:rsidR="00C856DF" w:rsidRPr="00FA758B">
        <w:rPr>
          <w:rFonts w:cs="Times New Roman"/>
        </w:rPr>
        <w:t>glicy</w:t>
      </w:r>
      <w:r w:rsidR="003B5A18" w:rsidRPr="00FA758B">
        <w:rPr>
          <w:rFonts w:cs="Times New Roman"/>
        </w:rPr>
        <w:t xml:space="preserve"> </w:t>
      </w:r>
      <w:r w:rsidR="007923A8" w:rsidRPr="00FA758B">
        <w:rPr>
          <w:rFonts w:cs="Times New Roman"/>
        </w:rPr>
        <w:t xml:space="preserve">np. przez użycie </w:t>
      </w:r>
      <w:proofErr w:type="spellStart"/>
      <w:r w:rsidR="007923A8" w:rsidRPr="00FA758B">
        <w:rPr>
          <w:rFonts w:cs="Times New Roman"/>
          <w:color w:val="000000" w:themeColor="text1"/>
        </w:rPr>
        <w:t>decocera</w:t>
      </w:r>
      <w:proofErr w:type="spellEnd"/>
      <w:r w:rsidR="007923A8" w:rsidRPr="00FA758B">
        <w:rPr>
          <w:rFonts w:cs="Times New Roman"/>
          <w:color w:val="000000" w:themeColor="text1"/>
        </w:rPr>
        <w:t xml:space="preserve"> </w:t>
      </w:r>
      <w:r w:rsidR="007923A8" w:rsidRPr="00FA758B">
        <w:rPr>
          <w:rFonts w:cs="Times New Roman"/>
        </w:rPr>
        <w:t xml:space="preserve">lub inne zwolnienie napiętej iglicy </w:t>
      </w:r>
      <w:r w:rsidR="00C856DF" w:rsidRPr="00FA758B">
        <w:rPr>
          <w:rFonts w:cs="Times New Roman"/>
        </w:rPr>
        <w:t xml:space="preserve"> </w:t>
      </w:r>
      <w:r w:rsidR="007923A8" w:rsidRPr="00FA758B">
        <w:rPr>
          <w:rFonts w:cs="Times New Roman"/>
        </w:rPr>
        <w:t>(niepożądana przez Zamawiającego doda</w:t>
      </w:r>
      <w:r w:rsidR="00FA758B">
        <w:rPr>
          <w:rFonts w:cs="Times New Roman"/>
        </w:rPr>
        <w:t>tkowa złożoność obsługi broni).</w:t>
      </w:r>
    </w:p>
    <w:p w14:paraId="71E3C8EB" w14:textId="77777777" w:rsidR="00FA758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Szkielet broni – wykonany z wysokowytrzymałego polimeru o</w:t>
      </w:r>
      <w:r w:rsidR="00DA4A6F" w:rsidRPr="00FA758B">
        <w:rPr>
          <w:rFonts w:cs="Times New Roman"/>
        </w:rPr>
        <w:t xml:space="preserve">dpornego na działanie  czynników </w:t>
      </w:r>
      <w:r w:rsidRPr="00FA758B">
        <w:rPr>
          <w:rFonts w:cs="Times New Roman"/>
        </w:rPr>
        <w:t xml:space="preserve">środowiskowych, fabrycznie przystosowany do mocowania modułu </w:t>
      </w:r>
      <w:r w:rsidR="00DA4A6F" w:rsidRPr="00FA758B">
        <w:rPr>
          <w:rFonts w:cs="Times New Roman"/>
        </w:rPr>
        <w:t xml:space="preserve"> </w:t>
      </w:r>
      <w:r w:rsidRPr="00FA758B">
        <w:rPr>
          <w:rFonts w:cs="Times New Roman"/>
        </w:rPr>
        <w:t>oświetlenia taktycz</w:t>
      </w:r>
      <w:r w:rsidR="00301AE1" w:rsidRPr="00FA758B">
        <w:rPr>
          <w:rFonts w:cs="Times New Roman"/>
        </w:rPr>
        <w:t>nego, laserowego wskaźnika celu.</w:t>
      </w:r>
    </w:p>
    <w:p w14:paraId="5E0FC584" w14:textId="77777777" w:rsidR="00FA758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Masa broni bez</w:t>
      </w:r>
      <w:r w:rsidR="00C85D2D" w:rsidRPr="00FA758B">
        <w:rPr>
          <w:rFonts w:cs="Times New Roman"/>
        </w:rPr>
        <w:t xml:space="preserve"> magazynka – nie większa niż 73</w:t>
      </w:r>
      <w:r w:rsidR="006D2431" w:rsidRPr="00FA758B">
        <w:rPr>
          <w:rFonts w:cs="Times New Roman"/>
        </w:rPr>
        <w:t>0</w:t>
      </w:r>
      <w:r w:rsidRPr="00FA758B">
        <w:rPr>
          <w:rFonts w:cs="Times New Roman"/>
        </w:rPr>
        <w:t xml:space="preserve"> g.</w:t>
      </w:r>
    </w:p>
    <w:p w14:paraId="3F4F14A9" w14:textId="77777777" w:rsidR="00FA758B" w:rsidRDefault="006D2431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Długość lufy – 100</w:t>
      </w:r>
      <w:r w:rsidR="009847DF" w:rsidRPr="00FA758B">
        <w:rPr>
          <w:rFonts w:cs="Times New Roman"/>
        </w:rPr>
        <w:t xml:space="preserve"> - 115 mm.</w:t>
      </w:r>
    </w:p>
    <w:p w14:paraId="16C27408" w14:textId="77777777" w:rsidR="00FA758B" w:rsidRDefault="0039727D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Długość całkowita –  184</w:t>
      </w:r>
      <w:r w:rsidR="00301AE1" w:rsidRPr="00FA758B">
        <w:rPr>
          <w:rFonts w:cs="Times New Roman"/>
        </w:rPr>
        <w:t xml:space="preserve"> - 195</w:t>
      </w:r>
      <w:r w:rsidR="009847DF" w:rsidRPr="00FA758B">
        <w:rPr>
          <w:rFonts w:cs="Times New Roman"/>
        </w:rPr>
        <w:t xml:space="preserve"> mm.</w:t>
      </w:r>
    </w:p>
    <w:p w14:paraId="445AFBF1" w14:textId="77777777" w:rsidR="00FA758B" w:rsidRDefault="00301AE1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Wys</w:t>
      </w:r>
      <w:r w:rsidR="0039727D" w:rsidRPr="00FA758B">
        <w:rPr>
          <w:rFonts w:cs="Times New Roman"/>
        </w:rPr>
        <w:t>okość bez magazynka –  120 - 131</w:t>
      </w:r>
      <w:r w:rsidR="009847DF" w:rsidRPr="00FA758B">
        <w:rPr>
          <w:rFonts w:cs="Times New Roman"/>
        </w:rPr>
        <w:t xml:space="preserve"> mm.</w:t>
      </w:r>
    </w:p>
    <w:p w14:paraId="190A024A" w14:textId="77777777" w:rsidR="00FA758B" w:rsidRDefault="00D02C0A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Szerokość całkowita –  30</w:t>
      </w:r>
      <w:r w:rsidR="00301AE1" w:rsidRPr="00FA758B">
        <w:rPr>
          <w:rFonts w:cs="Times New Roman"/>
        </w:rPr>
        <w:t xml:space="preserve"> - 34</w:t>
      </w:r>
      <w:r w:rsidR="009847DF" w:rsidRPr="00FA758B">
        <w:rPr>
          <w:rFonts w:cs="Times New Roman"/>
        </w:rPr>
        <w:t xml:space="preserve"> mm.</w:t>
      </w:r>
    </w:p>
    <w:p w14:paraId="51B63C4E" w14:textId="77777777" w:rsidR="00FA758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lastRenderedPageBreak/>
        <w:t>Przyrządy celownicze – stałe, otwarte, metalowe</w:t>
      </w:r>
      <w:r w:rsidR="00C0489D" w:rsidRPr="00FA758B">
        <w:rPr>
          <w:rFonts w:cs="Times New Roman"/>
        </w:rPr>
        <w:t xml:space="preserve"> </w:t>
      </w:r>
      <w:r w:rsidR="00C0489D" w:rsidRPr="00FA758B">
        <w:rPr>
          <w:rFonts w:cs="Times New Roman"/>
          <w:color w:val="000000" w:themeColor="text1"/>
        </w:rPr>
        <w:t>albo polimerowe</w:t>
      </w:r>
      <w:r w:rsidR="00C0489D" w:rsidRPr="00FA758B">
        <w:rPr>
          <w:rFonts w:cs="Times New Roman"/>
        </w:rPr>
        <w:t>,</w:t>
      </w:r>
      <w:r w:rsidRPr="00FA758B">
        <w:rPr>
          <w:rFonts w:cs="Times New Roman"/>
        </w:rPr>
        <w:t xml:space="preserve">, w kolorze broni ze znacznikami </w:t>
      </w:r>
      <w:r w:rsidR="00FA758B">
        <w:rPr>
          <w:rFonts w:cs="Times New Roman"/>
        </w:rPr>
        <w:t xml:space="preserve"> </w:t>
      </w:r>
      <w:r w:rsidR="00DA4A6F" w:rsidRPr="00FA758B">
        <w:rPr>
          <w:rFonts w:cs="Times New Roman"/>
        </w:rPr>
        <w:t xml:space="preserve">ułatwiającymi </w:t>
      </w:r>
      <w:r w:rsidR="00301AE1" w:rsidRPr="00FA758B">
        <w:rPr>
          <w:rFonts w:cs="Times New Roman"/>
        </w:rPr>
        <w:t>celowanie FLUORESCENCYJNE.</w:t>
      </w:r>
      <w:r w:rsidRPr="00FA758B">
        <w:rPr>
          <w:rFonts w:cs="Times New Roman"/>
        </w:rPr>
        <w:t xml:space="preserve"> </w:t>
      </w:r>
    </w:p>
    <w:p w14:paraId="6D73817A" w14:textId="77777777" w:rsidR="00FA758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Żywotność istotnych części broni (lufa, zamek, szkielet) – minimum 30 tysięcy strzałów bez pogorszenia parametrów broni</w:t>
      </w:r>
      <w:r w:rsidR="00301AE1" w:rsidRPr="00FA758B">
        <w:rPr>
          <w:rFonts w:cs="Times New Roman"/>
        </w:rPr>
        <w:t xml:space="preserve"> (skupienie przestrzelin</w:t>
      </w:r>
      <w:r w:rsidR="00FA758B">
        <w:rPr>
          <w:rFonts w:cs="Times New Roman"/>
        </w:rPr>
        <w:t xml:space="preserve"> na dystansie 25 metrów nie </w:t>
      </w:r>
      <w:r w:rsidR="00301AE1" w:rsidRPr="00FA758B">
        <w:rPr>
          <w:rFonts w:cs="Times New Roman"/>
        </w:rPr>
        <w:t>większa niż 80 mm</w:t>
      </w:r>
      <w:r w:rsidRPr="00FA758B">
        <w:rPr>
          <w:rFonts w:cs="Times New Roman"/>
        </w:rPr>
        <w:t>.</w:t>
      </w:r>
    </w:p>
    <w:p w14:paraId="4B60EEA6" w14:textId="77777777" w:rsidR="00FA758B" w:rsidRDefault="00DA49DC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 xml:space="preserve">  Ilość DYSFUNKCJI z winy broni nie większa niż 3 na 1000 strzałów – BEZAWARYJNOŚĆ.</w:t>
      </w:r>
    </w:p>
    <w:p w14:paraId="7AB06AFB" w14:textId="77777777" w:rsidR="00FA758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Powłoki ochronne – wszystkie elementy metalowe i niemetalowe muszą być trwale zabezpieczone przed działaniem czynników zewnętrznych, w szczególności warunków atmosferycznych, potu czy soli.</w:t>
      </w:r>
    </w:p>
    <w:p w14:paraId="0B2F6078" w14:textId="68D2171A" w:rsidR="006621FB" w:rsidRDefault="009847DF" w:rsidP="000E0E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Znakowanie – Każdy egzemplarz broni musi posiadać indywidu</w:t>
      </w:r>
      <w:r w:rsidR="00DA4A6F" w:rsidRPr="00FA758B">
        <w:rPr>
          <w:rFonts w:cs="Times New Roman"/>
        </w:rPr>
        <w:t xml:space="preserve">alny trwale naniesiony numer </w:t>
      </w:r>
      <w:r w:rsidR="003F30F2" w:rsidRPr="00FA758B">
        <w:rPr>
          <w:rFonts w:cs="Times New Roman"/>
        </w:rPr>
        <w:t xml:space="preserve">przez producenta </w:t>
      </w:r>
      <w:r w:rsidR="00DA4A6F" w:rsidRPr="00FA758B">
        <w:rPr>
          <w:rFonts w:cs="Times New Roman"/>
        </w:rPr>
        <w:t xml:space="preserve">na </w:t>
      </w:r>
      <w:r w:rsidRPr="00FA758B">
        <w:rPr>
          <w:rFonts w:cs="Times New Roman"/>
        </w:rPr>
        <w:t>każdej istotnej części broni.</w:t>
      </w:r>
    </w:p>
    <w:p w14:paraId="143F935E" w14:textId="77777777" w:rsidR="00FA758B" w:rsidRPr="00FA758B" w:rsidRDefault="00FA758B" w:rsidP="00FA758B">
      <w:pPr>
        <w:pStyle w:val="Akapitzlist"/>
        <w:spacing w:after="0" w:line="276" w:lineRule="auto"/>
        <w:jc w:val="both"/>
        <w:rPr>
          <w:rFonts w:cs="Times New Roman"/>
        </w:rPr>
      </w:pPr>
    </w:p>
    <w:p w14:paraId="3394A1A7" w14:textId="1B011998" w:rsidR="00023E71" w:rsidRPr="00023E71" w:rsidRDefault="00647079" w:rsidP="00FA758B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A758B" w:rsidRPr="00FA758B">
        <w:rPr>
          <w:rFonts w:cs="Times New Roman"/>
          <w:b/>
        </w:rPr>
        <w:t>BEZPIECZEŃSTWO UŻYTKOWANIA BRONI:</w:t>
      </w:r>
    </w:p>
    <w:p w14:paraId="680A5723" w14:textId="77777777" w:rsidR="00023E71" w:rsidRDefault="00023E71" w:rsidP="00FA758B">
      <w:pPr>
        <w:pStyle w:val="Akapitzlist"/>
        <w:spacing w:after="0" w:line="276" w:lineRule="auto"/>
        <w:jc w:val="both"/>
        <w:rPr>
          <w:rFonts w:cs="Times New Roman"/>
        </w:rPr>
      </w:pPr>
      <w:r w:rsidRPr="00023E71">
        <w:rPr>
          <w:rFonts w:cs="Times New Roman"/>
        </w:rPr>
        <w:t>Bezpieczniki – broń musi posiadać co najmniej jedno zabezpieczenie wewnętrzne w postaci blokady iglicy, chroniącej przed inicjacją strzału w wyniku upadku przeła</w:t>
      </w:r>
      <w:r w:rsidR="00D02C0A">
        <w:rPr>
          <w:rFonts w:cs="Times New Roman"/>
        </w:rPr>
        <w:t>dowanej broni na twarde podłoże, oraz przynajmniej jeden bezpiecznik wewnętrzny w postaci dodatkowego zabezpieczenia języka spustowego.</w:t>
      </w:r>
    </w:p>
    <w:p w14:paraId="071D39AC" w14:textId="77777777" w:rsidR="00FA758B" w:rsidRPr="00FA758B" w:rsidRDefault="00FA758B" w:rsidP="00FA758B">
      <w:pPr>
        <w:pStyle w:val="Akapitzlist"/>
        <w:spacing w:after="0" w:line="276" w:lineRule="auto"/>
        <w:jc w:val="both"/>
        <w:rPr>
          <w:rFonts w:cs="Times New Roman"/>
          <w:b/>
        </w:rPr>
      </w:pPr>
    </w:p>
    <w:p w14:paraId="6FBDC0E3" w14:textId="007AF6F4" w:rsidR="00023E71" w:rsidRPr="00FA758B" w:rsidRDefault="00FA758B" w:rsidP="00FA758B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  <w:b/>
        </w:rPr>
      </w:pPr>
      <w:r w:rsidRPr="00FA758B">
        <w:rPr>
          <w:rFonts w:cs="Times New Roman"/>
          <w:b/>
        </w:rPr>
        <w:t>WYMAGANIA W ZAKRESIE ERGONOMII I FUNKCJONALNOŚCI:</w:t>
      </w:r>
    </w:p>
    <w:p w14:paraId="6BF29551" w14:textId="77777777" w:rsidR="00FA758B" w:rsidRDefault="00E6538A" w:rsidP="00FA75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E6538A">
        <w:rPr>
          <w:rFonts w:cs="Times New Roman"/>
        </w:rPr>
        <w:t>Chwyt – broń musi posiadać możliwość indywidualnego dopasow</w:t>
      </w:r>
      <w:r w:rsidR="00301AE1">
        <w:rPr>
          <w:rFonts w:cs="Times New Roman"/>
        </w:rPr>
        <w:t>ania chwytu do ręki użytkownika.</w:t>
      </w:r>
    </w:p>
    <w:p w14:paraId="4292AA37" w14:textId="77777777" w:rsidR="00FA758B" w:rsidRDefault="00023E71" w:rsidP="00FA75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Broń musi być przystosowana do  obsługi przez strzelców lewo i praworęcznych (dwustronne manipulatory).</w:t>
      </w:r>
    </w:p>
    <w:p w14:paraId="2A427178" w14:textId="0F98D0FB" w:rsidR="00023E71" w:rsidRDefault="00023E71" w:rsidP="00FA75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FA758B">
        <w:rPr>
          <w:rFonts w:cs="Times New Roman"/>
        </w:rPr>
        <w:t>Zatrzask magazynka i zwalniacz zamka muszą być łatwo dostępne dla użytkownika o dłoniach przeciętnej wielkości.</w:t>
      </w:r>
    </w:p>
    <w:p w14:paraId="145C3337" w14:textId="77777777" w:rsidR="008242F7" w:rsidRPr="00FA758B" w:rsidRDefault="008242F7" w:rsidP="008242F7">
      <w:pPr>
        <w:pStyle w:val="Akapitzlist"/>
        <w:spacing w:after="0" w:line="276" w:lineRule="auto"/>
        <w:jc w:val="both"/>
        <w:rPr>
          <w:rFonts w:cs="Times New Roman"/>
        </w:rPr>
      </w:pPr>
    </w:p>
    <w:p w14:paraId="5207C74F" w14:textId="7B769257" w:rsidR="00023E71" w:rsidRPr="008242F7" w:rsidRDefault="008242F7" w:rsidP="008242F7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  <w:b/>
        </w:rPr>
      </w:pPr>
      <w:r w:rsidRPr="008242F7">
        <w:rPr>
          <w:rFonts w:cs="Times New Roman"/>
          <w:b/>
        </w:rPr>
        <w:t>WYMAGANIA DOTYCZĄCE JAKOŚCI WYROBU:</w:t>
      </w:r>
    </w:p>
    <w:p w14:paraId="6D7C05D6" w14:textId="77777777" w:rsidR="008242F7" w:rsidRDefault="00023E71" w:rsidP="008242F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023E71">
        <w:rPr>
          <w:rFonts w:cs="Times New Roman"/>
        </w:rPr>
        <w:t>Wyrób musi mieć estetyczny wygląd, wysoką jakość i być starannie wykonany.</w:t>
      </w:r>
    </w:p>
    <w:p w14:paraId="4C126504" w14:textId="77777777" w:rsidR="008242F7" w:rsidRPr="008242F7" w:rsidRDefault="00301AE1" w:rsidP="008242F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  <w:color w:val="000000" w:themeColor="text1"/>
        </w:rPr>
        <w:t>Wyprodukowany nie wcześniej niż w 2022</w:t>
      </w:r>
      <w:r w:rsidR="003F30F2" w:rsidRPr="008242F7">
        <w:rPr>
          <w:rFonts w:cs="Times New Roman"/>
          <w:color w:val="000000" w:themeColor="text1"/>
        </w:rPr>
        <w:t>r.</w:t>
      </w:r>
    </w:p>
    <w:p w14:paraId="22D83068" w14:textId="77777777" w:rsidR="008242F7" w:rsidRDefault="00023E71" w:rsidP="008242F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Musi być w  kolorze ciemnym (czarny, grafitowy).</w:t>
      </w:r>
    </w:p>
    <w:p w14:paraId="48DDB8C2" w14:textId="77777777" w:rsidR="008242F7" w:rsidRDefault="00023E71" w:rsidP="008242F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Niedopuszczalne są rozwarstwienia, przetarcia, odbarwienia i deformacje.</w:t>
      </w:r>
    </w:p>
    <w:p w14:paraId="4EC97DA2" w14:textId="7D05B69A" w:rsidR="00023E71" w:rsidRPr="008242F7" w:rsidRDefault="00023E71" w:rsidP="008242F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Dopuszcza się wyłącznie wyroby w pierwszej klasie jakości.</w:t>
      </w:r>
    </w:p>
    <w:p w14:paraId="22E59D2D" w14:textId="77777777" w:rsidR="00260572" w:rsidRPr="00B0594C" w:rsidRDefault="00260572" w:rsidP="000E0E49">
      <w:pPr>
        <w:tabs>
          <w:tab w:val="left" w:pos="1276"/>
        </w:tabs>
        <w:spacing w:after="0" w:line="276" w:lineRule="auto"/>
        <w:jc w:val="both"/>
        <w:rPr>
          <w:rFonts w:cs="Times New Roman"/>
        </w:rPr>
      </w:pPr>
    </w:p>
    <w:p w14:paraId="5DCB7B59" w14:textId="4F393804" w:rsidR="00260572" w:rsidRPr="008242F7" w:rsidRDefault="008242F7" w:rsidP="008242F7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  <w:b/>
        </w:rPr>
      </w:pPr>
      <w:r w:rsidRPr="008242F7">
        <w:rPr>
          <w:rFonts w:cs="Times New Roman"/>
          <w:b/>
        </w:rPr>
        <w:t>UKOMPLETOWANIE DEDYKOWANE DO OFEROWANEJ BRONI:</w:t>
      </w:r>
    </w:p>
    <w:p w14:paraId="50C90C15" w14:textId="77777777" w:rsidR="008242F7" w:rsidRDefault="00260572" w:rsidP="008242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 w:rsidRPr="00E20CA9">
        <w:rPr>
          <w:rFonts w:cs="Times New Roman"/>
        </w:rPr>
        <w:t>Walizka do bezpiecznego przechowywania i transportu broni.</w:t>
      </w:r>
    </w:p>
    <w:p w14:paraId="4375B6E5" w14:textId="423F43C9" w:rsidR="008242F7" w:rsidRPr="00A12642" w:rsidRDefault="004D5AC6" w:rsidP="00A1264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" w:eastAsia="Lato" w:hAnsi="Calibri" w:cs="Lato"/>
          <w:color w:val="C00000"/>
          <w:sz w:val="24"/>
        </w:rPr>
      </w:pPr>
      <w:r w:rsidRPr="008242F7">
        <w:rPr>
          <w:rFonts w:cs="Times New Roman"/>
        </w:rPr>
        <w:t>Kabura dedykowana do broni</w:t>
      </w:r>
      <w:r w:rsidR="00941967" w:rsidRPr="008242F7">
        <w:rPr>
          <w:rFonts w:cs="Times New Roman"/>
        </w:rPr>
        <w:t xml:space="preserve"> z adapterami umożliwiającymi montaż na pasie, biodrze lub udzie , 45 szt. dla strzelców prawo i 5 szt. dla leworęcznych</w:t>
      </w:r>
      <w:r w:rsidR="00941967" w:rsidRPr="00A12642">
        <w:rPr>
          <w:rFonts w:cs="Times New Roman"/>
          <w:color w:val="C00000"/>
        </w:rPr>
        <w:t>.</w:t>
      </w:r>
      <w:r w:rsidR="00A12642" w:rsidRPr="00A12642">
        <w:rPr>
          <w:rFonts w:ascii="Calibri" w:eastAsia="Lato" w:hAnsi="Calibri" w:cs="Lato"/>
          <w:color w:val="C00000"/>
          <w:sz w:val="24"/>
        </w:rPr>
        <w:t xml:space="preserve"> </w:t>
      </w:r>
      <w:r w:rsidR="00A12642" w:rsidRPr="00A12642">
        <w:rPr>
          <w:rFonts w:ascii="Calibri" w:eastAsia="Lato" w:hAnsi="Calibri" w:cs="Lato"/>
          <w:color w:val="C00000"/>
          <w:sz w:val="24"/>
        </w:rPr>
        <w:t>(Podane ilości dotyczą zamówienia podstawowego, ilość kabur dla prawo/leworęcznych zostaną podane w zleceniu dot. zamówienia w ramach prawa opcji, w zależności od ilości zamówionych szt. broni).</w:t>
      </w:r>
    </w:p>
    <w:p w14:paraId="3F56271B" w14:textId="77777777" w:rsidR="008242F7" w:rsidRDefault="00260572" w:rsidP="008242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Dwa magazynki dwurzędowe o pojemności minimum 15 naboi każdy. Budowa magazynka musi pozwalać na wzrokową ocenę ilości znajdujących się w nim naboi.</w:t>
      </w:r>
    </w:p>
    <w:p w14:paraId="416F39D8" w14:textId="77777777" w:rsidR="008242F7" w:rsidRDefault="004D5AC6" w:rsidP="008242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Dwie ładownice do magazynków</w:t>
      </w:r>
      <w:r w:rsidR="003F30F2" w:rsidRPr="008242F7">
        <w:rPr>
          <w:rFonts w:cs="Times New Roman"/>
        </w:rPr>
        <w:t>.</w:t>
      </w:r>
    </w:p>
    <w:p w14:paraId="55D491FF" w14:textId="77777777" w:rsidR="008242F7" w:rsidRDefault="00260572" w:rsidP="008242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Przyborniki niezbędne do czyszczenia i konserwacji (co najmniej wycior, szczoteczka).</w:t>
      </w:r>
    </w:p>
    <w:p w14:paraId="158AAA81" w14:textId="77777777" w:rsidR="008242F7" w:rsidRDefault="00260572" w:rsidP="008242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lastRenderedPageBreak/>
        <w:t>Instrukcja obsługi i konserwacji w języku polskim.</w:t>
      </w:r>
    </w:p>
    <w:p w14:paraId="1BC26862" w14:textId="03BBD19C" w:rsidR="00941967" w:rsidRPr="008242F7" w:rsidRDefault="00260572" w:rsidP="008242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Karta gwarancyjna.</w:t>
      </w:r>
    </w:p>
    <w:p w14:paraId="0C2B2B15" w14:textId="77777777" w:rsidR="00260572" w:rsidRDefault="00260572" w:rsidP="000E0E49">
      <w:pPr>
        <w:pStyle w:val="Akapitzlist"/>
        <w:tabs>
          <w:tab w:val="left" w:pos="1276"/>
        </w:tabs>
        <w:spacing w:after="0" w:line="276" w:lineRule="auto"/>
        <w:jc w:val="both"/>
        <w:rPr>
          <w:rFonts w:cs="Times New Roman"/>
        </w:rPr>
      </w:pPr>
    </w:p>
    <w:p w14:paraId="3E28B311" w14:textId="56507F87" w:rsidR="00260572" w:rsidRPr="008242F7" w:rsidRDefault="008242F7" w:rsidP="008242F7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cs="Times New Roman"/>
          <w:b/>
        </w:rPr>
      </w:pPr>
      <w:r w:rsidRPr="008242F7">
        <w:rPr>
          <w:rFonts w:cs="Times New Roman"/>
          <w:b/>
        </w:rPr>
        <w:t>DOSTAWA, GWARANCJA SERWIS POGWARANCYJNY</w:t>
      </w:r>
      <w:r>
        <w:rPr>
          <w:rFonts w:cs="Times New Roman"/>
          <w:b/>
        </w:rPr>
        <w:t>:</w:t>
      </w:r>
    </w:p>
    <w:p w14:paraId="40AECA3F" w14:textId="77777777" w:rsidR="008242F7" w:rsidRDefault="00260572" w:rsidP="008242F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 w:rsidRPr="001D62FD">
        <w:rPr>
          <w:rFonts w:cs="Times New Roman"/>
        </w:rPr>
        <w:t>Broń musi zostać dostarczona do wskazanego magazyn broni na terytorium RP.</w:t>
      </w:r>
    </w:p>
    <w:p w14:paraId="3AFF3DEA" w14:textId="77777777" w:rsidR="008242F7" w:rsidRDefault="00260572" w:rsidP="008242F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Gwarancja minimum 2 lata</w:t>
      </w:r>
      <w:r w:rsidR="008242F7" w:rsidRPr="008242F7">
        <w:rPr>
          <w:rFonts w:cs="Times New Roman"/>
        </w:rPr>
        <w:t>.</w:t>
      </w:r>
    </w:p>
    <w:p w14:paraId="52D5DA90" w14:textId="77777777" w:rsidR="008242F7" w:rsidRDefault="00260572" w:rsidP="008242F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Gwarantowana dostępnoś</w:t>
      </w:r>
      <w:r w:rsidR="000A127F" w:rsidRPr="008242F7">
        <w:rPr>
          <w:rFonts w:cs="Times New Roman"/>
        </w:rPr>
        <w:t>ć części i serwis minimum 7 lat.</w:t>
      </w:r>
    </w:p>
    <w:p w14:paraId="7EE810F5" w14:textId="77777777" w:rsidR="008242F7" w:rsidRDefault="004D5AC6" w:rsidP="008242F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Szkolenie rusznikarskie dla rusznikarza za</w:t>
      </w:r>
      <w:r w:rsidR="00941967" w:rsidRPr="008242F7">
        <w:rPr>
          <w:rFonts w:cs="Times New Roman"/>
        </w:rPr>
        <w:t>trudnionego</w:t>
      </w:r>
      <w:r w:rsidR="00F7655D" w:rsidRPr="008242F7">
        <w:rPr>
          <w:rFonts w:cs="Times New Roman"/>
        </w:rPr>
        <w:t xml:space="preserve"> przez Zamawiającego organizowane przez sprzedającego w zakresie czyszczenia, konserwacji, demontażu i wymiany nieistotnych elementów broni. </w:t>
      </w:r>
      <w:r w:rsidRPr="008242F7">
        <w:rPr>
          <w:rFonts w:cs="Times New Roman"/>
        </w:rPr>
        <w:t xml:space="preserve"> </w:t>
      </w:r>
    </w:p>
    <w:p w14:paraId="2FE3FEE9" w14:textId="27DF72AD" w:rsidR="00941967" w:rsidRPr="008242F7" w:rsidRDefault="00941967" w:rsidP="008242F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 w:rsidRPr="008242F7">
        <w:rPr>
          <w:rFonts w:cs="Times New Roman"/>
        </w:rPr>
        <w:t>Serwis gwarancyjny i pogwarancyjny na terenie kraju.</w:t>
      </w:r>
    </w:p>
    <w:p w14:paraId="58B6FD98" w14:textId="77777777" w:rsidR="000A127F" w:rsidRDefault="000A127F" w:rsidP="000E0E49">
      <w:pPr>
        <w:pStyle w:val="Akapitzlist"/>
        <w:tabs>
          <w:tab w:val="left" w:pos="1276"/>
        </w:tabs>
        <w:spacing w:after="0" w:line="276" w:lineRule="auto"/>
        <w:ind w:left="1494"/>
        <w:jc w:val="both"/>
        <w:rPr>
          <w:rFonts w:cs="Times New Roman"/>
        </w:rPr>
      </w:pPr>
    </w:p>
    <w:p w14:paraId="05DE96AB" w14:textId="77777777" w:rsidR="00553434" w:rsidRPr="00E6538A" w:rsidRDefault="00553434" w:rsidP="000E0E49">
      <w:pPr>
        <w:spacing w:after="0" w:line="276" w:lineRule="auto"/>
        <w:jc w:val="both"/>
        <w:rPr>
          <w:rFonts w:cs="Times New Roman"/>
        </w:rPr>
      </w:pPr>
    </w:p>
    <w:sectPr w:rsidR="00553434" w:rsidRPr="00E6538A" w:rsidSect="006621FB">
      <w:footerReference w:type="default" r:id="rId9"/>
      <w:headerReference w:type="first" r:id="rId10"/>
      <w:footerReference w:type="first" r:id="rId11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658AE4" w15:done="0"/>
  <w15:commentEx w15:paraId="588E11D6" w15:paraIdParent="3E658AE4" w15:done="0"/>
  <w15:commentEx w15:paraId="5D4F2F35" w15:done="0"/>
  <w15:commentEx w15:paraId="41D2F6BF" w15:paraIdParent="5D4F2F35" w15:done="0"/>
  <w15:commentEx w15:paraId="5550C5D7" w15:done="0"/>
  <w15:commentEx w15:paraId="16C2BBC0" w15:paraIdParent="5550C5D7" w15:done="0"/>
  <w15:commentEx w15:paraId="488C10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8DB3" w14:textId="77777777" w:rsidR="007F423F" w:rsidRDefault="007F423F" w:rsidP="00202EF7">
      <w:pPr>
        <w:spacing w:after="0" w:line="240" w:lineRule="auto"/>
      </w:pPr>
      <w:r>
        <w:separator/>
      </w:r>
    </w:p>
  </w:endnote>
  <w:endnote w:type="continuationSeparator" w:id="0">
    <w:p w14:paraId="6037EB33" w14:textId="77777777" w:rsidR="007F423F" w:rsidRDefault="007F423F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DF08" w14:textId="77777777"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</w:pPr>
    <w:r w:rsidRPr="007E41D7">
      <w:rPr>
        <w:rFonts w:ascii="Times New Roman" w:eastAsia="Calibri" w:hAnsi="Times New Roman" w:cs="Times New Roman"/>
        <w:noProof/>
        <w:kern w:val="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C008D" wp14:editId="181DF4D9">
              <wp:simplePos x="0" y="0"/>
              <wp:positionH relativeFrom="column">
                <wp:posOffset>13970</wp:posOffset>
              </wp:positionH>
              <wp:positionV relativeFrom="paragraph">
                <wp:posOffset>-71579</wp:posOffset>
              </wp:positionV>
              <wp:extent cx="6002448" cy="0"/>
              <wp:effectExtent l="0" t="0" r="368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44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607D05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65pt" to="47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" strokecolor="#5b9bd5" strokeweight=".5pt">
              <v:stroke joinstyle="miter"/>
            </v:line>
          </w:pict>
        </mc:Fallback>
      </mc:AlternateConten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Izba Administracji Skarbowej w Zielonej Górze</w: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  <w:t xml:space="preserve">Strona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PAGE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250C23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2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 xml:space="preserve"> z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NUMPAGES \* ARABIC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250C23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3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</w:p>
  <w:p w14:paraId="71EE0195" w14:textId="77777777"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Calibri" w:eastAsia="Calibri" w:hAnsi="Calibri" w:cs="Calibri"/>
        <w:kern w:val="2"/>
        <w:lang w:eastAsia="zh-CN"/>
      </w:rPr>
    </w:pP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t>Generała Władysława Sikorskiego 2, 65-454 Zielona Góra</w:t>
    </w:r>
  </w:p>
  <w:p w14:paraId="52BF9C80" w14:textId="77777777" w:rsidR="00DD7996" w:rsidRDefault="00DD7996" w:rsidP="00DD7996">
    <w:pPr>
      <w:pStyle w:val="Stopka"/>
    </w:pP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www.lubuskie.kas.gov.pl</w:t>
    </w:r>
  </w:p>
  <w:p w14:paraId="1BE3BF95" w14:textId="77777777" w:rsidR="00DD7996" w:rsidRDefault="00DD7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CBC9" w14:textId="77777777"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</w:pPr>
    <w:r w:rsidRPr="007E41D7">
      <w:rPr>
        <w:rFonts w:ascii="Times New Roman" w:eastAsia="Calibri" w:hAnsi="Times New Roman" w:cs="Times New Roman"/>
        <w:noProof/>
        <w:kern w:val="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6E838" wp14:editId="4B479FCF">
              <wp:simplePos x="0" y="0"/>
              <wp:positionH relativeFrom="column">
                <wp:posOffset>13970</wp:posOffset>
              </wp:positionH>
              <wp:positionV relativeFrom="paragraph">
                <wp:posOffset>-71579</wp:posOffset>
              </wp:positionV>
              <wp:extent cx="6002448" cy="0"/>
              <wp:effectExtent l="0" t="0" r="3683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44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35A273" id="Łącznik prosty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65pt" to="47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" strokecolor="#5b9bd5" strokeweight=".5pt">
              <v:stroke joinstyle="miter"/>
            </v:line>
          </w:pict>
        </mc:Fallback>
      </mc:AlternateConten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Izba Administracji Skarbowej w Zielonej Górze</w: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  <w:t xml:space="preserve">Strona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PAGE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FF2B4E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1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 xml:space="preserve"> z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NUMPAGES \* ARABIC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FF2B4E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3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</w:p>
  <w:p w14:paraId="6C3A8DE5" w14:textId="77777777"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Calibri" w:eastAsia="Calibri" w:hAnsi="Calibri" w:cs="Calibri"/>
        <w:kern w:val="2"/>
        <w:lang w:eastAsia="zh-CN"/>
      </w:rPr>
    </w:pP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t>Generała Władysława Sikorskiego 2, 65-454 Zielona Góra</w:t>
    </w:r>
  </w:p>
  <w:p w14:paraId="1D628D05" w14:textId="77777777" w:rsidR="00DD7996" w:rsidRDefault="00DD7996" w:rsidP="00DD7996">
    <w:pPr>
      <w:pStyle w:val="Stopka"/>
    </w:pP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www.lubuskie.kas.gov.pl</w:t>
    </w:r>
  </w:p>
  <w:p w14:paraId="68C8B1FC" w14:textId="77777777" w:rsidR="00DD7996" w:rsidRDefault="00DD7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12B68" w14:textId="77777777" w:rsidR="007F423F" w:rsidRDefault="007F423F" w:rsidP="00202EF7">
      <w:pPr>
        <w:spacing w:after="0" w:line="240" w:lineRule="auto"/>
      </w:pPr>
      <w:r>
        <w:separator/>
      </w:r>
    </w:p>
  </w:footnote>
  <w:footnote w:type="continuationSeparator" w:id="0">
    <w:p w14:paraId="2CC80501" w14:textId="77777777" w:rsidR="007F423F" w:rsidRDefault="007F423F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C6BC8" w14:textId="62868F7C" w:rsidR="00DD7996" w:rsidRPr="00030992" w:rsidRDefault="00DD7996" w:rsidP="008242F7">
    <w:pPr>
      <w:pStyle w:val="Tekstpodstawowy"/>
      <w:spacing w:after="0" w:line="276" w:lineRule="auto"/>
      <w:ind w:left="2832" w:firstLine="708"/>
      <w:jc w:val="right"/>
      <w:rPr>
        <w:rFonts w:asciiTheme="minorHAnsi" w:hAnsiTheme="minorHAnsi" w:cstheme="minorHAnsi"/>
        <w:bCs/>
        <w:color w:val="919195"/>
        <w:kern w:val="2"/>
      </w:rPr>
    </w:pPr>
    <w:r>
      <w:rPr>
        <w:rFonts w:asciiTheme="minorHAnsi" w:hAnsiTheme="minorHAnsi" w:cstheme="minorHAnsi"/>
        <w:bCs/>
        <w:kern w:val="2"/>
      </w:rPr>
      <w:t>Załącznik nr 1</w:t>
    </w:r>
    <w:r w:rsidR="00FA758B">
      <w:rPr>
        <w:rFonts w:asciiTheme="minorHAnsi" w:hAnsiTheme="minorHAnsi" w:cstheme="minorHAnsi"/>
        <w:bCs/>
        <w:kern w:val="2"/>
      </w:rPr>
      <w:t>.1</w:t>
    </w:r>
    <w:r w:rsidR="00731842">
      <w:rPr>
        <w:rFonts w:asciiTheme="minorHAnsi" w:hAnsiTheme="minorHAnsi" w:cstheme="minorHAnsi"/>
        <w:bCs/>
        <w:kern w:val="2"/>
      </w:rPr>
      <w:t xml:space="preserve"> </w:t>
    </w:r>
    <w:r w:rsidRPr="00030992">
      <w:rPr>
        <w:rFonts w:asciiTheme="minorHAnsi" w:hAnsiTheme="minorHAnsi" w:cstheme="minorHAnsi"/>
        <w:bCs/>
        <w:kern w:val="2"/>
      </w:rPr>
      <w:t>do SWZ</w:t>
    </w:r>
  </w:p>
  <w:p w14:paraId="4367BC13" w14:textId="46CC897B" w:rsidR="0031264B" w:rsidRPr="00D05F24" w:rsidRDefault="00731842" w:rsidP="008242F7">
    <w:pPr>
      <w:pStyle w:val="Tekstpodstawowy"/>
      <w:spacing w:after="0" w:line="276" w:lineRule="auto"/>
      <w:jc w:val="right"/>
      <w:rPr>
        <w:rFonts w:ascii="Arial" w:hAnsi="Arial" w:cs="Arial"/>
        <w:kern w:val="2"/>
        <w:sz w:val="16"/>
        <w:szCs w:val="16"/>
      </w:rPr>
    </w:pPr>
    <w:r>
      <w:rPr>
        <w:rFonts w:asciiTheme="minorHAnsi" w:eastAsia="Times New Roman" w:hAnsiTheme="minorHAnsi" w:cstheme="minorHAnsi"/>
        <w:bCs/>
      </w:rPr>
      <w:t xml:space="preserve">                                                             </w:t>
    </w:r>
    <w:r w:rsidR="00FA758B">
      <w:rPr>
        <w:rFonts w:asciiTheme="minorHAnsi" w:eastAsia="Times New Roman" w:hAnsiTheme="minorHAnsi" w:cstheme="minorHAnsi"/>
        <w:bCs/>
      </w:rPr>
      <w:t xml:space="preserve">                               </w:t>
    </w:r>
    <w:r>
      <w:rPr>
        <w:rFonts w:asciiTheme="minorHAnsi" w:eastAsia="Times New Roman" w:hAnsiTheme="minorHAnsi" w:cstheme="minorHAnsi"/>
        <w:bCs/>
      </w:rPr>
      <w:t xml:space="preserve">     </w:t>
    </w:r>
    <w:r w:rsidR="00DD7996" w:rsidRPr="00030992">
      <w:rPr>
        <w:rFonts w:asciiTheme="minorHAnsi" w:eastAsia="Times New Roman" w:hAnsiTheme="minorHAnsi" w:cstheme="minorHAnsi"/>
        <w:bCs/>
      </w:rPr>
      <w:t xml:space="preserve">Nr sprawy: </w:t>
    </w:r>
    <w:r w:rsidR="00FA758B" w:rsidRPr="00FA758B">
      <w:rPr>
        <w:rFonts w:asciiTheme="minorHAnsi" w:eastAsia="Times New Roman" w:hAnsiTheme="minorHAnsi" w:cstheme="minorHAnsi"/>
        <w:bCs/>
      </w:rPr>
      <w:t>0801-ILZ-1.260.35.2023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161"/>
    <w:multiLevelType w:val="hybridMultilevel"/>
    <w:tmpl w:val="5338E730"/>
    <w:lvl w:ilvl="0" w:tplc="2230EE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118"/>
    <w:multiLevelType w:val="hybridMultilevel"/>
    <w:tmpl w:val="F8465100"/>
    <w:lvl w:ilvl="0" w:tplc="23C8FE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2E41"/>
    <w:multiLevelType w:val="hybridMultilevel"/>
    <w:tmpl w:val="CC08E834"/>
    <w:lvl w:ilvl="0" w:tplc="99FCF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3CAC"/>
    <w:multiLevelType w:val="hybridMultilevel"/>
    <w:tmpl w:val="7054B748"/>
    <w:lvl w:ilvl="0" w:tplc="A11AEE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484AAE"/>
    <w:multiLevelType w:val="hybridMultilevel"/>
    <w:tmpl w:val="245C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0819"/>
    <w:multiLevelType w:val="hybridMultilevel"/>
    <w:tmpl w:val="C28C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1650"/>
    <w:multiLevelType w:val="hybridMultilevel"/>
    <w:tmpl w:val="57782F98"/>
    <w:lvl w:ilvl="0" w:tplc="1FBE1022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489"/>
    <w:multiLevelType w:val="hybridMultilevel"/>
    <w:tmpl w:val="245C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A5D3C"/>
    <w:multiLevelType w:val="hybridMultilevel"/>
    <w:tmpl w:val="FF26F6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CF4660"/>
    <w:multiLevelType w:val="hybridMultilevel"/>
    <w:tmpl w:val="245C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E8C"/>
    <w:multiLevelType w:val="hybridMultilevel"/>
    <w:tmpl w:val="245C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168DA"/>
    <w:multiLevelType w:val="hybridMultilevel"/>
    <w:tmpl w:val="7FD45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3C8FE1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4A10DB3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D6F53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11617"/>
    <w:multiLevelType w:val="hybridMultilevel"/>
    <w:tmpl w:val="C5AE52E6"/>
    <w:lvl w:ilvl="0" w:tplc="23C8FE1C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284A"/>
    <w:multiLevelType w:val="hybridMultilevel"/>
    <w:tmpl w:val="C5AE52E6"/>
    <w:lvl w:ilvl="0" w:tplc="23C8FE1C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F774C"/>
    <w:multiLevelType w:val="hybridMultilevel"/>
    <w:tmpl w:val="245C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chowski Dariusz">
    <w15:presenceInfo w15:providerId="AD" w15:userId="S-1-5-21-1525952054-1005573771-2909822258-134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90"/>
    <w:rsid w:val="00023E71"/>
    <w:rsid w:val="00036FCA"/>
    <w:rsid w:val="000A127F"/>
    <w:rsid w:val="000E0E49"/>
    <w:rsid w:val="000E5DBA"/>
    <w:rsid w:val="000F1F20"/>
    <w:rsid w:val="001010B8"/>
    <w:rsid w:val="0012676E"/>
    <w:rsid w:val="00173EA1"/>
    <w:rsid w:val="00184A37"/>
    <w:rsid w:val="001B427A"/>
    <w:rsid w:val="001B5D95"/>
    <w:rsid w:val="001D62FD"/>
    <w:rsid w:val="00202EF7"/>
    <w:rsid w:val="002221B9"/>
    <w:rsid w:val="00233BCC"/>
    <w:rsid w:val="002349ED"/>
    <w:rsid w:val="0024681E"/>
    <w:rsid w:val="00250C23"/>
    <w:rsid w:val="00256BC7"/>
    <w:rsid w:val="00260572"/>
    <w:rsid w:val="002636C1"/>
    <w:rsid w:val="00271473"/>
    <w:rsid w:val="002730DF"/>
    <w:rsid w:val="0027440C"/>
    <w:rsid w:val="0029572C"/>
    <w:rsid w:val="0029798B"/>
    <w:rsid w:val="002A3367"/>
    <w:rsid w:val="002B4FE4"/>
    <w:rsid w:val="002C0C83"/>
    <w:rsid w:val="002C73BD"/>
    <w:rsid w:val="002E678F"/>
    <w:rsid w:val="00301AE1"/>
    <w:rsid w:val="0030454D"/>
    <w:rsid w:val="0031264B"/>
    <w:rsid w:val="00321763"/>
    <w:rsid w:val="003247AC"/>
    <w:rsid w:val="003552FC"/>
    <w:rsid w:val="003622A8"/>
    <w:rsid w:val="00365AE7"/>
    <w:rsid w:val="003707E3"/>
    <w:rsid w:val="0037365E"/>
    <w:rsid w:val="0039727D"/>
    <w:rsid w:val="003A1EC7"/>
    <w:rsid w:val="003B5A18"/>
    <w:rsid w:val="003C589E"/>
    <w:rsid w:val="003F30F2"/>
    <w:rsid w:val="004100DF"/>
    <w:rsid w:val="004346FB"/>
    <w:rsid w:val="00434A3A"/>
    <w:rsid w:val="00436388"/>
    <w:rsid w:val="00437AF1"/>
    <w:rsid w:val="00476C1B"/>
    <w:rsid w:val="00480AFA"/>
    <w:rsid w:val="00483DCC"/>
    <w:rsid w:val="00491B5F"/>
    <w:rsid w:val="004D5793"/>
    <w:rsid w:val="004D5AC6"/>
    <w:rsid w:val="005248DD"/>
    <w:rsid w:val="00546A9D"/>
    <w:rsid w:val="00553434"/>
    <w:rsid w:val="00562532"/>
    <w:rsid w:val="005647E3"/>
    <w:rsid w:val="0056637C"/>
    <w:rsid w:val="00571C3B"/>
    <w:rsid w:val="00574956"/>
    <w:rsid w:val="00580953"/>
    <w:rsid w:val="005C46E5"/>
    <w:rsid w:val="005D07C6"/>
    <w:rsid w:val="00615557"/>
    <w:rsid w:val="0062422B"/>
    <w:rsid w:val="00626965"/>
    <w:rsid w:val="00631D13"/>
    <w:rsid w:val="00647079"/>
    <w:rsid w:val="0065240C"/>
    <w:rsid w:val="006621FB"/>
    <w:rsid w:val="00664A0C"/>
    <w:rsid w:val="00672802"/>
    <w:rsid w:val="006B1012"/>
    <w:rsid w:val="006B1D91"/>
    <w:rsid w:val="006B2B15"/>
    <w:rsid w:val="006B478C"/>
    <w:rsid w:val="006D2431"/>
    <w:rsid w:val="00720B26"/>
    <w:rsid w:val="00731842"/>
    <w:rsid w:val="0073208A"/>
    <w:rsid w:val="00746AA3"/>
    <w:rsid w:val="007517D3"/>
    <w:rsid w:val="007607C2"/>
    <w:rsid w:val="00782267"/>
    <w:rsid w:val="007923A8"/>
    <w:rsid w:val="00795D0F"/>
    <w:rsid w:val="007A5B1C"/>
    <w:rsid w:val="007B1D62"/>
    <w:rsid w:val="007E4DA8"/>
    <w:rsid w:val="007F423F"/>
    <w:rsid w:val="007F5B88"/>
    <w:rsid w:val="007F6F23"/>
    <w:rsid w:val="008045EF"/>
    <w:rsid w:val="008242F7"/>
    <w:rsid w:val="00831D0F"/>
    <w:rsid w:val="0084290D"/>
    <w:rsid w:val="00853ED8"/>
    <w:rsid w:val="00866B1F"/>
    <w:rsid w:val="0088223A"/>
    <w:rsid w:val="008846A2"/>
    <w:rsid w:val="008C1C9C"/>
    <w:rsid w:val="008E0455"/>
    <w:rsid w:val="008F1AF4"/>
    <w:rsid w:val="008F7C03"/>
    <w:rsid w:val="009166BF"/>
    <w:rsid w:val="00941967"/>
    <w:rsid w:val="009502FE"/>
    <w:rsid w:val="00961565"/>
    <w:rsid w:val="00974861"/>
    <w:rsid w:val="009847DF"/>
    <w:rsid w:val="009A3160"/>
    <w:rsid w:val="009C31FB"/>
    <w:rsid w:val="009E6010"/>
    <w:rsid w:val="009F42B1"/>
    <w:rsid w:val="00A12642"/>
    <w:rsid w:val="00A15D03"/>
    <w:rsid w:val="00A20CCD"/>
    <w:rsid w:val="00A229B2"/>
    <w:rsid w:val="00A263D0"/>
    <w:rsid w:val="00A36702"/>
    <w:rsid w:val="00A42DEE"/>
    <w:rsid w:val="00AA2AD4"/>
    <w:rsid w:val="00AB2DFC"/>
    <w:rsid w:val="00AB448B"/>
    <w:rsid w:val="00AC50D5"/>
    <w:rsid w:val="00AE7520"/>
    <w:rsid w:val="00B0594C"/>
    <w:rsid w:val="00B1228A"/>
    <w:rsid w:val="00B22F93"/>
    <w:rsid w:val="00B342FE"/>
    <w:rsid w:val="00B45C47"/>
    <w:rsid w:val="00B504D7"/>
    <w:rsid w:val="00B8297B"/>
    <w:rsid w:val="00BC243C"/>
    <w:rsid w:val="00BD1F9F"/>
    <w:rsid w:val="00BD6199"/>
    <w:rsid w:val="00BF08F6"/>
    <w:rsid w:val="00C00482"/>
    <w:rsid w:val="00C03BD0"/>
    <w:rsid w:val="00C0489D"/>
    <w:rsid w:val="00C07B90"/>
    <w:rsid w:val="00C26FBE"/>
    <w:rsid w:val="00C336A3"/>
    <w:rsid w:val="00C41561"/>
    <w:rsid w:val="00C45C9D"/>
    <w:rsid w:val="00C61015"/>
    <w:rsid w:val="00C856DF"/>
    <w:rsid w:val="00C85D2D"/>
    <w:rsid w:val="00CA0B76"/>
    <w:rsid w:val="00CB08A9"/>
    <w:rsid w:val="00CE338B"/>
    <w:rsid w:val="00CF6020"/>
    <w:rsid w:val="00D01866"/>
    <w:rsid w:val="00D02C0A"/>
    <w:rsid w:val="00D05F24"/>
    <w:rsid w:val="00D06853"/>
    <w:rsid w:val="00D27C13"/>
    <w:rsid w:val="00D35B44"/>
    <w:rsid w:val="00D370D9"/>
    <w:rsid w:val="00D52C5F"/>
    <w:rsid w:val="00D924DF"/>
    <w:rsid w:val="00D957C7"/>
    <w:rsid w:val="00DA49DC"/>
    <w:rsid w:val="00DA4A6F"/>
    <w:rsid w:val="00DB59C8"/>
    <w:rsid w:val="00DC2CB0"/>
    <w:rsid w:val="00DD7996"/>
    <w:rsid w:val="00DE326C"/>
    <w:rsid w:val="00DE449D"/>
    <w:rsid w:val="00DF1F28"/>
    <w:rsid w:val="00DF2F86"/>
    <w:rsid w:val="00E1487E"/>
    <w:rsid w:val="00E16ABF"/>
    <w:rsid w:val="00E20CA9"/>
    <w:rsid w:val="00E42D83"/>
    <w:rsid w:val="00E5660D"/>
    <w:rsid w:val="00E6538A"/>
    <w:rsid w:val="00E85E68"/>
    <w:rsid w:val="00E94B60"/>
    <w:rsid w:val="00EA4CCD"/>
    <w:rsid w:val="00EE44AA"/>
    <w:rsid w:val="00F2160F"/>
    <w:rsid w:val="00F31C1B"/>
    <w:rsid w:val="00F41378"/>
    <w:rsid w:val="00F570B4"/>
    <w:rsid w:val="00F6107C"/>
    <w:rsid w:val="00F7655D"/>
    <w:rsid w:val="00F81C36"/>
    <w:rsid w:val="00F82E21"/>
    <w:rsid w:val="00F94979"/>
    <w:rsid w:val="00FA758B"/>
    <w:rsid w:val="00FB4BCC"/>
    <w:rsid w:val="00FC17D7"/>
    <w:rsid w:val="00FC5897"/>
    <w:rsid w:val="00FE7B52"/>
    <w:rsid w:val="00FF2B4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AF90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C04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8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C04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7C1F-35D2-45E6-B1A9-1CD4139A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Agata</dc:creator>
  <cp:lastModifiedBy>Kowalik Karolina</cp:lastModifiedBy>
  <cp:revision>6</cp:revision>
  <cp:lastPrinted>2021-01-22T11:45:00Z</cp:lastPrinted>
  <dcterms:created xsi:type="dcterms:W3CDTF">2023-09-27T10:13:00Z</dcterms:created>
  <dcterms:modified xsi:type="dcterms:W3CDTF">2023-10-04T09:19:00Z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UxC4dwLulzfINJ8nQH+xvX5LNGipWa4BRSZhPgxsCvl5W27TEH+X7OIUxuOs3W5H9dUeNKxHdLkgOLE/S2dlDQ==</vt:lpwstr>
  </property>
  <property fmtid="{D5CDD505-2E9C-101B-9397-08002B2CF9AE}" pid="4" name="MFClassificationDate">
    <vt:lpwstr>2023-07-11T11:28:53.5391863+02:00</vt:lpwstr>
  </property>
  <property fmtid="{D5CDD505-2E9C-101B-9397-08002B2CF9AE}" pid="5" name="MFClassifiedBySID">
    <vt:lpwstr>UxC4dwLulzfINJ8nQH+xvX5LNGipWa4BRSZhPgxsCvm42mrIC/DSDv0ggS+FjUN/2v1BBotkLlY5aAiEhoi6uUzBqj3Jce6WAvc8JmdNvY+JYry6Hc36rOOPbmAu03qL</vt:lpwstr>
  </property>
  <property fmtid="{D5CDD505-2E9C-101B-9397-08002B2CF9AE}" pid="6" name="MFGRNItemId">
    <vt:lpwstr>GRN-f629cf9d-14f0-4b5a-82e1-bf2dd3bd1b61</vt:lpwstr>
  </property>
  <property fmtid="{D5CDD505-2E9C-101B-9397-08002B2CF9AE}" pid="7" name="MFHash">
    <vt:lpwstr>VW8Pu9FqwIvhhIJh+pobMh1kG+p8jsl+WmEI/P+mcT8=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