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3960" w14:textId="77777777" w:rsidR="00E678A3" w:rsidRDefault="00E678A3" w:rsidP="00E678A3">
      <w:pPr>
        <w:jc w:val="center"/>
      </w:pPr>
      <w:bookmarkStart w:id="0" w:name="_Hlk532216563"/>
      <w:r>
        <w:rPr>
          <w:noProof/>
        </w:rPr>
        <w:drawing>
          <wp:inline distT="0" distB="0" distL="0" distR="0" wp14:anchorId="240912C7" wp14:editId="0B2213BE">
            <wp:extent cx="1640205" cy="8413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A3FCDE" w14:textId="77777777" w:rsidR="00E678A3" w:rsidRDefault="00E678A3" w:rsidP="00E678A3">
      <w:pPr>
        <w:jc w:val="center"/>
      </w:pPr>
    </w:p>
    <w:p w14:paraId="732F0064" w14:textId="77777777" w:rsidR="00E678A3" w:rsidRDefault="00E678A3" w:rsidP="00E678A3">
      <w:pPr>
        <w:jc w:val="center"/>
      </w:pPr>
    </w:p>
    <w:p w14:paraId="3FD13130" w14:textId="77777777" w:rsidR="00E678A3" w:rsidRDefault="00E678A3" w:rsidP="00E678A3">
      <w:pPr>
        <w:jc w:val="center"/>
      </w:pPr>
    </w:p>
    <w:p w14:paraId="03F589EC" w14:textId="77777777" w:rsidR="00E678A3" w:rsidRDefault="00E678A3" w:rsidP="00E678A3">
      <w:pPr>
        <w:jc w:val="center"/>
      </w:pPr>
    </w:p>
    <w:p w14:paraId="34D10061" w14:textId="77777777" w:rsidR="00E678A3" w:rsidRDefault="00E678A3" w:rsidP="00E678A3">
      <w:pPr>
        <w:jc w:val="center"/>
      </w:pPr>
    </w:p>
    <w:p w14:paraId="15DD14C8" w14:textId="77777777" w:rsidR="00E678A3" w:rsidRDefault="00E678A3" w:rsidP="00E678A3">
      <w:pPr>
        <w:spacing w:after="0"/>
        <w:jc w:val="both"/>
        <w:rPr>
          <w:rFonts w:ascii="Verdana" w:hAnsi="Verdana" w:cs="Calibri"/>
          <w:b/>
          <w:color w:val="auto"/>
          <w:sz w:val="28"/>
          <w:szCs w:val="28"/>
        </w:rPr>
      </w:pPr>
    </w:p>
    <w:p w14:paraId="1296B62D" w14:textId="7C5755ED" w:rsidR="00E678A3" w:rsidRPr="004D017F" w:rsidRDefault="008D33DC" w:rsidP="00E678A3">
      <w:pPr>
        <w:spacing w:after="0"/>
        <w:jc w:val="center"/>
        <w:rPr>
          <w:rFonts w:ascii="Verdana" w:hAnsi="Verdana" w:cs="Arial"/>
          <w:color w:val="auto"/>
          <w:sz w:val="28"/>
          <w:szCs w:val="28"/>
        </w:rPr>
      </w:pPr>
      <w:r w:rsidRPr="008D33DC">
        <w:rPr>
          <w:rFonts w:ascii="Verdana" w:hAnsi="Verdana" w:cs="Calibri"/>
          <w:b/>
          <w:color w:val="auto"/>
          <w:sz w:val="28"/>
          <w:szCs w:val="28"/>
        </w:rPr>
        <w:t xml:space="preserve">Regulamin Wstępnych Konsultacji Rynkowych </w:t>
      </w:r>
      <w:r>
        <w:rPr>
          <w:rFonts w:ascii="Verdana" w:hAnsi="Verdana" w:cs="Calibri"/>
          <w:b/>
          <w:color w:val="auto"/>
          <w:sz w:val="28"/>
          <w:szCs w:val="28"/>
        </w:rPr>
        <w:br/>
      </w:r>
      <w:r w:rsidR="00E678A3" w:rsidRPr="004D017F">
        <w:rPr>
          <w:rFonts w:ascii="Verdana" w:hAnsi="Verdana" w:cs="Arial"/>
          <w:color w:val="auto"/>
          <w:sz w:val="28"/>
          <w:szCs w:val="28"/>
        </w:rPr>
        <w:t>Sieć Badawcza Łukasiewicz – PORT Polski Ośrodek Rozwoju Technologii</w:t>
      </w:r>
    </w:p>
    <w:p w14:paraId="3AD787A8" w14:textId="77777777" w:rsidR="00E678A3" w:rsidRPr="004D017F" w:rsidRDefault="00E678A3" w:rsidP="00E678A3">
      <w:pPr>
        <w:spacing w:after="0"/>
        <w:jc w:val="center"/>
        <w:rPr>
          <w:rFonts w:ascii="Verdana" w:hAnsi="Verdana" w:cs="Arial"/>
          <w:color w:val="auto"/>
          <w:sz w:val="28"/>
          <w:szCs w:val="28"/>
        </w:rPr>
      </w:pPr>
    </w:p>
    <w:p w14:paraId="797C116B" w14:textId="77777777" w:rsidR="00E678A3" w:rsidRPr="004D017F" w:rsidRDefault="00E678A3" w:rsidP="00E678A3">
      <w:pPr>
        <w:spacing w:after="0"/>
        <w:jc w:val="center"/>
        <w:rPr>
          <w:rFonts w:ascii="Verdana" w:hAnsi="Verdana" w:cs="Arial"/>
          <w:color w:val="auto"/>
          <w:sz w:val="28"/>
          <w:szCs w:val="28"/>
        </w:rPr>
      </w:pPr>
    </w:p>
    <w:p w14:paraId="27B52A76" w14:textId="77777777" w:rsidR="00E678A3" w:rsidRPr="004D017F" w:rsidRDefault="00E678A3" w:rsidP="00E678A3">
      <w:pPr>
        <w:spacing w:after="0"/>
        <w:jc w:val="center"/>
        <w:rPr>
          <w:rFonts w:ascii="Verdana" w:hAnsi="Verdana" w:cs="Arial"/>
          <w:color w:val="auto"/>
          <w:sz w:val="28"/>
          <w:szCs w:val="28"/>
        </w:rPr>
      </w:pPr>
    </w:p>
    <w:p w14:paraId="6C2ABC9E" w14:textId="77777777" w:rsidR="00E678A3" w:rsidRPr="004D017F" w:rsidRDefault="00E678A3" w:rsidP="00E678A3">
      <w:pPr>
        <w:spacing w:after="0"/>
        <w:jc w:val="center"/>
        <w:rPr>
          <w:rFonts w:ascii="Verdana" w:hAnsi="Verdana" w:cs="Arial"/>
          <w:color w:val="auto"/>
          <w:sz w:val="28"/>
          <w:szCs w:val="28"/>
        </w:rPr>
      </w:pPr>
    </w:p>
    <w:p w14:paraId="3E92EBBD" w14:textId="77777777" w:rsidR="00E678A3" w:rsidRPr="004D017F" w:rsidRDefault="00E678A3" w:rsidP="00E678A3">
      <w:pPr>
        <w:spacing w:after="0"/>
        <w:jc w:val="center"/>
        <w:rPr>
          <w:rFonts w:ascii="Verdana" w:hAnsi="Verdana" w:cs="Arial"/>
          <w:color w:val="auto"/>
          <w:sz w:val="28"/>
          <w:szCs w:val="28"/>
        </w:rPr>
      </w:pPr>
    </w:p>
    <w:p w14:paraId="256A92B2" w14:textId="77777777" w:rsidR="00E678A3" w:rsidRPr="004D017F" w:rsidRDefault="00E678A3" w:rsidP="00E678A3">
      <w:pPr>
        <w:spacing w:after="0"/>
        <w:jc w:val="center"/>
        <w:rPr>
          <w:rFonts w:ascii="Verdana" w:hAnsi="Verdana" w:cs="Arial"/>
          <w:b/>
          <w:bCs/>
          <w:color w:val="auto"/>
          <w:sz w:val="28"/>
          <w:szCs w:val="28"/>
        </w:rPr>
      </w:pPr>
    </w:p>
    <w:p w14:paraId="048A72C3" w14:textId="77777777" w:rsidR="00E678A3" w:rsidRPr="004D017F" w:rsidRDefault="00E678A3" w:rsidP="00E678A3">
      <w:pPr>
        <w:spacing w:after="0"/>
        <w:jc w:val="center"/>
        <w:rPr>
          <w:rFonts w:ascii="Verdana" w:hAnsi="Verdana" w:cs="Arial"/>
          <w:b/>
          <w:bCs/>
          <w:color w:val="auto"/>
          <w:sz w:val="28"/>
          <w:szCs w:val="28"/>
        </w:rPr>
      </w:pPr>
    </w:p>
    <w:p w14:paraId="4E6149E0" w14:textId="77777777" w:rsidR="00E678A3" w:rsidRPr="004D017F" w:rsidRDefault="00E678A3" w:rsidP="00E678A3">
      <w:pPr>
        <w:spacing w:after="0"/>
        <w:jc w:val="center"/>
        <w:rPr>
          <w:rFonts w:ascii="Verdana" w:hAnsi="Verdana" w:cs="Arial"/>
          <w:b/>
          <w:bCs/>
          <w:color w:val="auto"/>
          <w:sz w:val="28"/>
          <w:szCs w:val="28"/>
        </w:rPr>
      </w:pPr>
    </w:p>
    <w:p w14:paraId="055C0892" w14:textId="77777777" w:rsidR="00E678A3" w:rsidRPr="004D017F" w:rsidRDefault="00E678A3" w:rsidP="00E678A3">
      <w:pPr>
        <w:spacing w:after="0"/>
        <w:jc w:val="center"/>
        <w:rPr>
          <w:rFonts w:ascii="Verdana" w:hAnsi="Verdana" w:cs="Arial"/>
          <w:b/>
          <w:bCs/>
          <w:color w:val="auto"/>
          <w:sz w:val="28"/>
          <w:szCs w:val="28"/>
        </w:rPr>
      </w:pPr>
    </w:p>
    <w:p w14:paraId="36CA3186" w14:textId="77777777" w:rsidR="00E678A3" w:rsidRDefault="00E678A3" w:rsidP="00E678A3">
      <w:pPr>
        <w:spacing w:after="0"/>
        <w:jc w:val="center"/>
        <w:rPr>
          <w:rFonts w:ascii="Verdana" w:hAnsi="Verdana" w:cs="Arial"/>
          <w:b/>
          <w:bCs/>
          <w:color w:val="auto"/>
          <w:sz w:val="28"/>
          <w:szCs w:val="28"/>
        </w:rPr>
      </w:pPr>
    </w:p>
    <w:p w14:paraId="05DAB694" w14:textId="77777777" w:rsidR="00E678A3" w:rsidRPr="004D017F" w:rsidRDefault="00E678A3" w:rsidP="00E678A3">
      <w:pPr>
        <w:spacing w:after="0"/>
        <w:jc w:val="center"/>
        <w:rPr>
          <w:rFonts w:ascii="Verdana" w:hAnsi="Verdana" w:cs="Arial"/>
          <w:b/>
          <w:bCs/>
          <w:color w:val="auto"/>
          <w:sz w:val="28"/>
          <w:szCs w:val="28"/>
        </w:rPr>
      </w:pPr>
    </w:p>
    <w:p w14:paraId="329AF786" w14:textId="77777777" w:rsidR="00E678A3" w:rsidRPr="004D017F" w:rsidRDefault="00E678A3" w:rsidP="00E678A3">
      <w:pPr>
        <w:spacing w:after="0"/>
        <w:jc w:val="center"/>
        <w:rPr>
          <w:rFonts w:ascii="Verdana" w:hAnsi="Verdana" w:cs="Arial"/>
          <w:b/>
          <w:bCs/>
          <w:color w:val="auto"/>
          <w:sz w:val="28"/>
          <w:szCs w:val="28"/>
        </w:rPr>
      </w:pPr>
    </w:p>
    <w:p w14:paraId="7E16AC83" w14:textId="77777777" w:rsidR="00E678A3" w:rsidRDefault="00E678A3" w:rsidP="00E678A3">
      <w:pPr>
        <w:spacing w:after="0"/>
        <w:jc w:val="center"/>
        <w:rPr>
          <w:rFonts w:ascii="Verdana" w:hAnsi="Verdana" w:cs="Arial"/>
          <w:b/>
          <w:bCs/>
          <w:color w:val="auto"/>
          <w:sz w:val="28"/>
          <w:szCs w:val="28"/>
        </w:rPr>
      </w:pPr>
    </w:p>
    <w:p w14:paraId="46E51FD1" w14:textId="77777777" w:rsidR="00E678A3" w:rsidRPr="004D017F" w:rsidRDefault="00E678A3" w:rsidP="00E678A3">
      <w:pPr>
        <w:spacing w:after="0"/>
        <w:jc w:val="center"/>
        <w:rPr>
          <w:rFonts w:ascii="Verdana" w:hAnsi="Verdana" w:cs="Arial"/>
          <w:b/>
          <w:bCs/>
          <w:color w:val="auto"/>
          <w:sz w:val="28"/>
          <w:szCs w:val="28"/>
        </w:rPr>
      </w:pPr>
    </w:p>
    <w:p w14:paraId="5F026313" w14:textId="77777777" w:rsidR="00E678A3" w:rsidRPr="004D017F" w:rsidRDefault="00E678A3" w:rsidP="00E678A3">
      <w:pPr>
        <w:spacing w:after="0"/>
        <w:jc w:val="center"/>
        <w:rPr>
          <w:rFonts w:ascii="Verdana" w:hAnsi="Verdana" w:cs="Arial"/>
          <w:b/>
          <w:bCs/>
          <w:color w:val="auto"/>
        </w:rPr>
      </w:pPr>
    </w:p>
    <w:p w14:paraId="799FBB0C" w14:textId="77777777" w:rsidR="00E678A3" w:rsidRPr="004D017F" w:rsidRDefault="00E678A3" w:rsidP="00E678A3">
      <w:pPr>
        <w:spacing w:after="0"/>
        <w:jc w:val="center"/>
        <w:rPr>
          <w:rFonts w:ascii="Verdana" w:hAnsi="Verdana" w:cs="Arial"/>
          <w:b/>
          <w:bCs/>
          <w:color w:val="auto"/>
        </w:rPr>
      </w:pPr>
      <w:r w:rsidRPr="004D017F">
        <w:rPr>
          <w:rFonts w:ascii="Verdana" w:hAnsi="Verdana" w:cs="Arial"/>
          <w:b/>
          <w:bCs/>
          <w:color w:val="auto"/>
        </w:rPr>
        <w:t>Wprowadzony w życie z dniem 19.01.2021 roku.</w:t>
      </w:r>
    </w:p>
    <w:p w14:paraId="7FD7B1D1" w14:textId="77777777" w:rsidR="00E678A3" w:rsidRPr="004D017F" w:rsidRDefault="00E678A3" w:rsidP="00E678A3">
      <w:pPr>
        <w:spacing w:after="0"/>
        <w:jc w:val="center"/>
        <w:rPr>
          <w:rFonts w:ascii="Verdana" w:hAnsi="Verdana" w:cs="Arial"/>
          <w:color w:val="auto"/>
          <w:sz w:val="28"/>
          <w:szCs w:val="28"/>
        </w:rPr>
      </w:pPr>
    </w:p>
    <w:p w14:paraId="10CDA5E0" w14:textId="6BB9643F" w:rsidR="00E678A3" w:rsidRPr="004D017F" w:rsidRDefault="00E678A3" w:rsidP="00E678A3">
      <w:pPr>
        <w:spacing w:after="0"/>
        <w:jc w:val="center"/>
        <w:rPr>
          <w:rFonts w:ascii="Verdana" w:hAnsi="Verdana" w:cs="Arial"/>
          <w:color w:val="auto"/>
          <w:sz w:val="16"/>
          <w:szCs w:val="16"/>
        </w:rPr>
      </w:pPr>
      <w:r w:rsidRPr="004D017F">
        <w:rPr>
          <w:rFonts w:ascii="Verdana" w:hAnsi="Verdana" w:cs="Arial"/>
          <w:color w:val="auto"/>
          <w:sz w:val="16"/>
          <w:szCs w:val="16"/>
        </w:rPr>
        <w:t>Załącznik do Zarządzenia nr 2/I/202</w:t>
      </w:r>
      <w:r w:rsidR="00EB0AF1">
        <w:rPr>
          <w:rFonts w:ascii="Verdana" w:hAnsi="Verdana" w:cs="Arial"/>
          <w:color w:val="auto"/>
          <w:sz w:val="16"/>
          <w:szCs w:val="16"/>
        </w:rPr>
        <w:t>1</w:t>
      </w:r>
      <w:r w:rsidRPr="004D017F">
        <w:rPr>
          <w:rFonts w:ascii="Verdana" w:hAnsi="Verdana" w:cs="Arial"/>
          <w:color w:val="auto"/>
          <w:sz w:val="16"/>
          <w:szCs w:val="16"/>
        </w:rPr>
        <w:t xml:space="preserve"> Dyrektora instytutu Sieć Badawcza ŁUKASIEWICZ – PORT Polski Ośrodek Rozwoju Technologii z siedzibą we Wrocławiu z dnia 14.01.2021 r. </w:t>
      </w:r>
    </w:p>
    <w:tbl>
      <w:tblPr>
        <w:tblW w:w="10065" w:type="dxa"/>
        <w:tblInd w:w="4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197"/>
        <w:gridCol w:w="3574"/>
        <w:gridCol w:w="2268"/>
        <w:gridCol w:w="2026"/>
      </w:tblGrid>
      <w:tr w:rsidR="002A6998" w:rsidRPr="00EB75F6" w14:paraId="5EF9379F" w14:textId="77777777" w:rsidTr="008452BB">
        <w:trPr>
          <w:trHeight w:hRule="exact" w:val="956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D5465D" w14:textId="56C4B91A" w:rsidR="002A6998" w:rsidRPr="00EB75F6" w:rsidRDefault="002A6998" w:rsidP="00EB75F6">
            <w:pPr>
              <w:numPr>
                <w:ilvl w:val="0"/>
                <w:numId w:val="1"/>
              </w:numPr>
              <w:spacing w:after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  <w:u w:val="single"/>
                <w:lang w:eastAsia="pl-PL"/>
              </w:rPr>
            </w:pPr>
            <w:r w:rsidRPr="00EB75F6">
              <w:rPr>
                <w:rFonts w:ascii="Verdana" w:eastAsia="Times New Roman" w:hAnsi="Verdana" w:cs="Arial"/>
                <w:b/>
                <w:color w:val="auto"/>
                <w:sz w:val="20"/>
                <w:szCs w:val="20"/>
                <w:u w:val="single"/>
                <w:lang w:eastAsia="pl-PL"/>
              </w:rPr>
              <w:lastRenderedPageBreak/>
              <w:t xml:space="preserve">Cel </w:t>
            </w:r>
            <w:r w:rsidR="00DE0B6E">
              <w:rPr>
                <w:rFonts w:ascii="Verdana" w:eastAsia="Times New Roman" w:hAnsi="Verdana" w:cs="Arial"/>
                <w:b/>
                <w:color w:val="auto"/>
                <w:sz w:val="20"/>
                <w:szCs w:val="20"/>
                <w:u w:val="single"/>
                <w:lang w:eastAsia="pl-PL"/>
              </w:rPr>
              <w:t>regulaminu</w:t>
            </w:r>
          </w:p>
        </w:tc>
      </w:tr>
      <w:tr w:rsidR="002A6998" w:rsidRPr="00EB75F6" w14:paraId="3D6051BA" w14:textId="77777777" w:rsidTr="008452BB">
        <w:trPr>
          <w:trHeight w:val="587"/>
        </w:trPr>
        <w:tc>
          <w:tcPr>
            <w:tcW w:w="10065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9D7C6CD" w14:textId="19C5196B" w:rsidR="002A6998" w:rsidRPr="00EB75F6" w:rsidRDefault="002A6998" w:rsidP="00EB75F6">
            <w:pPr>
              <w:spacing w:after="0"/>
              <w:jc w:val="both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 xml:space="preserve">Regulamin określa zasady organizacji </w:t>
            </w:r>
            <w:r w:rsidR="00433455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Wstępnych Konsultacji Rynkowych</w:t>
            </w: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 xml:space="preserve"> przez Instytut.</w:t>
            </w:r>
          </w:p>
          <w:p w14:paraId="05F25981" w14:textId="77777777" w:rsidR="002A6998" w:rsidRPr="00EB75F6" w:rsidRDefault="002A6998" w:rsidP="00EB75F6">
            <w:pPr>
              <w:spacing w:after="0"/>
              <w:jc w:val="both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2A6998" w:rsidRPr="00EB75F6" w14:paraId="3DADF421" w14:textId="77777777" w:rsidTr="008452BB">
        <w:trPr>
          <w:trHeight w:hRule="exact" w:val="819"/>
        </w:trPr>
        <w:tc>
          <w:tcPr>
            <w:tcW w:w="1006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2C1853" w14:textId="5B7EA20F" w:rsidR="002A6998" w:rsidRPr="00EB75F6" w:rsidRDefault="002A6998" w:rsidP="00EB75F6">
            <w:pPr>
              <w:numPr>
                <w:ilvl w:val="0"/>
                <w:numId w:val="1"/>
              </w:numPr>
              <w:spacing w:after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  <w:u w:val="single"/>
                <w:lang w:eastAsia="pl-PL"/>
              </w:rPr>
            </w:pPr>
            <w:r w:rsidRPr="00EB75F6">
              <w:rPr>
                <w:rFonts w:ascii="Verdana" w:eastAsia="Times New Roman" w:hAnsi="Verdana" w:cs="Arial"/>
                <w:b/>
                <w:color w:val="auto"/>
                <w:sz w:val="20"/>
                <w:szCs w:val="20"/>
                <w:u w:val="single"/>
                <w:lang w:eastAsia="pl-PL"/>
              </w:rPr>
              <w:t xml:space="preserve">Zakres </w:t>
            </w:r>
            <w:r w:rsidR="00DE0B6E">
              <w:rPr>
                <w:rFonts w:ascii="Verdana" w:eastAsia="Times New Roman" w:hAnsi="Verdana" w:cs="Arial"/>
                <w:b/>
                <w:color w:val="auto"/>
                <w:sz w:val="20"/>
                <w:szCs w:val="20"/>
                <w:u w:val="single"/>
                <w:lang w:eastAsia="pl-PL"/>
              </w:rPr>
              <w:t>regulaminu</w:t>
            </w:r>
          </w:p>
        </w:tc>
      </w:tr>
      <w:tr w:rsidR="002A6998" w:rsidRPr="00EB75F6" w14:paraId="2655C00D" w14:textId="77777777" w:rsidTr="008452BB">
        <w:trPr>
          <w:trHeight w:val="587"/>
        </w:trPr>
        <w:tc>
          <w:tcPr>
            <w:tcW w:w="2197" w:type="dxa"/>
            <w:shd w:val="clear" w:color="auto" w:fill="F2F2F2"/>
            <w:vAlign w:val="center"/>
          </w:tcPr>
          <w:p w14:paraId="557B76DF" w14:textId="77777777" w:rsidR="002A6998" w:rsidRPr="00EB75F6" w:rsidRDefault="002A6998" w:rsidP="00EB75F6">
            <w:pPr>
              <w:spacing w:after="0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Przedmiotowy</w:t>
            </w:r>
          </w:p>
        </w:tc>
        <w:tc>
          <w:tcPr>
            <w:tcW w:w="7868" w:type="dxa"/>
            <w:gridSpan w:val="3"/>
            <w:shd w:val="clear" w:color="auto" w:fill="auto"/>
            <w:vAlign w:val="center"/>
          </w:tcPr>
          <w:p w14:paraId="7C8C1D87" w14:textId="48B5A48F" w:rsidR="002A6998" w:rsidRPr="00EB75F6" w:rsidRDefault="002A6998" w:rsidP="00EB75F6">
            <w:pPr>
              <w:spacing w:after="0"/>
              <w:jc w:val="both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 xml:space="preserve">Niniejszy regulamin określa zasady organizacji </w:t>
            </w:r>
            <w:r w:rsidR="00B14D33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 xml:space="preserve">Wstępnych Konsultacji Rynkowych </w:t>
            </w: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przez Instytut, poprzedzając</w:t>
            </w:r>
            <w:r w:rsidR="00B14D33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ych</w:t>
            </w: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 xml:space="preserve"> Postępowanie o udzielenia Zamówienia Publicznego zgodnie</w:t>
            </w:r>
            <w:r w:rsidR="00B14D33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, prowadzonych zgodnie</w:t>
            </w: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 xml:space="preserve"> z przepisami art.</w:t>
            </w:r>
            <w:r w:rsidR="00EB0AF1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 </w:t>
            </w:r>
            <w:r w:rsidR="00433455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84</w:t>
            </w: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 xml:space="preserve"> – </w:t>
            </w:r>
            <w:r w:rsidR="00433455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85</w:t>
            </w: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 xml:space="preserve"> ustawy PZP</w:t>
            </w:r>
            <w:r w:rsidR="00B14D33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.</w:t>
            </w:r>
          </w:p>
        </w:tc>
      </w:tr>
      <w:tr w:rsidR="002A6998" w:rsidRPr="00EB75F6" w14:paraId="00AD275F" w14:textId="77777777" w:rsidTr="008452BB">
        <w:trPr>
          <w:trHeight w:val="587"/>
        </w:trPr>
        <w:tc>
          <w:tcPr>
            <w:tcW w:w="2197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14:paraId="42B57DE0" w14:textId="77777777" w:rsidR="002A6998" w:rsidRPr="00EB75F6" w:rsidRDefault="002A6998" w:rsidP="00EB75F6">
            <w:pPr>
              <w:spacing w:after="0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Podmiotowy</w:t>
            </w:r>
          </w:p>
        </w:tc>
        <w:tc>
          <w:tcPr>
            <w:tcW w:w="7868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7AADB55" w14:textId="77777777" w:rsidR="002A6998" w:rsidRPr="00EB75F6" w:rsidRDefault="002A6998" w:rsidP="00EB75F6">
            <w:pPr>
              <w:spacing w:after="0"/>
              <w:jc w:val="both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EB75F6">
              <w:rPr>
                <w:rFonts w:ascii="Verdana" w:eastAsia="Times New Roman" w:hAnsi="Verdana" w:cs="Arial"/>
                <w:bCs/>
                <w:iCs/>
                <w:color w:val="auto"/>
                <w:sz w:val="20"/>
                <w:szCs w:val="20"/>
                <w:lang w:eastAsia="pl-PL"/>
              </w:rPr>
              <w:t>Wszyscy pracownicy.</w:t>
            </w:r>
          </w:p>
        </w:tc>
      </w:tr>
      <w:tr w:rsidR="002A6998" w:rsidRPr="00EB75F6" w14:paraId="68F51BF0" w14:textId="77777777" w:rsidTr="008452BB">
        <w:trPr>
          <w:trHeight w:hRule="exact" w:val="803"/>
        </w:trPr>
        <w:tc>
          <w:tcPr>
            <w:tcW w:w="10065" w:type="dxa"/>
            <w:gridSpan w:val="4"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14:paraId="0DCC12AC" w14:textId="77777777" w:rsidR="002A6998" w:rsidRPr="00EB75F6" w:rsidRDefault="002A6998" w:rsidP="00EB75F6">
            <w:pPr>
              <w:numPr>
                <w:ilvl w:val="0"/>
                <w:numId w:val="1"/>
              </w:numPr>
              <w:spacing w:after="0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  <w:u w:val="single"/>
                <w:lang w:eastAsia="pl-PL"/>
              </w:rPr>
            </w:pPr>
            <w:r w:rsidRPr="00EB75F6">
              <w:rPr>
                <w:rFonts w:ascii="Verdana" w:eastAsia="Times New Roman" w:hAnsi="Verdana" w:cs="Arial"/>
                <w:b/>
                <w:color w:val="auto"/>
                <w:sz w:val="20"/>
                <w:szCs w:val="20"/>
                <w:u w:val="single"/>
                <w:lang w:eastAsia="pl-PL"/>
              </w:rPr>
              <w:t xml:space="preserve"> Zatwierdzenie dokumentu</w:t>
            </w:r>
          </w:p>
        </w:tc>
      </w:tr>
      <w:tr w:rsidR="002A6998" w:rsidRPr="00EB75F6" w14:paraId="55EBE4D9" w14:textId="77777777" w:rsidTr="0009263F">
        <w:trPr>
          <w:trHeight w:val="411"/>
        </w:trPr>
        <w:tc>
          <w:tcPr>
            <w:tcW w:w="2197" w:type="dxa"/>
            <w:tcBorders>
              <w:top w:val="nil"/>
              <w:left w:val="single" w:sz="12" w:space="0" w:color="808080"/>
            </w:tcBorders>
            <w:shd w:val="clear" w:color="auto" w:fill="auto"/>
          </w:tcPr>
          <w:p w14:paraId="1E3DA829" w14:textId="77777777" w:rsidR="002A6998" w:rsidRPr="00EB75F6" w:rsidRDefault="002A6998" w:rsidP="00EB75F6">
            <w:pPr>
              <w:spacing w:after="0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single" w:sz="4" w:space="0" w:color="808080"/>
            </w:tcBorders>
            <w:shd w:val="clear" w:color="auto" w:fill="F2F2F2"/>
            <w:vAlign w:val="center"/>
          </w:tcPr>
          <w:p w14:paraId="3E68E025" w14:textId="77777777" w:rsidR="002A6998" w:rsidRPr="00EB75F6" w:rsidRDefault="002A6998" w:rsidP="00EB75F6">
            <w:pPr>
              <w:spacing w:after="0"/>
              <w:jc w:val="center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2268" w:type="dxa"/>
            <w:tcBorders>
              <w:top w:val="single" w:sz="4" w:space="0" w:color="808080"/>
            </w:tcBorders>
            <w:shd w:val="clear" w:color="auto" w:fill="F2F2F2"/>
            <w:vAlign w:val="center"/>
          </w:tcPr>
          <w:p w14:paraId="586BCE92" w14:textId="77777777" w:rsidR="002A6998" w:rsidRPr="00EB75F6" w:rsidRDefault="002A6998" w:rsidP="00EB75F6">
            <w:pPr>
              <w:spacing w:after="0"/>
              <w:jc w:val="center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Imię, nazwisko</w:t>
            </w:r>
          </w:p>
        </w:tc>
        <w:tc>
          <w:tcPr>
            <w:tcW w:w="2026" w:type="dxa"/>
            <w:tcBorders>
              <w:top w:val="single" w:sz="4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3AE09CCB" w14:textId="77777777" w:rsidR="002A6998" w:rsidRPr="00EB75F6" w:rsidRDefault="002A6998" w:rsidP="00EB75F6">
            <w:pPr>
              <w:spacing w:after="0"/>
              <w:jc w:val="center"/>
              <w:rPr>
                <w:rFonts w:ascii="Verdana" w:eastAsia="Times New Roman" w:hAnsi="Verdana" w:cs="Arial"/>
                <w:i/>
                <w:color w:val="auto"/>
                <w:sz w:val="20"/>
                <w:szCs w:val="20"/>
                <w:lang w:eastAsia="pl-PL"/>
              </w:rPr>
            </w:pPr>
            <w:r w:rsidRPr="00EB75F6">
              <w:rPr>
                <w:rFonts w:ascii="Verdana" w:eastAsia="Times New Roman" w:hAnsi="Verdana" w:cs="Arial"/>
                <w:i/>
                <w:color w:val="auto"/>
                <w:sz w:val="20"/>
                <w:szCs w:val="20"/>
                <w:lang w:eastAsia="pl-PL"/>
              </w:rPr>
              <w:t>Podpis</w:t>
            </w:r>
          </w:p>
        </w:tc>
      </w:tr>
      <w:tr w:rsidR="00EB0AF1" w:rsidRPr="00EB75F6" w14:paraId="64461684" w14:textId="77777777" w:rsidTr="0009263F">
        <w:trPr>
          <w:trHeight w:val="697"/>
        </w:trPr>
        <w:tc>
          <w:tcPr>
            <w:tcW w:w="2197" w:type="dxa"/>
            <w:tcBorders>
              <w:left w:val="single" w:sz="12" w:space="0" w:color="808080"/>
            </w:tcBorders>
            <w:shd w:val="clear" w:color="auto" w:fill="F2F2F2"/>
            <w:vAlign w:val="center"/>
          </w:tcPr>
          <w:p w14:paraId="55B72F26" w14:textId="77777777" w:rsidR="00EB0AF1" w:rsidRPr="00EB75F6" w:rsidRDefault="00EB0AF1" w:rsidP="00EB0AF1">
            <w:pPr>
              <w:spacing w:after="120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Opracował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F98A83B" w14:textId="79486592" w:rsidR="00EB0AF1" w:rsidRPr="000046DE" w:rsidRDefault="00EB0AF1" w:rsidP="0009263F">
            <w:pPr>
              <w:spacing w:after="120"/>
              <w:jc w:val="center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0046DE">
              <w:rPr>
                <w:rFonts w:ascii="Verdana" w:hAnsi="Verdana"/>
                <w:color w:val="auto"/>
                <w:sz w:val="20"/>
                <w:szCs w:val="20"/>
              </w:rPr>
              <w:t>Kierownik Działu Zakupów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7AE10F" w14:textId="77777777" w:rsidR="00EB0AF1" w:rsidRPr="00EB75F6" w:rsidRDefault="00EB0AF1" w:rsidP="00EB0AF1">
            <w:pPr>
              <w:spacing w:after="120"/>
              <w:jc w:val="center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 xml:space="preserve">Beata </w:t>
            </w:r>
            <w:proofErr w:type="spellStart"/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Chodyńska</w:t>
            </w:r>
            <w:proofErr w:type="spellEnd"/>
          </w:p>
        </w:tc>
        <w:tc>
          <w:tcPr>
            <w:tcW w:w="2026" w:type="dxa"/>
            <w:tcBorders>
              <w:right w:val="single" w:sz="12" w:space="0" w:color="808080"/>
            </w:tcBorders>
            <w:shd w:val="clear" w:color="auto" w:fill="auto"/>
            <w:vAlign w:val="center"/>
          </w:tcPr>
          <w:p w14:paraId="5B18DF94" w14:textId="50F7E2C1" w:rsidR="00EB0AF1" w:rsidRPr="00EB0AF1" w:rsidRDefault="00EB0AF1" w:rsidP="00EB0AF1">
            <w:pPr>
              <w:spacing w:after="120"/>
              <w:jc w:val="center"/>
              <w:rPr>
                <w:rFonts w:ascii="Verdana" w:eastAsia="Times New Roman" w:hAnsi="Verdana" w:cs="Arial"/>
                <w:color w:val="auto"/>
                <w:sz w:val="14"/>
                <w:szCs w:val="14"/>
                <w:lang w:eastAsia="pl-PL"/>
              </w:rPr>
            </w:pPr>
          </w:p>
        </w:tc>
      </w:tr>
      <w:tr w:rsidR="00EB0AF1" w:rsidRPr="00EB75F6" w14:paraId="29DB28A0" w14:textId="77777777" w:rsidTr="0009263F">
        <w:trPr>
          <w:trHeight w:val="294"/>
        </w:trPr>
        <w:tc>
          <w:tcPr>
            <w:tcW w:w="2197" w:type="dxa"/>
            <w:tcBorders>
              <w:left w:val="single" w:sz="12" w:space="0" w:color="808080"/>
            </w:tcBorders>
            <w:shd w:val="clear" w:color="auto" w:fill="F2F2F2"/>
            <w:vAlign w:val="center"/>
          </w:tcPr>
          <w:p w14:paraId="6FDAB96A" w14:textId="77777777" w:rsidR="00EB0AF1" w:rsidRPr="00EB75F6" w:rsidRDefault="00EB0AF1" w:rsidP="00EB0AF1">
            <w:pPr>
              <w:spacing w:after="120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Zaakceptował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5081431" w14:textId="696D9157" w:rsidR="00EB0AF1" w:rsidRPr="000046DE" w:rsidRDefault="00EB0AF1" w:rsidP="0009263F">
            <w:pPr>
              <w:spacing w:after="120"/>
              <w:jc w:val="center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0046DE">
              <w:rPr>
                <w:rFonts w:ascii="Verdana" w:hAnsi="Verdana"/>
                <w:color w:val="auto"/>
                <w:sz w:val="20"/>
                <w:szCs w:val="20"/>
              </w:rPr>
              <w:t>Dyrektor Departamentu Organizacji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FB58DF" w14:textId="77777777" w:rsidR="00EB0AF1" w:rsidRPr="00EB75F6" w:rsidRDefault="00EB0AF1" w:rsidP="00EB0AF1">
            <w:pPr>
              <w:spacing w:after="120"/>
              <w:jc w:val="center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Małgorzata Błaszkowska</w:t>
            </w:r>
          </w:p>
        </w:tc>
        <w:tc>
          <w:tcPr>
            <w:tcW w:w="2026" w:type="dxa"/>
            <w:tcBorders>
              <w:right w:val="single" w:sz="12" w:space="0" w:color="808080"/>
            </w:tcBorders>
            <w:shd w:val="clear" w:color="auto" w:fill="auto"/>
            <w:vAlign w:val="center"/>
          </w:tcPr>
          <w:p w14:paraId="728D17E9" w14:textId="50C2E0A0" w:rsidR="00EB0AF1" w:rsidRPr="00EB0AF1" w:rsidRDefault="00EB0AF1" w:rsidP="00EB0AF1">
            <w:pPr>
              <w:spacing w:after="120"/>
              <w:jc w:val="center"/>
              <w:rPr>
                <w:rFonts w:ascii="Verdana" w:eastAsia="Times New Roman" w:hAnsi="Verdana" w:cs="Arial"/>
                <w:color w:val="auto"/>
                <w:sz w:val="14"/>
                <w:szCs w:val="14"/>
                <w:lang w:eastAsia="pl-PL"/>
              </w:rPr>
            </w:pPr>
          </w:p>
        </w:tc>
      </w:tr>
      <w:tr w:rsidR="00EB0AF1" w:rsidRPr="00EB75F6" w14:paraId="71FEC4A0" w14:textId="77777777" w:rsidTr="0009263F">
        <w:trPr>
          <w:trHeight w:val="294"/>
        </w:trPr>
        <w:tc>
          <w:tcPr>
            <w:tcW w:w="2197" w:type="dxa"/>
            <w:tcBorders>
              <w:left w:val="single" w:sz="12" w:space="0" w:color="808080"/>
            </w:tcBorders>
            <w:shd w:val="clear" w:color="auto" w:fill="F2F2F2"/>
            <w:vAlign w:val="center"/>
          </w:tcPr>
          <w:p w14:paraId="57B25A04" w14:textId="77777777" w:rsidR="00EB0AF1" w:rsidRPr="00EB75F6" w:rsidRDefault="00EB0AF1" w:rsidP="00EB0AF1">
            <w:pPr>
              <w:spacing w:after="120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Zaakceptował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03427C3" w14:textId="28CC0EBD" w:rsidR="00EB0AF1" w:rsidRPr="000046DE" w:rsidRDefault="00EB0AF1" w:rsidP="0009263F">
            <w:pPr>
              <w:spacing w:after="120"/>
              <w:jc w:val="center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0046DE">
              <w:rPr>
                <w:rFonts w:ascii="Verdana" w:hAnsi="Verdana"/>
                <w:color w:val="auto"/>
                <w:sz w:val="20"/>
                <w:szCs w:val="20"/>
              </w:rPr>
              <w:t>Z-ca Dyrektora ds. Finansowych i Operacyjnych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E65BA7" w14:textId="77777777" w:rsidR="00EB0AF1" w:rsidRPr="00EB75F6" w:rsidRDefault="00EB0AF1" w:rsidP="00EB0AF1">
            <w:pPr>
              <w:spacing w:after="120"/>
              <w:jc w:val="center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Jakub Sojka</w:t>
            </w:r>
          </w:p>
        </w:tc>
        <w:tc>
          <w:tcPr>
            <w:tcW w:w="2026" w:type="dxa"/>
            <w:tcBorders>
              <w:right w:val="single" w:sz="12" w:space="0" w:color="808080"/>
            </w:tcBorders>
            <w:shd w:val="clear" w:color="auto" w:fill="auto"/>
            <w:vAlign w:val="center"/>
          </w:tcPr>
          <w:p w14:paraId="6F56DA3A" w14:textId="5F304426" w:rsidR="00EB0AF1" w:rsidRPr="00EB0AF1" w:rsidRDefault="00EB0AF1" w:rsidP="00EB0AF1">
            <w:pPr>
              <w:spacing w:after="120"/>
              <w:jc w:val="center"/>
              <w:rPr>
                <w:rFonts w:ascii="Verdana" w:eastAsia="Times New Roman" w:hAnsi="Verdana" w:cs="Arial"/>
                <w:color w:val="auto"/>
                <w:sz w:val="14"/>
                <w:szCs w:val="14"/>
                <w:lang w:eastAsia="pl-PL"/>
              </w:rPr>
            </w:pPr>
          </w:p>
        </w:tc>
      </w:tr>
      <w:tr w:rsidR="00EB0AF1" w:rsidRPr="00EB75F6" w14:paraId="077FE9D1" w14:textId="77777777" w:rsidTr="000046DE">
        <w:trPr>
          <w:trHeight w:val="643"/>
        </w:trPr>
        <w:tc>
          <w:tcPr>
            <w:tcW w:w="2197" w:type="dxa"/>
            <w:tcBorders>
              <w:left w:val="single" w:sz="12" w:space="0" w:color="808080"/>
            </w:tcBorders>
            <w:shd w:val="clear" w:color="auto" w:fill="F2F2F2"/>
            <w:vAlign w:val="center"/>
          </w:tcPr>
          <w:p w14:paraId="55CA1B25" w14:textId="77777777" w:rsidR="00EB0AF1" w:rsidRPr="00EB75F6" w:rsidRDefault="00EB0AF1" w:rsidP="00EB0AF1">
            <w:pPr>
              <w:spacing w:after="0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Zaakceptował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5803F5F" w14:textId="05DEF3B1" w:rsidR="00EB0AF1" w:rsidRPr="000046DE" w:rsidDel="00AA5800" w:rsidRDefault="00EB0AF1" w:rsidP="0009263F">
            <w:pPr>
              <w:spacing w:after="0"/>
              <w:jc w:val="center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0046DE">
              <w:rPr>
                <w:rFonts w:ascii="Verdana" w:hAnsi="Verdana"/>
                <w:color w:val="auto"/>
                <w:sz w:val="20"/>
                <w:szCs w:val="20"/>
              </w:rPr>
              <w:t>Biuro Prawne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FCDF04" w14:textId="375E2E45" w:rsidR="00EB0AF1" w:rsidRPr="00EB75F6" w:rsidDel="00AA5800" w:rsidRDefault="00EB0AF1" w:rsidP="00EB0AF1">
            <w:pPr>
              <w:spacing w:after="0"/>
              <w:jc w:val="center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Piotr Jaros</w:t>
            </w:r>
          </w:p>
        </w:tc>
        <w:tc>
          <w:tcPr>
            <w:tcW w:w="2026" w:type="dxa"/>
            <w:tcBorders>
              <w:right w:val="single" w:sz="12" w:space="0" w:color="808080"/>
            </w:tcBorders>
            <w:shd w:val="clear" w:color="auto" w:fill="auto"/>
            <w:vAlign w:val="center"/>
          </w:tcPr>
          <w:p w14:paraId="35047817" w14:textId="59B34077" w:rsidR="00EB0AF1" w:rsidRPr="00EB0AF1" w:rsidRDefault="00EB0AF1" w:rsidP="00EB0AF1">
            <w:pPr>
              <w:spacing w:after="0"/>
              <w:jc w:val="center"/>
              <w:rPr>
                <w:rFonts w:ascii="Verdana" w:eastAsia="Times New Roman" w:hAnsi="Verdana" w:cs="Arial"/>
                <w:color w:val="auto"/>
                <w:sz w:val="14"/>
                <w:szCs w:val="14"/>
                <w:lang w:eastAsia="pl-PL"/>
              </w:rPr>
            </w:pPr>
          </w:p>
        </w:tc>
      </w:tr>
      <w:tr w:rsidR="00EB0AF1" w:rsidRPr="00EB75F6" w14:paraId="0773DC9D" w14:textId="77777777" w:rsidTr="0009263F">
        <w:trPr>
          <w:trHeight w:val="294"/>
        </w:trPr>
        <w:tc>
          <w:tcPr>
            <w:tcW w:w="2197" w:type="dxa"/>
            <w:tcBorders>
              <w:left w:val="single" w:sz="12" w:space="0" w:color="808080"/>
            </w:tcBorders>
            <w:shd w:val="clear" w:color="auto" w:fill="F2F2F2"/>
            <w:vAlign w:val="center"/>
          </w:tcPr>
          <w:p w14:paraId="5139BA23" w14:textId="77777777" w:rsidR="00EB0AF1" w:rsidRPr="00EB75F6" w:rsidRDefault="00EB0AF1" w:rsidP="00EB0AF1">
            <w:pPr>
              <w:spacing w:after="0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Zaakceptował</w:t>
            </w: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ab/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EA6A7EF" w14:textId="5601BA69" w:rsidR="00EB0AF1" w:rsidRPr="000046DE" w:rsidRDefault="00EB0AF1" w:rsidP="0009263F">
            <w:pPr>
              <w:spacing w:after="0"/>
              <w:jc w:val="center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0046DE">
              <w:rPr>
                <w:rFonts w:ascii="Verdana" w:hAnsi="Verdana"/>
                <w:color w:val="auto"/>
                <w:sz w:val="20"/>
                <w:szCs w:val="20"/>
              </w:rPr>
              <w:t>Dyrektor Departamentu Wsparcia Badań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488947" w14:textId="13A4C3BF" w:rsidR="00EB0AF1" w:rsidRPr="00EB75F6" w:rsidRDefault="00EB0AF1" w:rsidP="00EB0AF1">
            <w:pPr>
              <w:spacing w:after="0"/>
              <w:jc w:val="center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Anna Chmura</w:t>
            </w:r>
          </w:p>
        </w:tc>
        <w:tc>
          <w:tcPr>
            <w:tcW w:w="2026" w:type="dxa"/>
            <w:tcBorders>
              <w:right w:val="single" w:sz="12" w:space="0" w:color="808080"/>
            </w:tcBorders>
            <w:shd w:val="clear" w:color="auto" w:fill="auto"/>
            <w:vAlign w:val="center"/>
          </w:tcPr>
          <w:p w14:paraId="45C73CCA" w14:textId="69A09819" w:rsidR="00EB0AF1" w:rsidRPr="00EB0AF1" w:rsidRDefault="00EB0AF1" w:rsidP="00EB0AF1">
            <w:pPr>
              <w:spacing w:after="0"/>
              <w:jc w:val="center"/>
              <w:rPr>
                <w:rFonts w:ascii="Verdana" w:eastAsia="Times New Roman" w:hAnsi="Verdana" w:cs="Arial"/>
                <w:color w:val="auto"/>
                <w:sz w:val="14"/>
                <w:szCs w:val="14"/>
                <w:lang w:eastAsia="pl-PL"/>
              </w:rPr>
            </w:pPr>
          </w:p>
        </w:tc>
      </w:tr>
      <w:tr w:rsidR="00EB0AF1" w:rsidRPr="00EB75F6" w14:paraId="1BB61651" w14:textId="77777777" w:rsidTr="0009263F">
        <w:trPr>
          <w:trHeight w:val="641"/>
        </w:trPr>
        <w:tc>
          <w:tcPr>
            <w:tcW w:w="2197" w:type="dxa"/>
            <w:tcBorders>
              <w:left w:val="single" w:sz="12" w:space="0" w:color="808080"/>
              <w:bottom w:val="single" w:sz="4" w:space="0" w:color="808080"/>
            </w:tcBorders>
            <w:shd w:val="clear" w:color="auto" w:fill="F2F2F2"/>
            <w:vAlign w:val="center"/>
          </w:tcPr>
          <w:p w14:paraId="02E3349A" w14:textId="77777777" w:rsidR="00EB0AF1" w:rsidRPr="00EB75F6" w:rsidRDefault="00EB0AF1" w:rsidP="00EB0AF1">
            <w:pPr>
              <w:spacing w:after="0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Zaakceptował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165A8F2" w14:textId="7758DF15" w:rsidR="00EB0AF1" w:rsidRPr="000046DE" w:rsidDel="0063529F" w:rsidRDefault="00EB0AF1" w:rsidP="0009263F">
            <w:pPr>
              <w:spacing w:after="0"/>
              <w:jc w:val="center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0046DE">
              <w:rPr>
                <w:rFonts w:ascii="Verdana" w:hAnsi="Verdana"/>
                <w:color w:val="auto"/>
                <w:sz w:val="20"/>
                <w:szCs w:val="20"/>
              </w:rPr>
              <w:t>Dyrektor Finansowy/Główny Księgowy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0F442E" w14:textId="77777777" w:rsidR="00EB0AF1" w:rsidRPr="00EB75F6" w:rsidDel="001D05E0" w:rsidRDefault="00EB0AF1" w:rsidP="00EB0AF1">
            <w:pPr>
              <w:spacing w:after="0"/>
              <w:jc w:val="center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Robert Nowak</w:t>
            </w:r>
          </w:p>
        </w:tc>
        <w:tc>
          <w:tcPr>
            <w:tcW w:w="2026" w:type="dxa"/>
            <w:tcBorders>
              <w:right w:val="single" w:sz="12" w:space="0" w:color="808080"/>
            </w:tcBorders>
            <w:shd w:val="clear" w:color="auto" w:fill="auto"/>
            <w:vAlign w:val="center"/>
          </w:tcPr>
          <w:p w14:paraId="28B75149" w14:textId="067FA319" w:rsidR="00EB0AF1" w:rsidRPr="00EB0AF1" w:rsidRDefault="00EB0AF1" w:rsidP="00EB0AF1">
            <w:pPr>
              <w:spacing w:after="0"/>
              <w:jc w:val="center"/>
              <w:rPr>
                <w:rFonts w:ascii="Verdana" w:eastAsia="Times New Roman" w:hAnsi="Verdana" w:cs="Arial"/>
                <w:color w:val="auto"/>
                <w:sz w:val="14"/>
                <w:szCs w:val="14"/>
                <w:lang w:eastAsia="pl-PL"/>
              </w:rPr>
            </w:pPr>
          </w:p>
        </w:tc>
      </w:tr>
      <w:tr w:rsidR="003E3D55" w:rsidRPr="00EB75F6" w14:paraId="108B4D8E" w14:textId="77777777" w:rsidTr="0009263F">
        <w:trPr>
          <w:trHeight w:val="1018"/>
        </w:trPr>
        <w:tc>
          <w:tcPr>
            <w:tcW w:w="2197" w:type="dxa"/>
            <w:tcBorders>
              <w:left w:val="single" w:sz="12" w:space="0" w:color="808080"/>
              <w:bottom w:val="single" w:sz="4" w:space="0" w:color="808080"/>
            </w:tcBorders>
            <w:shd w:val="clear" w:color="auto" w:fill="BFBFBF"/>
            <w:vAlign w:val="center"/>
          </w:tcPr>
          <w:p w14:paraId="3382EF21" w14:textId="24F27E66" w:rsidR="00426869" w:rsidRPr="00312A4F" w:rsidRDefault="00426869" w:rsidP="00426869">
            <w:pPr>
              <w:spacing w:after="0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Zatwierdził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11C8653" w14:textId="360276CF" w:rsidR="00426869" w:rsidRPr="000046DE" w:rsidRDefault="00426869" w:rsidP="0009263F">
            <w:pPr>
              <w:spacing w:after="0"/>
              <w:jc w:val="center"/>
              <w:rPr>
                <w:rFonts w:ascii="Verdana" w:eastAsia="Times New Roman" w:hAnsi="Verdana" w:cs="Arial"/>
                <w:color w:val="auto"/>
                <w:spacing w:val="-4"/>
                <w:sz w:val="20"/>
                <w:szCs w:val="20"/>
                <w:lang w:eastAsia="pl-PL"/>
              </w:rPr>
            </w:pPr>
            <w:r w:rsidRPr="000046DE">
              <w:rPr>
                <w:rFonts w:ascii="Verdana" w:hAnsi="Verdana"/>
                <w:color w:val="auto"/>
                <w:sz w:val="20"/>
                <w:szCs w:val="20"/>
              </w:rPr>
              <w:t>Dyrektor Instytutu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5A06F9" w14:textId="77777777" w:rsidR="00426869" w:rsidRPr="00EB75F6" w:rsidRDefault="00426869" w:rsidP="00426869">
            <w:pPr>
              <w:spacing w:after="0"/>
              <w:jc w:val="center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  <w:r w:rsidRPr="00EB75F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  <w:t>Andrzej Dybczyński</w:t>
            </w:r>
          </w:p>
        </w:tc>
        <w:tc>
          <w:tcPr>
            <w:tcW w:w="2026" w:type="dxa"/>
            <w:tcBorders>
              <w:right w:val="single" w:sz="12" w:space="0" w:color="808080"/>
            </w:tcBorders>
            <w:shd w:val="clear" w:color="auto" w:fill="auto"/>
            <w:vAlign w:val="center"/>
          </w:tcPr>
          <w:p w14:paraId="0BE5F8ED" w14:textId="77777777" w:rsidR="00426869" w:rsidRPr="00EB75F6" w:rsidRDefault="00426869" w:rsidP="00426869">
            <w:pPr>
              <w:spacing w:after="0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4935633E" w14:textId="49D089E3" w:rsidR="002A6998" w:rsidRDefault="002A6998" w:rsidP="00EB75F6">
      <w:pPr>
        <w:spacing w:after="0"/>
        <w:rPr>
          <w:rFonts w:ascii="Verdana" w:hAnsi="Verdana"/>
          <w:color w:val="auto"/>
          <w:sz w:val="20"/>
          <w:szCs w:val="20"/>
        </w:rPr>
      </w:pPr>
    </w:p>
    <w:p w14:paraId="6046A88C" w14:textId="11BCEFF5" w:rsidR="00DE0B6E" w:rsidRDefault="00DE0B6E" w:rsidP="00EB75F6">
      <w:pPr>
        <w:spacing w:after="0"/>
        <w:rPr>
          <w:rFonts w:ascii="Verdana" w:hAnsi="Verdana"/>
          <w:color w:val="auto"/>
          <w:sz w:val="20"/>
          <w:szCs w:val="20"/>
        </w:rPr>
      </w:pPr>
    </w:p>
    <w:p w14:paraId="184E4F77" w14:textId="7369D4A4" w:rsidR="00DE0B6E" w:rsidRDefault="00DE0B6E" w:rsidP="00EB75F6">
      <w:pPr>
        <w:spacing w:after="0"/>
        <w:rPr>
          <w:rFonts w:ascii="Verdana" w:hAnsi="Verdana"/>
          <w:color w:val="auto"/>
          <w:sz w:val="20"/>
          <w:szCs w:val="20"/>
        </w:rPr>
      </w:pPr>
    </w:p>
    <w:p w14:paraId="3E0F8BA4" w14:textId="77777777" w:rsidR="000046DE" w:rsidRDefault="000046DE" w:rsidP="00EB75F6">
      <w:pPr>
        <w:spacing w:after="0"/>
        <w:rPr>
          <w:rFonts w:ascii="Verdana" w:hAnsi="Verdana"/>
          <w:color w:val="auto"/>
          <w:sz w:val="20"/>
          <w:szCs w:val="20"/>
        </w:rPr>
      </w:pPr>
    </w:p>
    <w:p w14:paraId="566EE735" w14:textId="7F473FD7" w:rsidR="00DE0B6E" w:rsidRDefault="00DE0B6E" w:rsidP="00EB75F6">
      <w:pPr>
        <w:spacing w:after="0"/>
        <w:rPr>
          <w:rFonts w:ascii="Verdana" w:hAnsi="Verdana"/>
          <w:color w:val="auto"/>
          <w:sz w:val="20"/>
          <w:szCs w:val="20"/>
        </w:rPr>
      </w:pPr>
    </w:p>
    <w:p w14:paraId="6B690833" w14:textId="376C785A" w:rsidR="0009263F" w:rsidRDefault="0009263F" w:rsidP="00EB75F6">
      <w:pPr>
        <w:spacing w:after="0"/>
        <w:rPr>
          <w:rFonts w:ascii="Verdana" w:hAnsi="Verdana"/>
          <w:color w:val="auto"/>
          <w:sz w:val="20"/>
          <w:szCs w:val="20"/>
        </w:rPr>
      </w:pPr>
    </w:p>
    <w:p w14:paraId="5751D6DB" w14:textId="77777777" w:rsidR="0009263F" w:rsidRPr="00EB75F6" w:rsidRDefault="0009263F" w:rsidP="00EB75F6">
      <w:pPr>
        <w:spacing w:after="0"/>
        <w:rPr>
          <w:rFonts w:ascii="Verdana" w:hAnsi="Verdana"/>
          <w:color w:val="auto"/>
          <w:sz w:val="20"/>
          <w:szCs w:val="20"/>
        </w:rPr>
      </w:pPr>
    </w:p>
    <w:p w14:paraId="202D2C00" w14:textId="77777777" w:rsidR="002A6998" w:rsidRPr="00EB75F6" w:rsidRDefault="002A6998" w:rsidP="00EB75F6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b/>
          <w:color w:val="auto"/>
          <w:sz w:val="20"/>
          <w:szCs w:val="20"/>
          <w:u w:val="single"/>
        </w:rPr>
        <w:t>Zakres Regulaminu</w:t>
      </w:r>
      <w:r w:rsidRPr="00EB75F6">
        <w:rPr>
          <w:rFonts w:ascii="Verdana" w:hAnsi="Verdana"/>
          <w:color w:val="auto"/>
          <w:sz w:val="20"/>
          <w:szCs w:val="20"/>
        </w:rPr>
        <w:t xml:space="preserve"> </w:t>
      </w:r>
    </w:p>
    <w:p w14:paraId="7FFDB3BE" w14:textId="77777777" w:rsidR="002A6998" w:rsidRPr="00EB75F6" w:rsidRDefault="002A6998" w:rsidP="00EB75F6">
      <w:pPr>
        <w:pStyle w:val="Akapitzlist"/>
        <w:spacing w:after="0"/>
        <w:ind w:left="360"/>
        <w:jc w:val="both"/>
        <w:rPr>
          <w:rFonts w:ascii="Verdana" w:hAnsi="Verdana"/>
          <w:color w:val="auto"/>
          <w:sz w:val="20"/>
          <w:szCs w:val="20"/>
        </w:rPr>
      </w:pPr>
    </w:p>
    <w:p w14:paraId="42E5859F" w14:textId="241C0606" w:rsidR="002A6998" w:rsidRPr="00EB75F6" w:rsidRDefault="002A6998" w:rsidP="00DE0B6E">
      <w:pPr>
        <w:spacing w:after="0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4.1. Regulamin określa zasady prowadzenia przez Zamawiającego </w:t>
      </w:r>
      <w:r w:rsidR="00DA553D">
        <w:rPr>
          <w:rFonts w:ascii="Verdana" w:hAnsi="Verdana"/>
          <w:color w:val="auto"/>
          <w:sz w:val="20"/>
          <w:szCs w:val="20"/>
        </w:rPr>
        <w:t>wstępnych konsultacji rynkowych</w:t>
      </w:r>
      <w:r w:rsidRPr="00EB75F6">
        <w:rPr>
          <w:rFonts w:ascii="Verdana" w:hAnsi="Verdana"/>
          <w:color w:val="auto"/>
          <w:sz w:val="20"/>
          <w:szCs w:val="20"/>
        </w:rPr>
        <w:t>, o który</w:t>
      </w:r>
      <w:r w:rsidR="00DE0B6E">
        <w:rPr>
          <w:rFonts w:ascii="Verdana" w:hAnsi="Verdana"/>
          <w:color w:val="auto"/>
          <w:sz w:val="20"/>
          <w:szCs w:val="20"/>
        </w:rPr>
        <w:t>ch</w:t>
      </w:r>
      <w:r w:rsidRPr="00EB75F6">
        <w:rPr>
          <w:rFonts w:ascii="Verdana" w:hAnsi="Verdana"/>
          <w:color w:val="auto"/>
          <w:sz w:val="20"/>
          <w:szCs w:val="20"/>
        </w:rPr>
        <w:t xml:space="preserve"> mowa w art. </w:t>
      </w:r>
      <w:r w:rsidR="00DA553D">
        <w:rPr>
          <w:rFonts w:ascii="Verdana" w:hAnsi="Verdana"/>
          <w:color w:val="auto"/>
          <w:sz w:val="20"/>
          <w:szCs w:val="20"/>
        </w:rPr>
        <w:t>84-85</w:t>
      </w:r>
      <w:r w:rsidRPr="00EB75F6">
        <w:rPr>
          <w:rFonts w:ascii="Verdana" w:hAnsi="Verdana"/>
          <w:color w:val="auto"/>
          <w:sz w:val="20"/>
          <w:szCs w:val="20"/>
        </w:rPr>
        <w:t xml:space="preserve"> ustawy PZP, zwan</w:t>
      </w:r>
      <w:r w:rsidR="00B14D33">
        <w:rPr>
          <w:rFonts w:ascii="Verdana" w:hAnsi="Verdana"/>
          <w:color w:val="auto"/>
          <w:sz w:val="20"/>
          <w:szCs w:val="20"/>
        </w:rPr>
        <w:t>ych</w:t>
      </w:r>
      <w:r w:rsidRPr="00EB75F6">
        <w:rPr>
          <w:rFonts w:ascii="Verdana" w:hAnsi="Verdana"/>
          <w:color w:val="auto"/>
          <w:sz w:val="20"/>
          <w:szCs w:val="20"/>
        </w:rPr>
        <w:t xml:space="preserve"> </w:t>
      </w:r>
      <w:r w:rsidR="00E60307" w:rsidRPr="00EB75F6">
        <w:rPr>
          <w:rFonts w:ascii="Verdana" w:hAnsi="Verdana"/>
          <w:color w:val="auto"/>
          <w:sz w:val="20"/>
          <w:szCs w:val="20"/>
        </w:rPr>
        <w:t>dalej” konsultacjami</w:t>
      </w:r>
      <w:r w:rsidR="00B14D33">
        <w:rPr>
          <w:rFonts w:ascii="Verdana" w:hAnsi="Verdana"/>
          <w:color w:val="auto"/>
          <w:sz w:val="20"/>
          <w:szCs w:val="20"/>
        </w:rPr>
        <w:t>”</w:t>
      </w:r>
      <w:r w:rsidRPr="00EB75F6">
        <w:rPr>
          <w:rFonts w:ascii="Verdana" w:hAnsi="Verdana"/>
          <w:color w:val="auto"/>
          <w:sz w:val="20"/>
          <w:szCs w:val="20"/>
        </w:rPr>
        <w:t>, poprzedzając</w:t>
      </w:r>
      <w:r w:rsidR="00B14D33">
        <w:rPr>
          <w:rFonts w:ascii="Verdana" w:hAnsi="Verdana"/>
          <w:color w:val="auto"/>
          <w:sz w:val="20"/>
          <w:szCs w:val="20"/>
        </w:rPr>
        <w:t>ymi</w:t>
      </w:r>
      <w:r w:rsidRPr="00EB75F6">
        <w:rPr>
          <w:rFonts w:ascii="Verdana" w:hAnsi="Verdana"/>
          <w:color w:val="auto"/>
          <w:sz w:val="20"/>
          <w:szCs w:val="20"/>
        </w:rPr>
        <w:t xml:space="preserve"> Postępowanie. </w:t>
      </w:r>
    </w:p>
    <w:p w14:paraId="7A43F981" w14:textId="77777777" w:rsidR="002A6998" w:rsidRPr="00EB75F6" w:rsidRDefault="002A6998" w:rsidP="00EB75F6">
      <w:pPr>
        <w:spacing w:after="0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4.2. Wybór Wykonawcy Zamówienia zostanie dokonany w wyniku odrębnego Postępowania o udzielenie zamówienia publicznego, prowadzonego na podstawie przepisów ustawy PZP. </w:t>
      </w:r>
    </w:p>
    <w:p w14:paraId="1CC7B46A" w14:textId="2F4431AE" w:rsidR="002A6998" w:rsidRPr="00EB75F6" w:rsidRDefault="002A6998" w:rsidP="00EB75F6">
      <w:pPr>
        <w:spacing w:after="0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4.3. </w:t>
      </w:r>
      <w:r w:rsidR="00DA553D">
        <w:rPr>
          <w:rFonts w:ascii="Verdana" w:hAnsi="Verdana"/>
          <w:color w:val="auto"/>
          <w:sz w:val="20"/>
          <w:szCs w:val="20"/>
        </w:rPr>
        <w:t xml:space="preserve">Konsultacje </w:t>
      </w:r>
      <w:r w:rsidRPr="00EB75F6">
        <w:rPr>
          <w:rFonts w:ascii="Verdana" w:hAnsi="Verdana"/>
          <w:color w:val="auto"/>
          <w:sz w:val="20"/>
          <w:szCs w:val="20"/>
        </w:rPr>
        <w:t>prowadzon</w:t>
      </w:r>
      <w:r w:rsidR="00DA553D">
        <w:rPr>
          <w:rFonts w:ascii="Verdana" w:hAnsi="Verdana"/>
          <w:color w:val="auto"/>
          <w:sz w:val="20"/>
          <w:szCs w:val="20"/>
        </w:rPr>
        <w:t>e są</w:t>
      </w:r>
      <w:r w:rsidRPr="00EB75F6">
        <w:rPr>
          <w:rFonts w:ascii="Verdana" w:hAnsi="Verdana"/>
          <w:color w:val="auto"/>
          <w:sz w:val="20"/>
          <w:szCs w:val="20"/>
        </w:rPr>
        <w:t xml:space="preserve"> na podstawie i zgodnie z art. </w:t>
      </w:r>
      <w:r w:rsidR="00DA553D">
        <w:rPr>
          <w:rFonts w:ascii="Verdana" w:hAnsi="Verdana"/>
          <w:color w:val="auto"/>
          <w:sz w:val="20"/>
          <w:szCs w:val="20"/>
        </w:rPr>
        <w:t>84</w:t>
      </w:r>
      <w:r w:rsidRPr="00EB75F6">
        <w:rPr>
          <w:rFonts w:ascii="Verdana" w:hAnsi="Verdana"/>
          <w:color w:val="auto"/>
          <w:sz w:val="20"/>
          <w:szCs w:val="20"/>
        </w:rPr>
        <w:t xml:space="preserve"> - </w:t>
      </w:r>
      <w:r w:rsidR="00DA553D">
        <w:rPr>
          <w:rFonts w:ascii="Verdana" w:hAnsi="Verdana"/>
          <w:color w:val="auto"/>
          <w:sz w:val="20"/>
          <w:szCs w:val="20"/>
        </w:rPr>
        <w:t>85</w:t>
      </w:r>
      <w:r w:rsidRPr="00EB75F6">
        <w:rPr>
          <w:rFonts w:ascii="Verdana" w:hAnsi="Verdana"/>
          <w:color w:val="auto"/>
          <w:sz w:val="20"/>
          <w:szCs w:val="20"/>
        </w:rPr>
        <w:t xml:space="preserve"> ustawy PZP.</w:t>
      </w:r>
    </w:p>
    <w:p w14:paraId="34610560" w14:textId="1B976483" w:rsidR="002A6998" w:rsidRPr="00EB75F6" w:rsidRDefault="002A6998" w:rsidP="00EB75F6">
      <w:pPr>
        <w:spacing w:after="0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4.4. </w:t>
      </w:r>
      <w:r w:rsidR="00DA553D">
        <w:rPr>
          <w:rFonts w:ascii="Verdana" w:hAnsi="Verdana"/>
          <w:color w:val="auto"/>
          <w:sz w:val="20"/>
          <w:szCs w:val="20"/>
        </w:rPr>
        <w:t>Wstępne konsultacje rynkowe</w:t>
      </w:r>
      <w:r w:rsidRPr="00EB75F6">
        <w:rPr>
          <w:rFonts w:ascii="Verdana" w:hAnsi="Verdana"/>
          <w:color w:val="auto"/>
          <w:sz w:val="20"/>
          <w:szCs w:val="20"/>
        </w:rPr>
        <w:t xml:space="preserve"> prowadzi się w sposób zapewniający zachowanie uczciwej konkurencji</w:t>
      </w:r>
      <w:r w:rsidR="00B14D33">
        <w:rPr>
          <w:rFonts w:ascii="Verdana" w:hAnsi="Verdana"/>
          <w:color w:val="auto"/>
          <w:sz w:val="20"/>
          <w:szCs w:val="20"/>
        </w:rPr>
        <w:t>, przejrzystości</w:t>
      </w:r>
      <w:r w:rsidRPr="00EB75F6">
        <w:rPr>
          <w:rFonts w:ascii="Verdana" w:hAnsi="Verdana"/>
          <w:color w:val="auto"/>
          <w:sz w:val="20"/>
          <w:szCs w:val="20"/>
        </w:rPr>
        <w:t xml:space="preserve"> oraz równe</w:t>
      </w:r>
      <w:r w:rsidR="00B14D33">
        <w:rPr>
          <w:rFonts w:ascii="Verdana" w:hAnsi="Verdana"/>
          <w:color w:val="auto"/>
          <w:sz w:val="20"/>
          <w:szCs w:val="20"/>
        </w:rPr>
        <w:t>go</w:t>
      </w:r>
      <w:r w:rsidRPr="00EB75F6">
        <w:rPr>
          <w:rFonts w:ascii="Verdana" w:hAnsi="Verdana"/>
          <w:color w:val="auto"/>
          <w:sz w:val="20"/>
          <w:szCs w:val="20"/>
        </w:rPr>
        <w:t xml:space="preserve"> traktowani</w:t>
      </w:r>
      <w:r w:rsidR="00B14D33">
        <w:rPr>
          <w:rFonts w:ascii="Verdana" w:hAnsi="Verdana"/>
          <w:color w:val="auto"/>
          <w:sz w:val="20"/>
          <w:szCs w:val="20"/>
        </w:rPr>
        <w:t>a</w:t>
      </w:r>
      <w:r w:rsidRPr="00EB75F6">
        <w:rPr>
          <w:rFonts w:ascii="Verdana" w:hAnsi="Verdana"/>
          <w:color w:val="auto"/>
          <w:sz w:val="20"/>
          <w:szCs w:val="20"/>
        </w:rPr>
        <w:t xml:space="preserve"> potencjalnych wykonawców </w:t>
      </w:r>
      <w:r w:rsidR="002477BB">
        <w:rPr>
          <w:rFonts w:ascii="Verdana" w:hAnsi="Verdana"/>
          <w:color w:val="auto"/>
          <w:sz w:val="20"/>
          <w:szCs w:val="20"/>
        </w:rPr>
        <w:br/>
      </w:r>
      <w:r w:rsidRPr="00EB75F6">
        <w:rPr>
          <w:rFonts w:ascii="Verdana" w:hAnsi="Verdana"/>
          <w:color w:val="auto"/>
          <w:sz w:val="20"/>
          <w:szCs w:val="20"/>
        </w:rPr>
        <w:t xml:space="preserve">i oferowanych przez nich rozwiązań. </w:t>
      </w:r>
    </w:p>
    <w:p w14:paraId="0917F691" w14:textId="77777777" w:rsidR="002A6998" w:rsidRPr="00EB75F6" w:rsidRDefault="002A6998" w:rsidP="00EB75F6">
      <w:pPr>
        <w:spacing w:after="0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4.5. Wszelkie czynności, o których mowa w niniejszym Regulaminie, w imieniu i na rzecz Zamawiającego wykonuje osoba lub osoby wyznaczone w tym celu przez Kierownika Zamawiającego. </w:t>
      </w:r>
    </w:p>
    <w:p w14:paraId="775ABF1C" w14:textId="77777777" w:rsidR="002A6998" w:rsidRPr="00EB75F6" w:rsidRDefault="002A6998" w:rsidP="00EB75F6">
      <w:pPr>
        <w:spacing w:after="0"/>
        <w:jc w:val="both"/>
        <w:rPr>
          <w:rFonts w:ascii="Verdana" w:hAnsi="Verdana"/>
          <w:color w:val="auto"/>
          <w:sz w:val="20"/>
          <w:szCs w:val="20"/>
        </w:rPr>
      </w:pPr>
    </w:p>
    <w:p w14:paraId="6F629C57" w14:textId="66D4B44E" w:rsidR="002A6998" w:rsidRPr="00EB75F6" w:rsidRDefault="002A6998" w:rsidP="00EB75F6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Verdana" w:hAnsi="Verdana"/>
          <w:b/>
          <w:color w:val="auto"/>
          <w:sz w:val="20"/>
          <w:szCs w:val="20"/>
          <w:u w:val="single"/>
        </w:rPr>
      </w:pPr>
      <w:r w:rsidRPr="00EB75F6">
        <w:rPr>
          <w:rFonts w:ascii="Verdana" w:hAnsi="Verdana"/>
          <w:b/>
          <w:color w:val="auto"/>
          <w:sz w:val="20"/>
          <w:szCs w:val="20"/>
          <w:u w:val="single"/>
        </w:rPr>
        <w:t xml:space="preserve">Przedmiot </w:t>
      </w:r>
      <w:r w:rsidR="00DA553D">
        <w:rPr>
          <w:rFonts w:ascii="Verdana" w:hAnsi="Verdana"/>
          <w:b/>
          <w:color w:val="auto"/>
          <w:sz w:val="20"/>
          <w:szCs w:val="20"/>
          <w:u w:val="single"/>
        </w:rPr>
        <w:t>konsultacji</w:t>
      </w:r>
      <w:r w:rsidRPr="00EB75F6">
        <w:rPr>
          <w:rFonts w:ascii="Verdana" w:hAnsi="Verdana"/>
          <w:b/>
          <w:color w:val="auto"/>
          <w:sz w:val="20"/>
          <w:szCs w:val="20"/>
          <w:u w:val="single"/>
        </w:rPr>
        <w:t xml:space="preserve"> </w:t>
      </w:r>
    </w:p>
    <w:p w14:paraId="3514A985" w14:textId="77777777" w:rsidR="002A6998" w:rsidRPr="00EB75F6" w:rsidRDefault="002A6998" w:rsidP="00EB75F6">
      <w:pPr>
        <w:pStyle w:val="Akapitzlist"/>
        <w:spacing w:after="0"/>
        <w:ind w:left="426"/>
        <w:jc w:val="both"/>
        <w:rPr>
          <w:rFonts w:ascii="Verdana" w:hAnsi="Verdana"/>
          <w:b/>
          <w:color w:val="auto"/>
          <w:sz w:val="20"/>
          <w:szCs w:val="20"/>
          <w:u w:val="single"/>
        </w:rPr>
      </w:pPr>
    </w:p>
    <w:p w14:paraId="74B82D27" w14:textId="07E1F429" w:rsidR="002A6998" w:rsidRPr="00E863CF" w:rsidRDefault="002A6998" w:rsidP="00DE0B6E">
      <w:pPr>
        <w:pStyle w:val="Akapitzlist"/>
        <w:numPr>
          <w:ilvl w:val="1"/>
          <w:numId w:val="7"/>
        </w:numPr>
        <w:spacing w:after="0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Zamawiający przed wszczęciem </w:t>
      </w:r>
      <w:r w:rsidR="00E863CF">
        <w:rPr>
          <w:rFonts w:ascii="Verdana" w:hAnsi="Verdana"/>
          <w:color w:val="auto"/>
          <w:sz w:val="20"/>
          <w:szCs w:val="20"/>
        </w:rPr>
        <w:t>p</w:t>
      </w:r>
      <w:r w:rsidRPr="00EB75F6">
        <w:rPr>
          <w:rFonts w:ascii="Verdana" w:hAnsi="Verdana"/>
          <w:color w:val="auto"/>
          <w:sz w:val="20"/>
          <w:szCs w:val="20"/>
        </w:rPr>
        <w:t>ostępowania</w:t>
      </w:r>
      <w:r w:rsidR="00E863CF">
        <w:rPr>
          <w:rFonts w:ascii="Verdana" w:hAnsi="Verdana"/>
          <w:color w:val="auto"/>
          <w:sz w:val="20"/>
          <w:szCs w:val="20"/>
        </w:rPr>
        <w:t xml:space="preserve"> o udzielenie zamówienia, może przeprowadzić wstępne konsultacje rynkowe w celu przygotowania postepowania </w:t>
      </w:r>
      <w:r w:rsidR="002477BB">
        <w:rPr>
          <w:rFonts w:ascii="Verdana" w:hAnsi="Verdana"/>
          <w:color w:val="auto"/>
          <w:sz w:val="20"/>
          <w:szCs w:val="20"/>
        </w:rPr>
        <w:br/>
      </w:r>
      <w:r w:rsidR="00E863CF">
        <w:rPr>
          <w:rFonts w:ascii="Verdana" w:hAnsi="Verdana"/>
          <w:color w:val="auto"/>
          <w:sz w:val="20"/>
          <w:szCs w:val="20"/>
        </w:rPr>
        <w:t xml:space="preserve">i poinformowania wykonawców o swoich planach i wymaganiach dotyczących zamówienia. </w:t>
      </w:r>
      <w:r w:rsidR="00E863CF" w:rsidRPr="00E863CF">
        <w:rPr>
          <w:rFonts w:ascii="Verdana" w:hAnsi="Verdana"/>
          <w:color w:val="auto"/>
          <w:sz w:val="20"/>
          <w:szCs w:val="20"/>
        </w:rPr>
        <w:t xml:space="preserve">Prowadząc konsultacje rynkowe, zamawiający może w szczególności korzystać z doradztwa ekspertów, władzy publicznej lub wykonawców. Doradztwo to może być wykorzystane przy planowaniu, przygotowaniu lub przeprowadzaniu postępowania o udzielenie zamówienia, pod </w:t>
      </w:r>
      <w:r w:rsidR="00E60307" w:rsidRPr="00E863CF">
        <w:rPr>
          <w:rFonts w:ascii="Verdana" w:hAnsi="Verdana"/>
          <w:color w:val="auto"/>
          <w:sz w:val="20"/>
          <w:szCs w:val="20"/>
        </w:rPr>
        <w:t>warunkiem,</w:t>
      </w:r>
      <w:r w:rsidR="00E863CF" w:rsidRPr="00E863CF">
        <w:rPr>
          <w:rFonts w:ascii="Verdana" w:hAnsi="Verdana"/>
          <w:color w:val="auto"/>
          <w:sz w:val="20"/>
          <w:szCs w:val="20"/>
        </w:rPr>
        <w:t xml:space="preserve"> że nie powoduje to zakłócenia konkurencji ani naruszenia zasad równego traktowania wykonawców i przejrzystości.</w:t>
      </w:r>
    </w:p>
    <w:p w14:paraId="58A92934" w14:textId="6C1268CD" w:rsidR="002A6998" w:rsidRPr="00EB75F6" w:rsidRDefault="002A6998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Przedmiotem </w:t>
      </w:r>
      <w:r w:rsidR="00B14D33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 mogą być w szczególności: </w:t>
      </w:r>
    </w:p>
    <w:p w14:paraId="6C9E896D" w14:textId="77777777" w:rsidR="002A6998" w:rsidRPr="00EB75F6" w:rsidRDefault="002A6998" w:rsidP="00D71819">
      <w:pPr>
        <w:pStyle w:val="Akapitzlist"/>
        <w:numPr>
          <w:ilvl w:val="2"/>
          <w:numId w:val="7"/>
        </w:numPr>
        <w:spacing w:after="0"/>
        <w:ind w:left="1134" w:hanging="708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zagadnienia techniczne, technologiczne, prawne, wykonawcze, organizacyjne, handlowe, ekonomiczne oraz logistyczne, związane z realizacją Zamówienia zgodnie z potrzebami Zamawiającego; </w:t>
      </w:r>
    </w:p>
    <w:p w14:paraId="3FC4620E" w14:textId="6BF295EA" w:rsidR="00D71819" w:rsidRPr="00EB75F6" w:rsidRDefault="002A6998" w:rsidP="00D71819">
      <w:pPr>
        <w:pStyle w:val="Akapitzlist"/>
        <w:numPr>
          <w:ilvl w:val="2"/>
          <w:numId w:val="7"/>
        </w:numPr>
        <w:spacing w:after="0"/>
        <w:ind w:left="1134" w:hanging="708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>najnowsze, najkorzystniejsze, najtańsze oraz najlepsze rozwiązania techniczne, technologiczne, prawne, wykonawcze, organizacyjne, handlowe, ekonomiczne oraz logistyczne w dziedzinie będącej przedmiotem Zamówienia;</w:t>
      </w:r>
    </w:p>
    <w:p w14:paraId="5A691849" w14:textId="77777777" w:rsidR="002A6998" w:rsidRPr="00D71819" w:rsidRDefault="002A6998" w:rsidP="00D71819">
      <w:pPr>
        <w:pStyle w:val="Akapitzlist"/>
        <w:numPr>
          <w:ilvl w:val="2"/>
          <w:numId w:val="7"/>
        </w:numPr>
        <w:spacing w:after="0"/>
        <w:ind w:left="1134" w:hanging="708"/>
        <w:jc w:val="both"/>
        <w:rPr>
          <w:rFonts w:ascii="Verdana" w:hAnsi="Verdana"/>
          <w:color w:val="auto"/>
          <w:sz w:val="20"/>
          <w:szCs w:val="20"/>
        </w:rPr>
      </w:pPr>
      <w:r w:rsidRPr="00D71819">
        <w:rPr>
          <w:rFonts w:ascii="Verdana" w:hAnsi="Verdana"/>
          <w:color w:val="auto"/>
          <w:sz w:val="20"/>
          <w:szCs w:val="20"/>
        </w:rPr>
        <w:t>zebranie informacji służących do opracowania dokumentacji Zamówienia.</w:t>
      </w:r>
    </w:p>
    <w:p w14:paraId="0CD58330" w14:textId="1BE3DDD9" w:rsidR="002A6998" w:rsidRDefault="002A6998" w:rsidP="00EB75F6">
      <w:pPr>
        <w:pStyle w:val="Akapitzlist"/>
        <w:spacing w:after="0"/>
        <w:ind w:left="1224"/>
        <w:jc w:val="both"/>
        <w:rPr>
          <w:rFonts w:ascii="Verdana" w:hAnsi="Verdana"/>
          <w:color w:val="auto"/>
          <w:sz w:val="20"/>
          <w:szCs w:val="20"/>
        </w:rPr>
      </w:pPr>
    </w:p>
    <w:p w14:paraId="731D5690" w14:textId="183BACD6" w:rsidR="00E863CF" w:rsidRPr="00511145" w:rsidRDefault="00E863CF" w:rsidP="00511145">
      <w:pPr>
        <w:spacing w:after="0"/>
        <w:jc w:val="both"/>
        <w:rPr>
          <w:rFonts w:ascii="Verdana" w:hAnsi="Verdana"/>
          <w:color w:val="auto"/>
          <w:sz w:val="20"/>
          <w:szCs w:val="20"/>
        </w:rPr>
      </w:pPr>
    </w:p>
    <w:p w14:paraId="761673AB" w14:textId="194B8001" w:rsidR="002A6998" w:rsidRPr="00EB75F6" w:rsidRDefault="002A6998" w:rsidP="00EB75F6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  <w:b/>
          <w:color w:val="auto"/>
          <w:sz w:val="20"/>
          <w:szCs w:val="20"/>
          <w:u w:val="single"/>
        </w:rPr>
      </w:pPr>
      <w:r w:rsidRPr="00EB75F6">
        <w:rPr>
          <w:rFonts w:ascii="Verdana" w:hAnsi="Verdana"/>
          <w:b/>
          <w:color w:val="auto"/>
          <w:sz w:val="20"/>
          <w:szCs w:val="20"/>
          <w:u w:val="single"/>
        </w:rPr>
        <w:t xml:space="preserve">Informacja o zamiarze przeprowadzenia </w:t>
      </w:r>
      <w:r w:rsidR="003624FA">
        <w:rPr>
          <w:rFonts w:ascii="Verdana" w:hAnsi="Verdana"/>
          <w:b/>
          <w:color w:val="auto"/>
          <w:sz w:val="20"/>
          <w:szCs w:val="20"/>
          <w:u w:val="single"/>
        </w:rPr>
        <w:t>konsultacji</w:t>
      </w:r>
      <w:r w:rsidRPr="00EB75F6">
        <w:rPr>
          <w:rFonts w:ascii="Verdana" w:hAnsi="Verdana"/>
          <w:b/>
          <w:color w:val="auto"/>
          <w:sz w:val="20"/>
          <w:szCs w:val="20"/>
          <w:u w:val="single"/>
        </w:rPr>
        <w:t xml:space="preserve"> </w:t>
      </w:r>
    </w:p>
    <w:p w14:paraId="56605FE8" w14:textId="77777777" w:rsidR="002A6998" w:rsidRPr="00EB75F6" w:rsidRDefault="002A6998" w:rsidP="00EB75F6">
      <w:pPr>
        <w:pStyle w:val="Akapitzlist"/>
        <w:spacing w:after="0"/>
        <w:ind w:left="360"/>
        <w:jc w:val="both"/>
        <w:rPr>
          <w:rFonts w:ascii="Verdana" w:hAnsi="Verdana"/>
          <w:color w:val="auto"/>
          <w:sz w:val="20"/>
          <w:szCs w:val="20"/>
        </w:rPr>
      </w:pPr>
    </w:p>
    <w:p w14:paraId="4A4C19A1" w14:textId="71BB546E" w:rsidR="002A6998" w:rsidRPr="00EB75F6" w:rsidRDefault="002A6998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Zamawiający informuje o zamiarze przeprowadzenia </w:t>
      </w:r>
      <w:r w:rsidR="003624FA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 oraz o </w:t>
      </w:r>
      <w:r w:rsidR="003624FA">
        <w:rPr>
          <w:rFonts w:ascii="Verdana" w:hAnsi="Verdana"/>
          <w:color w:val="auto"/>
          <w:sz w:val="20"/>
          <w:szCs w:val="20"/>
        </w:rPr>
        <w:t>ich</w:t>
      </w:r>
      <w:r w:rsidRPr="00EB75F6">
        <w:rPr>
          <w:rFonts w:ascii="Verdana" w:hAnsi="Verdana"/>
          <w:color w:val="auto"/>
          <w:sz w:val="20"/>
          <w:szCs w:val="20"/>
        </w:rPr>
        <w:t xml:space="preserve"> przedmiocie na </w:t>
      </w:r>
      <w:r w:rsidR="004F4F60">
        <w:rPr>
          <w:rFonts w:ascii="Verdana" w:hAnsi="Verdana"/>
          <w:color w:val="auto"/>
          <w:sz w:val="20"/>
          <w:szCs w:val="20"/>
        </w:rPr>
        <w:t xml:space="preserve">własnej </w:t>
      </w:r>
      <w:r w:rsidRPr="00EB75F6">
        <w:rPr>
          <w:rFonts w:ascii="Verdana" w:hAnsi="Verdana"/>
          <w:color w:val="auto"/>
          <w:sz w:val="20"/>
          <w:szCs w:val="20"/>
        </w:rPr>
        <w:t xml:space="preserve">stronie internetowej. </w:t>
      </w:r>
    </w:p>
    <w:p w14:paraId="648000DD" w14:textId="16CF10A3" w:rsidR="002A6998" w:rsidRPr="00EB75F6" w:rsidRDefault="002A6998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lastRenderedPageBreak/>
        <w:t xml:space="preserve">Zamawiający może również poinformować o zamiarze przeprowadzenia </w:t>
      </w:r>
      <w:r w:rsidR="003624FA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 w innej, wybranej przez siebie formie, w tym przesłać do wybranych podmiotów informację o zamiarze przeprowadzenia </w:t>
      </w:r>
      <w:r w:rsidR="003624FA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 w formie pisemnej lub elektronicznej</w:t>
      </w:r>
      <w:r w:rsidR="004F4F60">
        <w:rPr>
          <w:rFonts w:ascii="Verdana" w:hAnsi="Verdana"/>
          <w:color w:val="auto"/>
          <w:sz w:val="20"/>
          <w:szCs w:val="20"/>
        </w:rPr>
        <w:t>.</w:t>
      </w:r>
    </w:p>
    <w:p w14:paraId="1DAE1426" w14:textId="20BE01B4" w:rsidR="002A6998" w:rsidRPr="00EB75F6" w:rsidRDefault="002A6998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W Informacji o zamiarze przeprowadzenia </w:t>
      </w:r>
      <w:r w:rsidR="003624FA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, Zamawiający wskazuje w szczególności: </w:t>
      </w:r>
    </w:p>
    <w:p w14:paraId="3A47C4EE" w14:textId="34540A9E" w:rsidR="002A6998" w:rsidRPr="00EB75F6" w:rsidRDefault="002A6998" w:rsidP="00EB75F6">
      <w:pPr>
        <w:pStyle w:val="Akapitzlist"/>
        <w:numPr>
          <w:ilvl w:val="2"/>
          <w:numId w:val="7"/>
        </w:numPr>
        <w:spacing w:after="0"/>
        <w:ind w:hanging="294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przedmiot Zamówienia i cel prowadzenia </w:t>
      </w:r>
      <w:r w:rsidR="003624FA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; </w:t>
      </w:r>
    </w:p>
    <w:p w14:paraId="6E5AB11B" w14:textId="77777777" w:rsidR="002A6998" w:rsidRPr="00EB75F6" w:rsidRDefault="002A6998" w:rsidP="00EB75F6">
      <w:pPr>
        <w:pStyle w:val="Akapitzlist"/>
        <w:numPr>
          <w:ilvl w:val="2"/>
          <w:numId w:val="7"/>
        </w:numPr>
        <w:spacing w:after="0"/>
        <w:ind w:hanging="294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zakres informacji, które chce uzyskać od uczestników; </w:t>
      </w:r>
    </w:p>
    <w:p w14:paraId="28494010" w14:textId="17281A08" w:rsidR="002A6998" w:rsidRPr="00EB75F6" w:rsidRDefault="002A6998" w:rsidP="00EB75F6">
      <w:pPr>
        <w:pStyle w:val="Akapitzlist"/>
        <w:numPr>
          <w:ilvl w:val="2"/>
          <w:numId w:val="7"/>
        </w:numPr>
        <w:spacing w:after="0"/>
        <w:ind w:left="1418" w:hanging="992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tryb, termin i miejsce złożenia zgłoszenia do udziału w </w:t>
      </w:r>
      <w:r w:rsidR="003624FA">
        <w:rPr>
          <w:rFonts w:ascii="Verdana" w:hAnsi="Verdana"/>
          <w:color w:val="auto"/>
          <w:sz w:val="20"/>
          <w:szCs w:val="20"/>
        </w:rPr>
        <w:t>konsultacjach</w:t>
      </w:r>
      <w:r w:rsidRPr="00EB75F6">
        <w:rPr>
          <w:rFonts w:ascii="Verdana" w:hAnsi="Verdana"/>
          <w:color w:val="auto"/>
          <w:sz w:val="20"/>
          <w:szCs w:val="20"/>
        </w:rPr>
        <w:t xml:space="preserve"> oraz sposób porozumiewania się z uczestnikami;</w:t>
      </w:r>
    </w:p>
    <w:p w14:paraId="1D2B64FB" w14:textId="787B5515" w:rsidR="002A6998" w:rsidRPr="00EB75F6" w:rsidRDefault="002A6998" w:rsidP="00EB75F6">
      <w:pPr>
        <w:pStyle w:val="Akapitzlist"/>
        <w:numPr>
          <w:ilvl w:val="2"/>
          <w:numId w:val="7"/>
        </w:numPr>
        <w:spacing w:after="0"/>
        <w:ind w:hanging="294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przewidywany czas trwania </w:t>
      </w:r>
      <w:r w:rsidR="003624FA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. </w:t>
      </w:r>
    </w:p>
    <w:p w14:paraId="24CDA962" w14:textId="2E7BFEF7" w:rsidR="002A6998" w:rsidRPr="00EB75F6" w:rsidRDefault="002A6998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Nieprzystąpienie do </w:t>
      </w:r>
      <w:r w:rsidR="003624FA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 nie ogranicza praw oraz nie działa na niekorzyść potencjalnych Wykonawców w Postępowaniu.</w:t>
      </w:r>
    </w:p>
    <w:p w14:paraId="00E7D0EC" w14:textId="65F118C7" w:rsidR="002A6998" w:rsidRPr="00EB75F6" w:rsidRDefault="002A6998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Ogłoszenie i prowadzenie </w:t>
      </w:r>
      <w:r w:rsidR="003624FA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 nie zobowiązują Zamawiającego do przeprowadzenia postępowania ani do udzielenia zamówienia. </w:t>
      </w:r>
    </w:p>
    <w:p w14:paraId="29E837AE" w14:textId="209C5344" w:rsidR="002A6998" w:rsidRPr="00EB75F6" w:rsidRDefault="002A6998" w:rsidP="00EB75F6">
      <w:pPr>
        <w:pStyle w:val="Akapitzlist"/>
        <w:spacing w:after="0"/>
        <w:ind w:left="792"/>
        <w:jc w:val="both"/>
        <w:rPr>
          <w:rFonts w:ascii="Verdana" w:hAnsi="Verdana"/>
          <w:color w:val="auto"/>
          <w:sz w:val="20"/>
          <w:szCs w:val="20"/>
        </w:rPr>
      </w:pPr>
    </w:p>
    <w:p w14:paraId="4CACC761" w14:textId="28331EA9" w:rsidR="002A6998" w:rsidRPr="00EB75F6" w:rsidRDefault="002A6998" w:rsidP="00EB75F6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  <w:b/>
          <w:color w:val="auto"/>
          <w:sz w:val="20"/>
          <w:szCs w:val="20"/>
          <w:u w:val="single"/>
        </w:rPr>
      </w:pPr>
      <w:r w:rsidRPr="00EB75F6">
        <w:rPr>
          <w:rFonts w:ascii="Verdana" w:hAnsi="Verdana"/>
          <w:b/>
          <w:color w:val="auto"/>
          <w:sz w:val="20"/>
          <w:szCs w:val="20"/>
          <w:u w:val="single"/>
        </w:rPr>
        <w:t xml:space="preserve">Organizacja </w:t>
      </w:r>
      <w:r w:rsidR="003624FA">
        <w:rPr>
          <w:rFonts w:ascii="Verdana" w:hAnsi="Verdana"/>
          <w:b/>
          <w:color w:val="auto"/>
          <w:sz w:val="20"/>
          <w:szCs w:val="20"/>
          <w:u w:val="single"/>
        </w:rPr>
        <w:t>konsultacji</w:t>
      </w:r>
      <w:r w:rsidRPr="00EB75F6">
        <w:rPr>
          <w:rFonts w:ascii="Verdana" w:hAnsi="Verdana"/>
          <w:b/>
          <w:color w:val="auto"/>
          <w:sz w:val="20"/>
          <w:szCs w:val="20"/>
          <w:u w:val="single"/>
        </w:rPr>
        <w:t xml:space="preserve"> </w:t>
      </w:r>
    </w:p>
    <w:p w14:paraId="1B69C4C8" w14:textId="77777777" w:rsidR="002A6998" w:rsidRPr="00EB75F6" w:rsidRDefault="002A6998" w:rsidP="00EB75F6">
      <w:pPr>
        <w:pStyle w:val="Akapitzlist"/>
        <w:spacing w:after="0"/>
        <w:ind w:left="360"/>
        <w:jc w:val="both"/>
        <w:rPr>
          <w:rFonts w:ascii="Verdana" w:hAnsi="Verdana"/>
          <w:color w:val="auto"/>
          <w:sz w:val="20"/>
          <w:szCs w:val="20"/>
        </w:rPr>
      </w:pPr>
    </w:p>
    <w:p w14:paraId="43AEFFC0" w14:textId="5FF30A43" w:rsidR="002A6998" w:rsidRPr="00EB75F6" w:rsidRDefault="002A6998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Zamawiający zaprosi do </w:t>
      </w:r>
      <w:r w:rsidR="003624FA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 uczestników, którzy złożą prawidłowo sporządzone w języku polskim zgłoszenie do udziału w dialogu oraz ewentualnie dodatkowe oświadczenia, stanowiska lub dokumenty, których Zamawiający zażąda w informacji o zamiarze przeprowadzeni</w:t>
      </w:r>
      <w:r w:rsidR="003624FA">
        <w:rPr>
          <w:rFonts w:ascii="Verdana" w:hAnsi="Verdana"/>
          <w:color w:val="auto"/>
          <w:sz w:val="20"/>
          <w:szCs w:val="20"/>
        </w:rPr>
        <w:t>a konsultacji</w:t>
      </w:r>
      <w:r w:rsidRPr="00EB75F6">
        <w:rPr>
          <w:rFonts w:ascii="Verdana" w:hAnsi="Verdana"/>
          <w:color w:val="auto"/>
          <w:sz w:val="20"/>
          <w:szCs w:val="20"/>
        </w:rPr>
        <w:t>, w terminie i w trybie w nim wskazanym, który nie może być krótszy niż 7 dni od publikacji informacji o zamiarze przeprowadzeni</w:t>
      </w:r>
      <w:r w:rsidR="004F4F60">
        <w:rPr>
          <w:rFonts w:ascii="Verdana" w:hAnsi="Verdana"/>
          <w:color w:val="auto"/>
          <w:sz w:val="20"/>
          <w:szCs w:val="20"/>
        </w:rPr>
        <w:t>a</w:t>
      </w:r>
      <w:r w:rsidRPr="00EB75F6">
        <w:rPr>
          <w:rFonts w:ascii="Verdana" w:hAnsi="Verdana"/>
          <w:color w:val="auto"/>
          <w:sz w:val="20"/>
          <w:szCs w:val="20"/>
        </w:rPr>
        <w:t xml:space="preserve"> </w:t>
      </w:r>
      <w:r w:rsidR="003624FA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. </w:t>
      </w:r>
    </w:p>
    <w:p w14:paraId="2B965373" w14:textId="2463C5BF" w:rsidR="002A6998" w:rsidRPr="00EB75F6" w:rsidRDefault="002A6998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>Zamawiający w informacji o zamiarze przeprowadzeni</w:t>
      </w:r>
      <w:r w:rsidR="009F08E5">
        <w:rPr>
          <w:rFonts w:ascii="Verdana" w:hAnsi="Verdana"/>
          <w:color w:val="auto"/>
          <w:sz w:val="20"/>
          <w:szCs w:val="20"/>
        </w:rPr>
        <w:t>a</w:t>
      </w:r>
      <w:r w:rsidRPr="00EB75F6">
        <w:rPr>
          <w:rFonts w:ascii="Verdana" w:hAnsi="Verdana"/>
          <w:color w:val="auto"/>
          <w:sz w:val="20"/>
          <w:szCs w:val="20"/>
        </w:rPr>
        <w:t xml:space="preserve"> </w:t>
      </w:r>
      <w:r w:rsidR="004F4F60">
        <w:rPr>
          <w:rFonts w:ascii="Verdana" w:hAnsi="Verdana"/>
          <w:color w:val="auto"/>
          <w:sz w:val="20"/>
          <w:szCs w:val="20"/>
        </w:rPr>
        <w:t xml:space="preserve">konsultacji </w:t>
      </w:r>
      <w:r w:rsidR="0082032D">
        <w:rPr>
          <w:rFonts w:ascii="Verdana" w:hAnsi="Verdana"/>
          <w:color w:val="auto"/>
          <w:sz w:val="20"/>
          <w:szCs w:val="20"/>
        </w:rPr>
        <w:t>określa</w:t>
      </w:r>
      <w:r w:rsidRPr="00EB75F6">
        <w:rPr>
          <w:rFonts w:ascii="Verdana" w:hAnsi="Verdana"/>
          <w:color w:val="auto"/>
          <w:sz w:val="20"/>
          <w:szCs w:val="20"/>
        </w:rPr>
        <w:t xml:space="preserve"> wzór zgłoszenia do udziału w </w:t>
      </w:r>
      <w:r w:rsidR="00511145">
        <w:rPr>
          <w:rFonts w:ascii="Verdana" w:hAnsi="Verdana"/>
          <w:color w:val="auto"/>
          <w:sz w:val="20"/>
          <w:szCs w:val="20"/>
        </w:rPr>
        <w:t>konsultacjach</w:t>
      </w:r>
      <w:r w:rsidRPr="00EB75F6">
        <w:rPr>
          <w:rFonts w:ascii="Verdana" w:hAnsi="Verdana"/>
          <w:color w:val="auto"/>
          <w:sz w:val="20"/>
          <w:szCs w:val="20"/>
        </w:rPr>
        <w:t xml:space="preserve">. </w:t>
      </w:r>
    </w:p>
    <w:p w14:paraId="410C2F6E" w14:textId="5306513B" w:rsidR="002A6998" w:rsidRPr="00EB75F6" w:rsidRDefault="002A6998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Uczestnicy zaproszeni do udziału w </w:t>
      </w:r>
      <w:r w:rsidR="00511145">
        <w:rPr>
          <w:rFonts w:ascii="Verdana" w:hAnsi="Verdana"/>
          <w:color w:val="auto"/>
          <w:sz w:val="20"/>
          <w:szCs w:val="20"/>
        </w:rPr>
        <w:t>konsultacjach</w:t>
      </w:r>
      <w:r w:rsidRPr="00EB75F6">
        <w:rPr>
          <w:rFonts w:ascii="Verdana" w:hAnsi="Verdana"/>
          <w:color w:val="auto"/>
          <w:sz w:val="20"/>
          <w:szCs w:val="20"/>
        </w:rPr>
        <w:t xml:space="preserve"> zostaną poinformowani o tym fakcie przez Zamawiającego, w sposób określony w treści informacji o zamiarze przeprowadzeni</w:t>
      </w:r>
      <w:r w:rsidR="00511145">
        <w:rPr>
          <w:rFonts w:ascii="Verdana" w:hAnsi="Verdana"/>
          <w:color w:val="auto"/>
          <w:sz w:val="20"/>
          <w:szCs w:val="20"/>
        </w:rPr>
        <w:t>a 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. </w:t>
      </w:r>
    </w:p>
    <w:p w14:paraId="0B8461D6" w14:textId="192491E8" w:rsidR="002A6998" w:rsidRPr="00EB75F6" w:rsidRDefault="002A6998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Zamawiający nie jest zobowiązany do prowadzenia </w:t>
      </w:r>
      <w:r w:rsidR="00511145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 w określonej formie z</w:t>
      </w:r>
      <w:r w:rsidR="00511145">
        <w:rPr>
          <w:rFonts w:ascii="Verdana" w:hAnsi="Verdana"/>
          <w:color w:val="auto"/>
          <w:sz w:val="20"/>
          <w:szCs w:val="20"/>
        </w:rPr>
        <w:t>e</w:t>
      </w:r>
      <w:r w:rsidRPr="00EB75F6">
        <w:rPr>
          <w:rFonts w:ascii="Verdana" w:hAnsi="Verdana"/>
          <w:color w:val="auto"/>
          <w:sz w:val="20"/>
          <w:szCs w:val="20"/>
        </w:rPr>
        <w:t xml:space="preserve"> wszystkimi uczestnikami oraz może decydować o różnych formach </w:t>
      </w:r>
      <w:r w:rsidR="00E60307">
        <w:rPr>
          <w:rFonts w:ascii="Verdana" w:hAnsi="Verdana"/>
          <w:color w:val="auto"/>
          <w:sz w:val="20"/>
          <w:szCs w:val="20"/>
        </w:rPr>
        <w:t xml:space="preserve">konsultacji </w:t>
      </w:r>
      <w:r w:rsidR="00E60307" w:rsidRPr="00EB75F6">
        <w:rPr>
          <w:rFonts w:ascii="Verdana" w:hAnsi="Verdana"/>
          <w:color w:val="auto"/>
          <w:sz w:val="20"/>
          <w:szCs w:val="20"/>
        </w:rPr>
        <w:t>z</w:t>
      </w:r>
      <w:r w:rsidRPr="00EB75F6">
        <w:rPr>
          <w:rFonts w:ascii="Verdana" w:hAnsi="Verdana"/>
          <w:color w:val="auto"/>
          <w:sz w:val="20"/>
          <w:szCs w:val="20"/>
        </w:rPr>
        <w:t xml:space="preserve"> różnymi uczestnikami, w zależności od merytorycznej treści stanowisk przedstawionych przez uczestników w związku z </w:t>
      </w:r>
      <w:r w:rsidR="00511145">
        <w:rPr>
          <w:rFonts w:ascii="Verdana" w:hAnsi="Verdana"/>
          <w:color w:val="auto"/>
          <w:sz w:val="20"/>
          <w:szCs w:val="20"/>
        </w:rPr>
        <w:t>konsultacjami</w:t>
      </w:r>
      <w:r w:rsidRPr="00EB75F6">
        <w:rPr>
          <w:rFonts w:ascii="Verdana" w:hAnsi="Verdana"/>
          <w:color w:val="auto"/>
          <w:sz w:val="20"/>
          <w:szCs w:val="20"/>
        </w:rPr>
        <w:t xml:space="preserve">, z poszanowaniem zasad uczciwej konkurencji i równego traktowania uczestników. </w:t>
      </w:r>
    </w:p>
    <w:p w14:paraId="70A9FE2B" w14:textId="77777777" w:rsidR="002A6998" w:rsidRPr="00EB75F6" w:rsidRDefault="002A6998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Zamawiający komunikuje się z uczestnikami za pomocą korespondencji wysłanej na podany przez uczestnika adres do korespondencji, faks lub adres poczty elektronicznej. Potwierdzeniem doręczenia korespondencji wysłanej w drodze: </w:t>
      </w:r>
    </w:p>
    <w:p w14:paraId="4488B700" w14:textId="77777777" w:rsidR="002A6998" w:rsidRPr="00EB75F6" w:rsidRDefault="002A6998" w:rsidP="00EB75F6">
      <w:pPr>
        <w:pStyle w:val="Akapitzlist"/>
        <w:numPr>
          <w:ilvl w:val="2"/>
          <w:numId w:val="7"/>
        </w:numPr>
        <w:spacing w:after="0"/>
        <w:ind w:left="1418" w:hanging="992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pisemnej (za pośrednictwem operatora pocztowego) - jest potwierdzenie doręczenia korespondencji adresatowi; </w:t>
      </w:r>
    </w:p>
    <w:p w14:paraId="4BE14CBF" w14:textId="77777777" w:rsidR="002A6998" w:rsidRPr="00EB75F6" w:rsidRDefault="002A6998" w:rsidP="00EB75F6">
      <w:pPr>
        <w:pStyle w:val="Akapitzlist"/>
        <w:numPr>
          <w:ilvl w:val="2"/>
          <w:numId w:val="7"/>
        </w:numPr>
        <w:spacing w:after="0"/>
        <w:ind w:hanging="294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faksu – jest raport z jego transmisji; </w:t>
      </w:r>
    </w:p>
    <w:p w14:paraId="1D4A1BBF" w14:textId="05E7E3F4" w:rsidR="002A6998" w:rsidRPr="00EB75F6" w:rsidRDefault="002A6998" w:rsidP="00EB75F6">
      <w:pPr>
        <w:pStyle w:val="Akapitzlist"/>
        <w:numPr>
          <w:ilvl w:val="2"/>
          <w:numId w:val="7"/>
        </w:numPr>
        <w:spacing w:after="0"/>
        <w:ind w:left="1418" w:hanging="992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elektronicznej – jest data wskazana w elektronicznym potwierdzeniu odbioru korespondencji, a przy braku takiego potwierdzenia - przyjmuje się, że skutek doręczenia nastąpił z upływem 1 dnia od daty umieszczenia korespondencji w systemie teleinformatycznym uczestnika. </w:t>
      </w:r>
    </w:p>
    <w:p w14:paraId="3F17387E" w14:textId="621FCF39" w:rsidR="002A6998" w:rsidRPr="00EB75F6" w:rsidRDefault="00DE0B6E" w:rsidP="00EB75F6">
      <w:pPr>
        <w:pStyle w:val="Akapitzlist"/>
        <w:numPr>
          <w:ilvl w:val="2"/>
          <w:numId w:val="7"/>
        </w:numPr>
        <w:spacing w:after="0"/>
        <w:ind w:left="1418" w:hanging="992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lastRenderedPageBreak/>
        <w:t>w</w:t>
      </w:r>
      <w:r w:rsidR="002A6998" w:rsidRPr="00EB75F6">
        <w:rPr>
          <w:rFonts w:ascii="Verdana" w:hAnsi="Verdana"/>
          <w:color w:val="auto"/>
          <w:sz w:val="20"/>
          <w:szCs w:val="20"/>
        </w:rPr>
        <w:t xml:space="preserve"> uzasadnionych sytuacjach, informacja o zamiarze przeprowadzeni</w:t>
      </w:r>
      <w:r w:rsidR="00511145">
        <w:rPr>
          <w:rFonts w:ascii="Verdana" w:hAnsi="Verdana"/>
          <w:color w:val="auto"/>
          <w:sz w:val="20"/>
          <w:szCs w:val="20"/>
        </w:rPr>
        <w:t>a konsultacji</w:t>
      </w:r>
      <w:r w:rsidR="002A6998" w:rsidRPr="00EB75F6">
        <w:rPr>
          <w:rFonts w:ascii="Verdana" w:hAnsi="Verdana"/>
          <w:color w:val="auto"/>
          <w:sz w:val="20"/>
          <w:szCs w:val="20"/>
        </w:rPr>
        <w:t xml:space="preserve"> może przewidywać dodatkowe warunki, od których uzależnione jest dopuszczenie do </w:t>
      </w:r>
      <w:r w:rsidR="00511145">
        <w:rPr>
          <w:rFonts w:ascii="Verdana" w:hAnsi="Verdana"/>
          <w:color w:val="auto"/>
          <w:sz w:val="20"/>
          <w:szCs w:val="20"/>
        </w:rPr>
        <w:t>konsultacji</w:t>
      </w:r>
      <w:r w:rsidR="002A6998" w:rsidRPr="00EB75F6">
        <w:rPr>
          <w:rFonts w:ascii="Verdana" w:hAnsi="Verdana"/>
          <w:color w:val="auto"/>
          <w:sz w:val="20"/>
          <w:szCs w:val="20"/>
        </w:rPr>
        <w:t>. Warunki te nie mogą naruszać zasad uczciwej konkurencji i równego traktowania uczestników.</w:t>
      </w:r>
    </w:p>
    <w:p w14:paraId="78DF05E6" w14:textId="77777777" w:rsidR="002A6998" w:rsidRPr="00EB75F6" w:rsidRDefault="002A6998" w:rsidP="00EB75F6">
      <w:pPr>
        <w:pStyle w:val="Akapitzlist"/>
        <w:spacing w:after="0"/>
        <w:ind w:left="1224"/>
        <w:jc w:val="both"/>
        <w:rPr>
          <w:rFonts w:ascii="Verdana" w:hAnsi="Verdana"/>
          <w:color w:val="auto"/>
          <w:sz w:val="20"/>
          <w:szCs w:val="20"/>
        </w:rPr>
      </w:pPr>
    </w:p>
    <w:p w14:paraId="1EF23760" w14:textId="2BB9A8A7" w:rsidR="002A6998" w:rsidRPr="00EB75F6" w:rsidRDefault="002A6998" w:rsidP="00EB75F6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  <w:b/>
          <w:color w:val="auto"/>
          <w:sz w:val="20"/>
          <w:szCs w:val="20"/>
          <w:u w:val="single"/>
        </w:rPr>
      </w:pPr>
      <w:r w:rsidRPr="00EB75F6">
        <w:rPr>
          <w:rFonts w:ascii="Verdana" w:hAnsi="Verdana"/>
          <w:b/>
          <w:color w:val="auto"/>
          <w:sz w:val="20"/>
          <w:szCs w:val="20"/>
          <w:u w:val="single"/>
        </w:rPr>
        <w:t xml:space="preserve">Czynności w ramach </w:t>
      </w:r>
      <w:r w:rsidR="00511145">
        <w:rPr>
          <w:rFonts w:ascii="Verdana" w:hAnsi="Verdana"/>
          <w:b/>
          <w:color w:val="auto"/>
          <w:sz w:val="20"/>
          <w:szCs w:val="20"/>
          <w:u w:val="single"/>
        </w:rPr>
        <w:t>konsultacji</w:t>
      </w:r>
      <w:r w:rsidRPr="00EB75F6">
        <w:rPr>
          <w:rFonts w:ascii="Verdana" w:hAnsi="Verdana"/>
          <w:b/>
          <w:color w:val="auto"/>
          <w:sz w:val="20"/>
          <w:szCs w:val="20"/>
          <w:u w:val="single"/>
        </w:rPr>
        <w:t xml:space="preserve"> </w:t>
      </w:r>
    </w:p>
    <w:p w14:paraId="4D432A3A" w14:textId="77777777" w:rsidR="002A6998" w:rsidRPr="00EB75F6" w:rsidRDefault="002A6998" w:rsidP="00EB75F6">
      <w:pPr>
        <w:pStyle w:val="Akapitzlist"/>
        <w:spacing w:after="0"/>
        <w:ind w:left="360"/>
        <w:jc w:val="both"/>
        <w:rPr>
          <w:rFonts w:ascii="Verdana" w:hAnsi="Verdana"/>
          <w:color w:val="auto"/>
          <w:sz w:val="20"/>
          <w:szCs w:val="20"/>
        </w:rPr>
      </w:pPr>
    </w:p>
    <w:p w14:paraId="24B7D06F" w14:textId="0C87D6D4" w:rsidR="002A6998" w:rsidRPr="00EB75F6" w:rsidRDefault="002A6998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W celu przeprowadzenia </w:t>
      </w:r>
      <w:r w:rsidR="00511145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 Zamawiający może powołać Komisję.</w:t>
      </w:r>
    </w:p>
    <w:p w14:paraId="3AC3F23D" w14:textId="3E6E186F" w:rsidR="002A6998" w:rsidRPr="00EB75F6" w:rsidRDefault="00511145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Konsultacje</w:t>
      </w:r>
      <w:r w:rsidR="002A6998" w:rsidRPr="00EB75F6">
        <w:rPr>
          <w:rFonts w:ascii="Verdana" w:hAnsi="Verdana"/>
          <w:color w:val="auto"/>
          <w:sz w:val="20"/>
          <w:szCs w:val="20"/>
        </w:rPr>
        <w:t xml:space="preserve"> co do zasady </w:t>
      </w:r>
      <w:r>
        <w:rPr>
          <w:rFonts w:ascii="Verdana" w:hAnsi="Verdana"/>
          <w:color w:val="auto"/>
          <w:sz w:val="20"/>
          <w:szCs w:val="20"/>
        </w:rPr>
        <w:t>są przeprowadzane</w:t>
      </w:r>
      <w:r w:rsidR="002A6998" w:rsidRPr="00EB75F6">
        <w:rPr>
          <w:rFonts w:ascii="Verdana" w:hAnsi="Verdana"/>
          <w:color w:val="auto"/>
          <w:sz w:val="20"/>
          <w:szCs w:val="20"/>
        </w:rPr>
        <w:t xml:space="preserve"> w języku polskim. W </w:t>
      </w:r>
      <w:r w:rsidR="00481073">
        <w:rPr>
          <w:rFonts w:ascii="Verdana" w:hAnsi="Verdana"/>
          <w:color w:val="auto"/>
          <w:sz w:val="20"/>
          <w:szCs w:val="20"/>
        </w:rPr>
        <w:t xml:space="preserve">uzasadnionych </w:t>
      </w:r>
      <w:r w:rsidR="002A6998" w:rsidRPr="00EB75F6">
        <w:rPr>
          <w:rFonts w:ascii="Verdana" w:hAnsi="Verdana"/>
          <w:color w:val="auto"/>
          <w:sz w:val="20"/>
          <w:szCs w:val="20"/>
        </w:rPr>
        <w:t xml:space="preserve">przypadkach dopuszcza </w:t>
      </w:r>
      <w:r w:rsidR="00481073">
        <w:rPr>
          <w:rFonts w:ascii="Verdana" w:hAnsi="Verdana"/>
          <w:color w:val="auto"/>
          <w:sz w:val="20"/>
          <w:szCs w:val="20"/>
        </w:rPr>
        <w:t>prowadzenie konsultacji w</w:t>
      </w:r>
      <w:r w:rsidR="002A6998" w:rsidRPr="00EB75F6">
        <w:rPr>
          <w:rFonts w:ascii="Verdana" w:hAnsi="Verdana"/>
          <w:color w:val="auto"/>
          <w:sz w:val="20"/>
          <w:szCs w:val="20"/>
        </w:rPr>
        <w:t xml:space="preserve"> język</w:t>
      </w:r>
      <w:r w:rsidR="00481073">
        <w:rPr>
          <w:rFonts w:ascii="Verdana" w:hAnsi="Verdana"/>
          <w:color w:val="auto"/>
          <w:sz w:val="20"/>
          <w:szCs w:val="20"/>
        </w:rPr>
        <w:t>u</w:t>
      </w:r>
      <w:r w:rsidR="002A6998" w:rsidRPr="00EB75F6">
        <w:rPr>
          <w:rFonts w:ascii="Verdana" w:hAnsi="Verdana"/>
          <w:color w:val="auto"/>
          <w:sz w:val="20"/>
          <w:szCs w:val="20"/>
        </w:rPr>
        <w:t xml:space="preserve"> angielski</w:t>
      </w:r>
      <w:r w:rsidR="00481073">
        <w:rPr>
          <w:rFonts w:ascii="Verdana" w:hAnsi="Verdana"/>
          <w:color w:val="auto"/>
          <w:sz w:val="20"/>
          <w:szCs w:val="20"/>
        </w:rPr>
        <w:t>m, w szczególności</w:t>
      </w:r>
      <w:r w:rsidR="002A6998" w:rsidRPr="00EB75F6">
        <w:rPr>
          <w:rFonts w:ascii="Verdana" w:hAnsi="Verdana"/>
          <w:color w:val="auto"/>
          <w:sz w:val="20"/>
          <w:szCs w:val="20"/>
        </w:rPr>
        <w:t xml:space="preserve"> ze względu na specyfikę </w:t>
      </w:r>
      <w:r w:rsidR="00312A4F" w:rsidRPr="00EB75F6">
        <w:rPr>
          <w:rFonts w:ascii="Verdana" w:hAnsi="Verdana"/>
          <w:color w:val="auto"/>
          <w:sz w:val="20"/>
          <w:szCs w:val="20"/>
        </w:rPr>
        <w:t>zamówienia,</w:t>
      </w:r>
      <w:r w:rsidR="002A6998" w:rsidRPr="00EB75F6">
        <w:rPr>
          <w:rFonts w:ascii="Verdana" w:hAnsi="Verdana"/>
          <w:color w:val="auto"/>
          <w:sz w:val="20"/>
          <w:szCs w:val="20"/>
        </w:rPr>
        <w:t xml:space="preserve"> </w:t>
      </w:r>
      <w:r w:rsidR="00481073">
        <w:rPr>
          <w:rFonts w:ascii="Verdana" w:hAnsi="Verdana"/>
          <w:color w:val="auto"/>
          <w:sz w:val="20"/>
          <w:szCs w:val="20"/>
        </w:rPr>
        <w:t xml:space="preserve">o które </w:t>
      </w:r>
      <w:r w:rsidR="002A6998" w:rsidRPr="00EB75F6">
        <w:rPr>
          <w:rFonts w:ascii="Verdana" w:hAnsi="Verdana"/>
          <w:color w:val="auto"/>
          <w:sz w:val="20"/>
          <w:szCs w:val="20"/>
        </w:rPr>
        <w:t>w większości ubiegać się mogą wykonawcy zagraniczni.</w:t>
      </w:r>
    </w:p>
    <w:p w14:paraId="0A30E5AE" w14:textId="3DF754A2" w:rsidR="002A6998" w:rsidRPr="00EB75F6" w:rsidRDefault="00481073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K</w:t>
      </w:r>
      <w:r w:rsidR="00511145">
        <w:rPr>
          <w:rFonts w:ascii="Verdana" w:hAnsi="Verdana"/>
          <w:color w:val="auto"/>
          <w:sz w:val="20"/>
          <w:szCs w:val="20"/>
        </w:rPr>
        <w:t>onsultacje</w:t>
      </w:r>
      <w:r w:rsidR="002A6998" w:rsidRPr="00EB75F6">
        <w:rPr>
          <w:rFonts w:ascii="Verdana" w:hAnsi="Verdana"/>
          <w:color w:val="auto"/>
          <w:sz w:val="20"/>
          <w:szCs w:val="20"/>
        </w:rPr>
        <w:t xml:space="preserve"> mo</w:t>
      </w:r>
      <w:r w:rsidR="00511145">
        <w:rPr>
          <w:rFonts w:ascii="Verdana" w:hAnsi="Verdana"/>
          <w:color w:val="auto"/>
          <w:sz w:val="20"/>
          <w:szCs w:val="20"/>
        </w:rPr>
        <w:t>gą</w:t>
      </w:r>
      <w:r w:rsidR="002A6998" w:rsidRPr="00EB75F6">
        <w:rPr>
          <w:rFonts w:ascii="Verdana" w:hAnsi="Verdana"/>
          <w:color w:val="auto"/>
          <w:sz w:val="20"/>
          <w:szCs w:val="20"/>
        </w:rPr>
        <w:t xml:space="preserve"> być prowad</w:t>
      </w:r>
      <w:r w:rsidR="00511145">
        <w:rPr>
          <w:rFonts w:ascii="Verdana" w:hAnsi="Verdana"/>
          <w:color w:val="auto"/>
          <w:sz w:val="20"/>
          <w:szCs w:val="20"/>
        </w:rPr>
        <w:t>zane</w:t>
      </w:r>
      <w:r w:rsidR="002A6998" w:rsidRPr="00EB75F6">
        <w:rPr>
          <w:rFonts w:ascii="Verdana" w:hAnsi="Verdana"/>
          <w:color w:val="auto"/>
          <w:sz w:val="20"/>
          <w:szCs w:val="20"/>
        </w:rPr>
        <w:t xml:space="preserve"> w dowolnej wybranej przez Zamawiającego formie, nienaruszającej zasad uczciwej konkurencji i równego traktowania uczestników. O formie </w:t>
      </w:r>
      <w:r w:rsidR="00511145">
        <w:rPr>
          <w:rFonts w:ascii="Verdana" w:hAnsi="Verdana"/>
          <w:color w:val="auto"/>
          <w:sz w:val="20"/>
          <w:szCs w:val="20"/>
        </w:rPr>
        <w:t>konsultacji</w:t>
      </w:r>
      <w:r w:rsidR="002A6998" w:rsidRPr="00EB75F6">
        <w:rPr>
          <w:rFonts w:ascii="Verdana" w:hAnsi="Verdana"/>
          <w:color w:val="auto"/>
          <w:sz w:val="20"/>
          <w:szCs w:val="20"/>
        </w:rPr>
        <w:t xml:space="preserve"> decyduje Zamawiający w informacji o zamiarze przeprowadzeni</w:t>
      </w:r>
      <w:r w:rsidR="00511145">
        <w:rPr>
          <w:rFonts w:ascii="Verdana" w:hAnsi="Verdana"/>
          <w:color w:val="auto"/>
          <w:sz w:val="20"/>
          <w:szCs w:val="20"/>
        </w:rPr>
        <w:t>a konsultacji</w:t>
      </w:r>
      <w:r w:rsidR="002A6998" w:rsidRPr="00EB75F6">
        <w:rPr>
          <w:rFonts w:ascii="Verdana" w:hAnsi="Verdana"/>
          <w:color w:val="auto"/>
          <w:sz w:val="20"/>
          <w:szCs w:val="20"/>
        </w:rPr>
        <w:t xml:space="preserve"> lub w zaproszeniu do </w:t>
      </w:r>
      <w:r w:rsidR="00511145">
        <w:rPr>
          <w:rFonts w:ascii="Verdana" w:hAnsi="Verdana"/>
          <w:color w:val="auto"/>
          <w:sz w:val="20"/>
          <w:szCs w:val="20"/>
        </w:rPr>
        <w:t>konsultacji</w:t>
      </w:r>
      <w:r w:rsidR="002A6998" w:rsidRPr="00EB75F6">
        <w:rPr>
          <w:rFonts w:ascii="Verdana" w:hAnsi="Verdana"/>
          <w:color w:val="auto"/>
          <w:sz w:val="20"/>
          <w:szCs w:val="20"/>
        </w:rPr>
        <w:t xml:space="preserve"> kierowanym do uczestników. </w:t>
      </w:r>
    </w:p>
    <w:p w14:paraId="10E7FDAF" w14:textId="54769495" w:rsidR="002A6998" w:rsidRPr="00EB75F6" w:rsidRDefault="00511145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Konsultacje</w:t>
      </w:r>
      <w:r w:rsidR="002A6998" w:rsidRPr="00EB75F6">
        <w:rPr>
          <w:rFonts w:ascii="Verdana" w:hAnsi="Verdana"/>
          <w:color w:val="auto"/>
          <w:sz w:val="20"/>
          <w:szCs w:val="20"/>
        </w:rPr>
        <w:t xml:space="preserve"> mo</w:t>
      </w:r>
      <w:r>
        <w:rPr>
          <w:rFonts w:ascii="Verdana" w:hAnsi="Verdana"/>
          <w:color w:val="auto"/>
          <w:sz w:val="20"/>
          <w:szCs w:val="20"/>
        </w:rPr>
        <w:t>gą</w:t>
      </w:r>
      <w:r w:rsidR="002A6998" w:rsidRPr="00EB75F6">
        <w:rPr>
          <w:rFonts w:ascii="Verdana" w:hAnsi="Verdana"/>
          <w:color w:val="auto"/>
          <w:sz w:val="20"/>
          <w:szCs w:val="20"/>
        </w:rPr>
        <w:t xml:space="preserve"> przybrać w szczególności formę: </w:t>
      </w:r>
    </w:p>
    <w:p w14:paraId="2EFBE244" w14:textId="77777777" w:rsidR="002A6998" w:rsidRPr="00EB75F6" w:rsidRDefault="002A6998" w:rsidP="00EB75F6">
      <w:pPr>
        <w:pStyle w:val="Akapitzlist"/>
        <w:numPr>
          <w:ilvl w:val="2"/>
          <w:numId w:val="7"/>
        </w:numPr>
        <w:spacing w:after="0"/>
        <w:ind w:hanging="294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>wymiany korespondencji w postaci pisemnej lub elektronicznej;</w:t>
      </w:r>
    </w:p>
    <w:p w14:paraId="10240D51" w14:textId="77777777" w:rsidR="002A6998" w:rsidRPr="00EB75F6" w:rsidRDefault="002A6998" w:rsidP="00EB75F6">
      <w:pPr>
        <w:pStyle w:val="Akapitzlist"/>
        <w:numPr>
          <w:ilvl w:val="2"/>
          <w:numId w:val="7"/>
        </w:numPr>
        <w:spacing w:after="0"/>
        <w:ind w:hanging="294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spotkania indywidualnego z uczestnikami; </w:t>
      </w:r>
    </w:p>
    <w:p w14:paraId="521FA242" w14:textId="77777777" w:rsidR="002A6998" w:rsidRPr="00EB75F6" w:rsidRDefault="002A6998" w:rsidP="00EB75F6">
      <w:pPr>
        <w:pStyle w:val="Akapitzlist"/>
        <w:numPr>
          <w:ilvl w:val="2"/>
          <w:numId w:val="7"/>
        </w:numPr>
        <w:spacing w:after="0"/>
        <w:ind w:left="1418" w:hanging="992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spotkania grupowego z uczestnikami, na określony przez Zamawiającego temat oraz w określonych przez Zamawiającego trybie i terminach. </w:t>
      </w:r>
    </w:p>
    <w:p w14:paraId="22A0A2E8" w14:textId="642EE7C7" w:rsidR="002A6998" w:rsidRPr="00EB75F6" w:rsidRDefault="002A6998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Zamawiający może zadecydować o prowadzeniu </w:t>
      </w:r>
      <w:r w:rsidR="00511145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 z wykorzystaniem wybranych lub wszystkich ww. form komunikacji. </w:t>
      </w:r>
    </w:p>
    <w:p w14:paraId="07966B76" w14:textId="71F45F76" w:rsidR="002A6998" w:rsidRPr="00EB75F6" w:rsidRDefault="002A6998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Zamawiający może w każdej chwili zrezygnować z prowadzenia </w:t>
      </w:r>
      <w:r w:rsidR="00511145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 z wybranym uczestnikiem, jeżeli uzna, iż przekazywane przez niego informacje nie są przydatne do osiągnięcia celu </w:t>
      </w:r>
      <w:r w:rsidR="00511145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. </w:t>
      </w:r>
    </w:p>
    <w:p w14:paraId="30A544CA" w14:textId="439317EE" w:rsidR="002A6998" w:rsidRPr="00EB75F6" w:rsidRDefault="002A6998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W trakcie </w:t>
      </w:r>
      <w:r w:rsidR="00983473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 Zamawiający może korzystać z pomocy biegłych i doradców, dysponujących wiedzą specjalistyczną, niezbędną do przeprowadzenia </w:t>
      </w:r>
      <w:r w:rsidR="00983473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>. Osoby te są zobowiązane do zachowania poufności na zasadach określonych w pkt. 8.10. Regulaminu.</w:t>
      </w:r>
    </w:p>
    <w:p w14:paraId="4F4CD8B1" w14:textId="7D66CE8C" w:rsidR="002A6998" w:rsidRPr="00EB75F6" w:rsidRDefault="002A6998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>Zamawiający może zdecydować o przedłużeniu czasu prowadzeni</w:t>
      </w:r>
      <w:r w:rsidR="00983473">
        <w:rPr>
          <w:rFonts w:ascii="Verdana" w:hAnsi="Verdana"/>
          <w:color w:val="auto"/>
          <w:sz w:val="20"/>
          <w:szCs w:val="20"/>
        </w:rPr>
        <w:t>a 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 ponad czas przewidziany w informacji o zamiarze przeprowadzenie </w:t>
      </w:r>
      <w:r w:rsidR="00983473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>.</w:t>
      </w:r>
    </w:p>
    <w:p w14:paraId="5221D9F0" w14:textId="5B45AFC3" w:rsidR="002A6998" w:rsidRPr="00EB75F6" w:rsidRDefault="002A6998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 Koszty związane z uczestnictwem w </w:t>
      </w:r>
      <w:r w:rsidR="00983473">
        <w:rPr>
          <w:rFonts w:ascii="Verdana" w:hAnsi="Verdana"/>
          <w:color w:val="auto"/>
          <w:sz w:val="20"/>
          <w:szCs w:val="20"/>
        </w:rPr>
        <w:t>konsultacjach</w:t>
      </w:r>
      <w:r w:rsidRPr="00EB75F6">
        <w:rPr>
          <w:rFonts w:ascii="Verdana" w:hAnsi="Verdana"/>
          <w:color w:val="auto"/>
          <w:sz w:val="20"/>
          <w:szCs w:val="20"/>
        </w:rPr>
        <w:t xml:space="preserve"> ponoszą uczestnicy. Koszty uczestnictwa w </w:t>
      </w:r>
      <w:r w:rsidR="00983473">
        <w:rPr>
          <w:rFonts w:ascii="Verdana" w:hAnsi="Verdana"/>
          <w:color w:val="auto"/>
          <w:sz w:val="20"/>
          <w:szCs w:val="20"/>
        </w:rPr>
        <w:t>konsultacjach</w:t>
      </w:r>
      <w:r w:rsidRPr="00EB75F6">
        <w:rPr>
          <w:rFonts w:ascii="Verdana" w:hAnsi="Verdana"/>
          <w:color w:val="auto"/>
          <w:sz w:val="20"/>
          <w:szCs w:val="20"/>
        </w:rPr>
        <w:t xml:space="preserve"> nie podlegają zwrotowi przez Zamawiającego, nawet wówczas, gdy pomimo przeprowadzon</w:t>
      </w:r>
      <w:r w:rsidR="00983473">
        <w:rPr>
          <w:rFonts w:ascii="Verdana" w:hAnsi="Verdana"/>
          <w:color w:val="auto"/>
          <w:sz w:val="20"/>
          <w:szCs w:val="20"/>
        </w:rPr>
        <w:t>ych 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 nie zostanie wszczęte postępowanie ani udzielone jakiekolwiek Zamówienie. Uczestnicy nie otrzymują wynagrodzenia od Zamawiającego z tytułu uczestnictwa w </w:t>
      </w:r>
      <w:r w:rsidR="00983473">
        <w:rPr>
          <w:rFonts w:ascii="Verdana" w:hAnsi="Verdana"/>
          <w:color w:val="auto"/>
          <w:sz w:val="20"/>
          <w:szCs w:val="20"/>
        </w:rPr>
        <w:t>konsultacjach</w:t>
      </w:r>
      <w:r w:rsidRPr="00EB75F6">
        <w:rPr>
          <w:rFonts w:ascii="Verdana" w:hAnsi="Verdana"/>
          <w:color w:val="auto"/>
          <w:sz w:val="20"/>
          <w:szCs w:val="20"/>
        </w:rPr>
        <w:t xml:space="preserve">. </w:t>
      </w:r>
    </w:p>
    <w:p w14:paraId="77B2ABA5" w14:textId="026089A3" w:rsidR="002A6998" w:rsidRDefault="002A6998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Zamawiający nie ujawni w toku </w:t>
      </w:r>
      <w:r w:rsidR="00983473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 ani po </w:t>
      </w:r>
      <w:r w:rsidR="00983473">
        <w:rPr>
          <w:rFonts w:ascii="Verdana" w:hAnsi="Verdana"/>
          <w:color w:val="auto"/>
          <w:sz w:val="20"/>
          <w:szCs w:val="20"/>
        </w:rPr>
        <w:t>ich</w:t>
      </w:r>
      <w:r w:rsidRPr="00EB75F6">
        <w:rPr>
          <w:rFonts w:ascii="Verdana" w:hAnsi="Verdana"/>
          <w:color w:val="auto"/>
          <w:sz w:val="20"/>
          <w:szCs w:val="20"/>
        </w:rPr>
        <w:t xml:space="preserve"> zakończeniu informacji stanowiących tajemnicę przedsiębiorstwa w rozumieniu art. 11 ust. 2 ustawy z dnia 16 kwietnia 1993 r. o zwalczaniu nieuczciwej konkurencji (tj. </w:t>
      </w:r>
      <w:r w:rsidR="007448CA" w:rsidRPr="007448CA">
        <w:rPr>
          <w:rFonts w:ascii="Verdana" w:hAnsi="Verdana"/>
          <w:color w:val="auto"/>
          <w:sz w:val="20"/>
          <w:szCs w:val="20"/>
        </w:rPr>
        <w:t>Dz.U.2020</w:t>
      </w:r>
      <w:r w:rsidR="007448CA">
        <w:rPr>
          <w:rFonts w:ascii="Verdana" w:hAnsi="Verdana"/>
          <w:color w:val="auto"/>
          <w:sz w:val="20"/>
          <w:szCs w:val="20"/>
        </w:rPr>
        <w:t xml:space="preserve"> poz. </w:t>
      </w:r>
      <w:r w:rsidR="007448CA" w:rsidRPr="007448CA">
        <w:rPr>
          <w:rFonts w:ascii="Verdana" w:hAnsi="Verdana"/>
          <w:color w:val="auto"/>
          <w:sz w:val="20"/>
          <w:szCs w:val="20"/>
        </w:rPr>
        <w:t>1913</w:t>
      </w:r>
      <w:r w:rsidRPr="00EB75F6">
        <w:rPr>
          <w:rFonts w:ascii="Verdana" w:hAnsi="Verdana"/>
          <w:color w:val="auto"/>
          <w:sz w:val="20"/>
          <w:szCs w:val="20"/>
        </w:rPr>
        <w:t xml:space="preserve">), jeżeli Uczestnik, nie później niż wraz z przekazaniem informacji Zamawiającemu, zastrzegł, że przekazywane informacje nie mogą być udostępniane innym podmiotom. </w:t>
      </w:r>
    </w:p>
    <w:p w14:paraId="4C8CE34B" w14:textId="53F88D1D" w:rsidR="002477BB" w:rsidRDefault="002477BB" w:rsidP="002477BB">
      <w:pPr>
        <w:pStyle w:val="Akapitzlist"/>
        <w:spacing w:after="0"/>
        <w:ind w:left="360"/>
        <w:jc w:val="both"/>
        <w:rPr>
          <w:rFonts w:ascii="Verdana" w:hAnsi="Verdana"/>
          <w:color w:val="auto"/>
          <w:sz w:val="20"/>
          <w:szCs w:val="20"/>
        </w:rPr>
      </w:pPr>
    </w:p>
    <w:p w14:paraId="014A6C5A" w14:textId="77777777" w:rsidR="002477BB" w:rsidRPr="00EB75F6" w:rsidRDefault="002477BB" w:rsidP="002477BB">
      <w:pPr>
        <w:pStyle w:val="Akapitzlist"/>
        <w:spacing w:after="0"/>
        <w:ind w:left="360"/>
        <w:jc w:val="both"/>
        <w:rPr>
          <w:rFonts w:ascii="Verdana" w:hAnsi="Verdana"/>
          <w:color w:val="auto"/>
          <w:sz w:val="20"/>
          <w:szCs w:val="20"/>
        </w:rPr>
      </w:pPr>
    </w:p>
    <w:p w14:paraId="1C6FC285" w14:textId="77777777" w:rsidR="002A6998" w:rsidRPr="00EB75F6" w:rsidRDefault="002A6998" w:rsidP="00EB75F6">
      <w:pPr>
        <w:pStyle w:val="Akapitzlist"/>
        <w:spacing w:after="0"/>
        <w:ind w:left="792"/>
        <w:jc w:val="both"/>
        <w:rPr>
          <w:rFonts w:ascii="Verdana" w:hAnsi="Verdana"/>
          <w:color w:val="auto"/>
          <w:sz w:val="20"/>
          <w:szCs w:val="20"/>
        </w:rPr>
      </w:pPr>
    </w:p>
    <w:p w14:paraId="06861940" w14:textId="09E94D66" w:rsidR="002A6998" w:rsidRPr="00EB75F6" w:rsidRDefault="002A6998" w:rsidP="00EB75F6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  <w:b/>
          <w:color w:val="auto"/>
          <w:sz w:val="20"/>
          <w:szCs w:val="20"/>
          <w:u w:val="single"/>
        </w:rPr>
      </w:pPr>
      <w:r w:rsidRPr="00EB75F6">
        <w:rPr>
          <w:rFonts w:ascii="Verdana" w:hAnsi="Verdana"/>
          <w:b/>
          <w:color w:val="auto"/>
          <w:sz w:val="20"/>
          <w:szCs w:val="20"/>
          <w:u w:val="single"/>
        </w:rPr>
        <w:t xml:space="preserve">Zakończenie </w:t>
      </w:r>
      <w:r w:rsidR="007448CA">
        <w:rPr>
          <w:rFonts w:ascii="Verdana" w:hAnsi="Verdana"/>
          <w:b/>
          <w:color w:val="auto"/>
          <w:sz w:val="20"/>
          <w:szCs w:val="20"/>
          <w:u w:val="single"/>
        </w:rPr>
        <w:t>konsultacji</w:t>
      </w:r>
      <w:r w:rsidRPr="00EB75F6">
        <w:rPr>
          <w:rFonts w:ascii="Verdana" w:hAnsi="Verdana"/>
          <w:b/>
          <w:color w:val="auto"/>
          <w:sz w:val="20"/>
          <w:szCs w:val="20"/>
          <w:u w:val="single"/>
        </w:rPr>
        <w:t xml:space="preserve"> </w:t>
      </w:r>
    </w:p>
    <w:p w14:paraId="618350D0" w14:textId="77777777" w:rsidR="002A6998" w:rsidRPr="00EB75F6" w:rsidRDefault="002A6998" w:rsidP="00EB75F6">
      <w:pPr>
        <w:pStyle w:val="Akapitzlist"/>
        <w:spacing w:after="0"/>
        <w:ind w:left="360"/>
        <w:jc w:val="both"/>
        <w:rPr>
          <w:rFonts w:ascii="Verdana" w:hAnsi="Verdana"/>
          <w:color w:val="auto"/>
          <w:sz w:val="20"/>
          <w:szCs w:val="20"/>
        </w:rPr>
      </w:pPr>
    </w:p>
    <w:p w14:paraId="05C02DFB" w14:textId="564AE917" w:rsidR="002A6998" w:rsidRPr="00EB75F6" w:rsidRDefault="002A6998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Zamawiający decyduje o zakończeniu </w:t>
      </w:r>
      <w:r w:rsidR="007448CA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, przy czym nie jest zobowiązany do podawania uzasadnienia swojej decyzji. </w:t>
      </w:r>
    </w:p>
    <w:p w14:paraId="38B0B7AC" w14:textId="31124599" w:rsidR="002A6998" w:rsidRPr="00EB75F6" w:rsidRDefault="002A6998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O zakończeniu </w:t>
      </w:r>
      <w:r w:rsidR="007448CA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 Zamawiający niezwłocznie poinformuje umieszczając informację na stronie internetowej, a w przypadku zakończenia </w:t>
      </w:r>
      <w:r w:rsidR="007448CA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 po zaproszeniu wybranych uczestników do udziału w </w:t>
      </w:r>
      <w:r w:rsidR="007448CA">
        <w:rPr>
          <w:rFonts w:ascii="Verdana" w:hAnsi="Verdana"/>
          <w:color w:val="auto"/>
          <w:sz w:val="20"/>
          <w:szCs w:val="20"/>
        </w:rPr>
        <w:t>konsultacjach</w:t>
      </w:r>
      <w:r w:rsidRPr="00EB75F6">
        <w:rPr>
          <w:rFonts w:ascii="Verdana" w:hAnsi="Verdana"/>
          <w:color w:val="auto"/>
          <w:sz w:val="20"/>
          <w:szCs w:val="20"/>
        </w:rPr>
        <w:t xml:space="preserve"> również poprzez przekazanie informacji uczestnikom. </w:t>
      </w:r>
    </w:p>
    <w:p w14:paraId="6E8311E1" w14:textId="2504D37A" w:rsidR="002A6998" w:rsidRPr="00EB75F6" w:rsidRDefault="002A6998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Po zakończeniu </w:t>
      </w:r>
      <w:r w:rsidR="007448CA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 Zamawiający sporządza protokół zawierający poniższe informacje: </w:t>
      </w:r>
    </w:p>
    <w:p w14:paraId="3551E11F" w14:textId="4531C171" w:rsidR="002A6998" w:rsidRPr="00EB75F6" w:rsidRDefault="002A6998" w:rsidP="00EB75F6">
      <w:pPr>
        <w:pStyle w:val="Akapitzlist"/>
        <w:numPr>
          <w:ilvl w:val="2"/>
          <w:numId w:val="7"/>
        </w:numPr>
        <w:spacing w:after="0"/>
        <w:ind w:hanging="294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informację o przeprowadzeniu </w:t>
      </w:r>
      <w:r w:rsidR="007448CA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>;</w:t>
      </w:r>
    </w:p>
    <w:p w14:paraId="213629D2" w14:textId="20D6E8E4" w:rsidR="002A6998" w:rsidRPr="00EB75F6" w:rsidRDefault="002A6998" w:rsidP="00EB75F6">
      <w:pPr>
        <w:pStyle w:val="Akapitzlist"/>
        <w:numPr>
          <w:ilvl w:val="2"/>
          <w:numId w:val="7"/>
        </w:numPr>
        <w:spacing w:after="0"/>
        <w:ind w:hanging="294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podmioty, które uczestniczyły w </w:t>
      </w:r>
      <w:r w:rsidR="007448CA">
        <w:rPr>
          <w:rFonts w:ascii="Verdana" w:hAnsi="Verdana"/>
          <w:color w:val="auto"/>
          <w:sz w:val="20"/>
          <w:szCs w:val="20"/>
        </w:rPr>
        <w:t>konsultacjach</w:t>
      </w:r>
      <w:r w:rsidRPr="00EB75F6">
        <w:rPr>
          <w:rFonts w:ascii="Verdana" w:hAnsi="Verdana"/>
          <w:color w:val="auto"/>
          <w:sz w:val="20"/>
          <w:szCs w:val="20"/>
        </w:rPr>
        <w:t xml:space="preserve">; </w:t>
      </w:r>
    </w:p>
    <w:p w14:paraId="35EF22AC" w14:textId="7A64EC83" w:rsidR="002A6998" w:rsidRPr="00EB75F6" w:rsidRDefault="002A6998" w:rsidP="00EB75F6">
      <w:pPr>
        <w:pStyle w:val="Akapitzlist"/>
        <w:numPr>
          <w:ilvl w:val="2"/>
          <w:numId w:val="7"/>
        </w:numPr>
        <w:spacing w:after="0"/>
        <w:ind w:left="1418" w:hanging="992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informację o wpływie </w:t>
      </w:r>
      <w:r w:rsidR="007448CA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 na opis przedmiotu zamówienia, specyfikację warunków zamówienia lub warunki umowy. </w:t>
      </w:r>
    </w:p>
    <w:p w14:paraId="321201F8" w14:textId="1F2B71DE" w:rsidR="002A6998" w:rsidRPr="00EB75F6" w:rsidRDefault="002A6998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Zamawiający zamieszcza informację o zastosowaniu </w:t>
      </w:r>
      <w:r w:rsidR="007448CA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 w ogłoszeniu </w:t>
      </w:r>
      <w:r w:rsidR="002477BB">
        <w:rPr>
          <w:rFonts w:ascii="Verdana" w:hAnsi="Verdana"/>
          <w:color w:val="auto"/>
          <w:sz w:val="20"/>
          <w:szCs w:val="20"/>
        </w:rPr>
        <w:br/>
      </w:r>
      <w:r w:rsidRPr="00EB75F6">
        <w:rPr>
          <w:rFonts w:ascii="Verdana" w:hAnsi="Verdana"/>
          <w:color w:val="auto"/>
          <w:sz w:val="20"/>
          <w:szCs w:val="20"/>
        </w:rPr>
        <w:t>o zamówieniu, którego dotyczy</w:t>
      </w:r>
      <w:r w:rsidR="007448CA">
        <w:rPr>
          <w:rFonts w:ascii="Verdana" w:hAnsi="Verdana"/>
          <w:color w:val="auto"/>
          <w:sz w:val="20"/>
          <w:szCs w:val="20"/>
        </w:rPr>
        <w:t>ły wstępne konsultacje rynkowe</w:t>
      </w:r>
      <w:r w:rsidRPr="00EB75F6">
        <w:rPr>
          <w:rFonts w:ascii="Verdana" w:hAnsi="Verdana"/>
          <w:color w:val="auto"/>
          <w:sz w:val="20"/>
          <w:szCs w:val="20"/>
        </w:rPr>
        <w:t>.</w:t>
      </w:r>
    </w:p>
    <w:p w14:paraId="77E246A1" w14:textId="785DF719" w:rsidR="002A6998" w:rsidRPr="00EB75F6" w:rsidRDefault="002A6998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Informacje, o których mowa w pkt 6.3. Regulaminu stanowią element protokołu postępowania, poprzedzonego </w:t>
      </w:r>
      <w:r w:rsidR="007448CA">
        <w:rPr>
          <w:rFonts w:ascii="Verdana" w:hAnsi="Verdana"/>
          <w:color w:val="auto"/>
          <w:sz w:val="20"/>
          <w:szCs w:val="20"/>
        </w:rPr>
        <w:t>konsultacjami</w:t>
      </w:r>
      <w:r w:rsidRPr="00EB75F6">
        <w:rPr>
          <w:rFonts w:ascii="Verdana" w:hAnsi="Verdana"/>
          <w:color w:val="auto"/>
          <w:sz w:val="20"/>
          <w:szCs w:val="20"/>
        </w:rPr>
        <w:t xml:space="preserve">. </w:t>
      </w:r>
    </w:p>
    <w:p w14:paraId="3EBC8FE4" w14:textId="47DD7BC8" w:rsidR="002A6998" w:rsidRPr="00EB75F6" w:rsidRDefault="002A6998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Protokół z </w:t>
      </w:r>
      <w:r w:rsidR="007448CA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 wraz z załącznikami jest jawny, z zastrzeżeniem pkt. 8.10. Regulaminu.</w:t>
      </w:r>
    </w:p>
    <w:p w14:paraId="62E8EBFA" w14:textId="2B7154F9" w:rsidR="002A6998" w:rsidRPr="00EB75F6" w:rsidRDefault="002A6998" w:rsidP="00EB75F6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EB75F6">
        <w:rPr>
          <w:rFonts w:ascii="Verdana" w:hAnsi="Verdana"/>
          <w:color w:val="auto"/>
          <w:sz w:val="20"/>
          <w:szCs w:val="20"/>
        </w:rPr>
        <w:t xml:space="preserve">Korespondencja, protokoły, pisma, opracowania, opinie i wszelkie inne dokumenty związane z </w:t>
      </w:r>
      <w:r w:rsidR="007448CA">
        <w:rPr>
          <w:rFonts w:ascii="Verdana" w:hAnsi="Verdana"/>
          <w:color w:val="auto"/>
          <w:sz w:val="20"/>
          <w:szCs w:val="20"/>
        </w:rPr>
        <w:t>konsultacjami</w:t>
      </w:r>
      <w:r w:rsidRPr="00EB75F6">
        <w:rPr>
          <w:rFonts w:ascii="Verdana" w:hAnsi="Verdana"/>
          <w:color w:val="auto"/>
          <w:sz w:val="20"/>
          <w:szCs w:val="20"/>
        </w:rPr>
        <w:t xml:space="preserve"> pozostają w dyspozycji Zamawiającego i nie podlegają zwrotowi po zakończeniu </w:t>
      </w:r>
      <w:r w:rsidR="007448CA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 xml:space="preserve">. Zamawiający może zwrócić uczestnikowi, na jego żądanie, próbki, sprzęt lub inne materiały przekazane w ramach </w:t>
      </w:r>
      <w:r w:rsidR="007448CA">
        <w:rPr>
          <w:rFonts w:ascii="Verdana" w:hAnsi="Verdana"/>
          <w:color w:val="auto"/>
          <w:sz w:val="20"/>
          <w:szCs w:val="20"/>
        </w:rPr>
        <w:t>konsultacji</w:t>
      </w:r>
      <w:r w:rsidRPr="00EB75F6">
        <w:rPr>
          <w:rFonts w:ascii="Verdana" w:hAnsi="Verdana"/>
          <w:color w:val="auto"/>
          <w:sz w:val="20"/>
          <w:szCs w:val="20"/>
        </w:rPr>
        <w:t>.</w:t>
      </w:r>
    </w:p>
    <w:bookmarkEnd w:id="0"/>
    <w:p w14:paraId="69A3BBD3" w14:textId="0FC47E61" w:rsidR="007448CA" w:rsidRDefault="007448CA" w:rsidP="007448CA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7448CA">
        <w:rPr>
          <w:rFonts w:ascii="Verdana" w:hAnsi="Verdana"/>
          <w:color w:val="auto"/>
          <w:sz w:val="20"/>
          <w:szCs w:val="20"/>
        </w:rPr>
        <w:t>Jeżeli wykonawca lub podmiot, który należy z wykonawcą do tej samej grupy kapitałowej w rozumieniu ustawy z dnia 16 lutego 2007 r. o ochronie konkurencji i konsumentów (Dz. U. z 2019 r. poz. 369, 1571 i 1667), doradzał lub w inny sposób był zaangażowany w przygotowanie postępowania o udzielenie tego zamówienia, zamawiający podejmuje odpowiednie środki w celu zagwarantowania, że udział tego wykonawcy w postępowaniu nie zakłóci konkurencji, w szczególności przekazuje pozostałym wykonawcom istotne informacje, które przekazał lub uzyskał w związku z zaangażowaniem wykonawcy lub tego podmiotu w przygotowanie postępowania, oraz wyznacza odpowiedni termin na złożenie ofert. Zamawiający wskazuje w protokole postępowania środki mające na celu zapobieżenie zakłóceniu konkurencji.</w:t>
      </w:r>
    </w:p>
    <w:p w14:paraId="7058B6A5" w14:textId="3E3746CB" w:rsidR="007448CA" w:rsidRPr="007448CA" w:rsidRDefault="007448CA" w:rsidP="007448CA">
      <w:pPr>
        <w:pStyle w:val="Akapitzlist"/>
        <w:numPr>
          <w:ilvl w:val="1"/>
          <w:numId w:val="7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7448CA">
        <w:rPr>
          <w:rFonts w:ascii="Verdana" w:hAnsi="Verdana"/>
          <w:color w:val="auto"/>
          <w:sz w:val="20"/>
          <w:szCs w:val="20"/>
        </w:rPr>
        <w:t>Wykonawca zaangażowany w przygotowanie postępowania o udzielenie zamówienia podlega wykluczeniu z tego postępowania wyłącznie w przypadku, gdy spowodowane tym zaangażowaniem zakłócenie konkurencji nie może być wyeliminowane w inny sposób niż przez wykluczenie wykonawcy z udziału w tym postępowaniu. Przed wykluczeniem wykonawcy zamawiający zapewnia temu wykonawcy możliwość udowodnienia, że jego zaangażowanie w przygotowanie postępowania o udzielenie zamówienia nie zakłóci konkurencji.</w:t>
      </w:r>
    </w:p>
    <w:p w14:paraId="6A44BA31" w14:textId="77777777" w:rsidR="00CD1867" w:rsidRPr="00EB75F6" w:rsidRDefault="00CD1867" w:rsidP="00EB75F6">
      <w:pPr>
        <w:rPr>
          <w:rFonts w:ascii="Verdana" w:hAnsi="Verdana"/>
          <w:sz w:val="20"/>
          <w:szCs w:val="20"/>
        </w:rPr>
      </w:pPr>
    </w:p>
    <w:sectPr w:rsidR="007648E3" w:rsidRPr="00EB75F6" w:rsidSect="00E678A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304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DD67" w14:textId="77777777" w:rsidR="005B7E90" w:rsidRDefault="005B7E90">
      <w:pPr>
        <w:spacing w:after="0" w:line="240" w:lineRule="auto"/>
      </w:pPr>
      <w:r>
        <w:separator/>
      </w:r>
    </w:p>
  </w:endnote>
  <w:endnote w:type="continuationSeparator" w:id="0">
    <w:p w14:paraId="30B02316" w14:textId="77777777" w:rsidR="005B7E90" w:rsidRDefault="005B7E90">
      <w:pPr>
        <w:spacing w:after="0" w:line="240" w:lineRule="auto"/>
      </w:pPr>
      <w:r>
        <w:continuationSeparator/>
      </w:r>
    </w:p>
  </w:endnote>
  <w:endnote w:type="continuationNotice" w:id="1">
    <w:p w14:paraId="3357CF55" w14:textId="77777777" w:rsidR="005B7E90" w:rsidRDefault="005B7E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5777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95250D" w14:textId="731A19D0" w:rsidR="00054668" w:rsidRDefault="00950CB8">
            <w:pPr>
              <w:pStyle w:val="Stopka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5D4842" wp14:editId="254EF165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7620</wp:posOffset>
                      </wp:positionV>
                      <wp:extent cx="4910400" cy="381600"/>
                      <wp:effectExtent l="0" t="0" r="24130" b="1905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0400" cy="38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E69FF78" w14:textId="01D9EC48" w:rsidR="00950CB8" w:rsidRPr="0038261A" w:rsidRDefault="00950CB8" w:rsidP="00950CB8">
                                  <w:pPr>
                                    <w:spacing w:after="0" w:line="240" w:lineRule="auto"/>
                                    <w:rPr>
                                      <w:rFonts w:ascii="Verdana" w:hAnsi="Verdana"/>
                                      <w:sz w:val="12"/>
                                      <w:szCs w:val="18"/>
                                    </w:rPr>
                                  </w:pPr>
                                  <w:r w:rsidRPr="0038261A">
                                    <w:rPr>
                                      <w:rFonts w:ascii="Verdana" w:hAnsi="Verdana"/>
                                      <w:sz w:val="12"/>
                                      <w:szCs w:val="18"/>
                                    </w:rPr>
                                    <w:t>Niniejszy dokument jest własnością Sieć Badawcza Łukasiewicz – PORT Polski Ośrodek Rozwoju Technologii i służy jedynie do użytku wewnętrznego. Nie może być udostępniany stronom trzecim bez pisemnego zezwolenia właściciela lub jego przedstawiciela</w:t>
                                  </w:r>
                                  <w:r w:rsidR="0009263F">
                                    <w:rPr>
                                      <w:rFonts w:ascii="Verdana" w:hAnsi="Verdana"/>
                                      <w:sz w:val="12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11D35079" w14:textId="77777777" w:rsidR="00950CB8" w:rsidRDefault="00950C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D48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0;margin-top:.6pt;width:386.65pt;height:30.0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" fillcolor="white [3201]" strokecolor="white [3212]" strokeweight=".5pt">
                      <v:textbox>
                        <w:txbxContent>
                          <w:p w14:paraId="6E69FF78" w14:textId="01D9EC48" w:rsidR="00950CB8" w:rsidRPr="0038261A" w:rsidRDefault="00950CB8" w:rsidP="00950CB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2"/>
                                <w:szCs w:val="18"/>
                              </w:rPr>
                            </w:pPr>
                            <w:r w:rsidRPr="0038261A">
                              <w:rPr>
                                <w:rFonts w:ascii="Verdana" w:hAnsi="Verdana"/>
                                <w:sz w:val="12"/>
                                <w:szCs w:val="18"/>
                              </w:rPr>
                              <w:t>Niniejszy dokument jest własnością Sieć Badawcza Łukasiewicz – PORT Polski Ośrodek Rozwoju Technologii i służy jedynie do użytku wewnętrznego. Nie może być udostępniany stronom trzecim bez pisemnego zezwolenia właściciela lub jego przedstawiciela</w:t>
                            </w:r>
                            <w:r w:rsidR="0009263F">
                              <w:rPr>
                                <w:rFonts w:ascii="Verdana" w:hAnsi="Verdana"/>
                                <w:sz w:val="12"/>
                                <w:szCs w:val="18"/>
                              </w:rPr>
                              <w:t>.</w:t>
                            </w:r>
                          </w:p>
                          <w:p w14:paraId="11D35079" w14:textId="77777777" w:rsidR="00950CB8" w:rsidRDefault="00950CB8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54668">
              <w:t xml:space="preserve">Strona </w:t>
            </w:r>
            <w:r w:rsidR="00054668">
              <w:rPr>
                <w:b/>
                <w:bCs/>
                <w:sz w:val="24"/>
                <w:szCs w:val="24"/>
              </w:rPr>
              <w:fldChar w:fldCharType="begin"/>
            </w:r>
            <w:r w:rsidR="00054668">
              <w:rPr>
                <w:b/>
                <w:bCs/>
              </w:rPr>
              <w:instrText>PAGE</w:instrText>
            </w:r>
            <w:r w:rsidR="00054668">
              <w:rPr>
                <w:b/>
                <w:bCs/>
                <w:sz w:val="24"/>
                <w:szCs w:val="24"/>
              </w:rPr>
              <w:fldChar w:fldCharType="separate"/>
            </w:r>
            <w:r w:rsidR="00054668">
              <w:rPr>
                <w:b/>
                <w:bCs/>
              </w:rPr>
              <w:t>2</w:t>
            </w:r>
            <w:r w:rsidR="00054668">
              <w:rPr>
                <w:b/>
                <w:bCs/>
                <w:sz w:val="24"/>
                <w:szCs w:val="24"/>
              </w:rPr>
              <w:fldChar w:fldCharType="end"/>
            </w:r>
            <w:r w:rsidR="00054668">
              <w:t xml:space="preserve"> z </w:t>
            </w:r>
            <w:r w:rsidR="00054668">
              <w:rPr>
                <w:b/>
                <w:bCs/>
                <w:sz w:val="24"/>
                <w:szCs w:val="24"/>
              </w:rPr>
              <w:fldChar w:fldCharType="begin"/>
            </w:r>
            <w:r w:rsidR="00054668">
              <w:rPr>
                <w:b/>
                <w:bCs/>
              </w:rPr>
              <w:instrText>NUMPAGES</w:instrText>
            </w:r>
            <w:r w:rsidR="00054668">
              <w:rPr>
                <w:b/>
                <w:bCs/>
                <w:sz w:val="24"/>
                <w:szCs w:val="24"/>
              </w:rPr>
              <w:fldChar w:fldCharType="separate"/>
            </w:r>
            <w:r w:rsidR="00054668">
              <w:rPr>
                <w:b/>
                <w:bCs/>
              </w:rPr>
              <w:t>2</w:t>
            </w:r>
            <w:r w:rsidR="0005466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F07DAE" w14:textId="77777777" w:rsidR="00DE0B6E" w:rsidRDefault="00DE0B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77B2" w14:textId="77777777" w:rsidR="00E678A3" w:rsidRPr="005E2A1A" w:rsidRDefault="00E678A3" w:rsidP="00E678A3">
    <w:pPr>
      <w:spacing w:before="240" w:after="120"/>
      <w:jc w:val="center"/>
      <w:rPr>
        <w:rFonts w:ascii="Verdana" w:hAnsi="Verdana" w:cs="Arial"/>
        <w:color w:val="auto"/>
        <w:sz w:val="12"/>
        <w:szCs w:val="12"/>
      </w:rPr>
    </w:pPr>
    <w:r w:rsidRPr="004D017F">
      <w:rPr>
        <w:rFonts w:ascii="Verdana" w:hAnsi="Verdana" w:cs="Arial"/>
        <w:color w:val="auto"/>
        <w:sz w:val="12"/>
        <w:szCs w:val="12"/>
      </w:rPr>
      <w:t>Niniejszy dokument jest własnością Sieci Badawczej Łukasiewicz – PORT Polskiego Ośrodka Rozwoju Technologii i służy jedynie do użytku wewnętrznego. Nie może być udostępniany stronom trzecim bez pisemnego zezwolenia właściciela lub jego przedstawiciel.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034B" w14:textId="77777777" w:rsidR="005B7E90" w:rsidRDefault="005B7E90">
      <w:pPr>
        <w:spacing w:after="0" w:line="240" w:lineRule="auto"/>
      </w:pPr>
      <w:r>
        <w:separator/>
      </w:r>
    </w:p>
  </w:footnote>
  <w:footnote w:type="continuationSeparator" w:id="0">
    <w:p w14:paraId="77D9B271" w14:textId="77777777" w:rsidR="005B7E90" w:rsidRDefault="005B7E90">
      <w:pPr>
        <w:spacing w:after="0" w:line="240" w:lineRule="auto"/>
      </w:pPr>
      <w:r>
        <w:continuationSeparator/>
      </w:r>
    </w:p>
  </w:footnote>
  <w:footnote w:type="continuationNotice" w:id="1">
    <w:p w14:paraId="0437C1DA" w14:textId="77777777" w:rsidR="005B7E90" w:rsidRDefault="005B7E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1292" w14:textId="77777777" w:rsidR="00CD1867" w:rsidRDefault="00CD1867">
    <w:pPr>
      <w:pStyle w:val="Nagwek"/>
    </w:pPr>
    <w:r>
      <w:rPr>
        <w:noProof/>
        <w:lang w:eastAsia="pl-PL"/>
      </w:rPr>
      <w:pict w14:anchorId="798F2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49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5" w:type="dxa"/>
      <w:tblInd w:w="-7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2235"/>
      <w:gridCol w:w="5278"/>
      <w:gridCol w:w="1701"/>
      <w:gridCol w:w="1671"/>
    </w:tblGrid>
    <w:tr w:rsidR="00414614" w:rsidRPr="00C5347E" w14:paraId="1EEFAC59" w14:textId="77777777" w:rsidTr="00EB0AF1">
      <w:trPr>
        <w:trHeight w:val="414"/>
      </w:trPr>
      <w:tc>
        <w:tcPr>
          <w:tcW w:w="2235" w:type="dxa"/>
          <w:vMerge w:val="restart"/>
          <w:shd w:val="clear" w:color="auto" w:fill="auto"/>
          <w:vAlign w:val="center"/>
        </w:tcPr>
        <w:p w14:paraId="65148B70" w14:textId="2791F77D" w:rsidR="00CD1867" w:rsidRPr="0005273C" w:rsidRDefault="00EB75F6" w:rsidP="00EB75F6">
          <w:pPr>
            <w:pStyle w:val="Nagwek"/>
            <w:spacing w:before="120" w:after="120"/>
            <w:rPr>
              <w:rFonts w:ascii="Roboto Lt" w:eastAsia="Times New Roman" w:hAnsi="Roboto Lt"/>
            </w:rPr>
          </w:pPr>
          <w:r>
            <w:rPr>
              <w:rFonts w:ascii="Roboto Lt" w:eastAsia="Times New Roman" w:hAnsi="Roboto Lt"/>
              <w:noProof/>
              <w:lang w:eastAsia="pl-PL"/>
            </w:rPr>
            <w:drawing>
              <wp:inline distT="0" distB="0" distL="0" distR="0" wp14:anchorId="25D031AE" wp14:editId="3510FA1F">
                <wp:extent cx="1282065" cy="65214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GB_logo_uzupelniajace_pelna_nazw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065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Merge w:val="restart"/>
          <w:shd w:val="clear" w:color="auto" w:fill="auto"/>
          <w:vAlign w:val="center"/>
        </w:tcPr>
        <w:p w14:paraId="60363F7F" w14:textId="46EDCAC7" w:rsidR="00CD1867" w:rsidRPr="00EB75F6" w:rsidRDefault="002A6998" w:rsidP="00F83CFE">
          <w:pPr>
            <w:pStyle w:val="Nagwek"/>
            <w:ind w:right="-110"/>
            <w:jc w:val="center"/>
            <w:rPr>
              <w:rFonts w:ascii="Verdana" w:eastAsia="Times New Roman" w:hAnsi="Verdana" w:cs="Arial"/>
              <w:b/>
              <w:color w:val="auto"/>
              <w:sz w:val="28"/>
              <w:szCs w:val="28"/>
            </w:rPr>
          </w:pPr>
          <w:r w:rsidRPr="00EB75F6">
            <w:rPr>
              <w:rFonts w:ascii="Verdana" w:eastAsia="Times New Roman" w:hAnsi="Verdana" w:cs="Arial"/>
              <w:b/>
              <w:color w:val="auto"/>
              <w:sz w:val="28"/>
              <w:szCs w:val="28"/>
            </w:rPr>
            <w:t xml:space="preserve">Regulamin </w:t>
          </w:r>
          <w:r w:rsidR="00433455">
            <w:rPr>
              <w:rFonts w:ascii="Verdana" w:eastAsia="Times New Roman" w:hAnsi="Verdana" w:cs="Arial"/>
              <w:b/>
              <w:color w:val="auto"/>
              <w:sz w:val="28"/>
              <w:szCs w:val="28"/>
            </w:rPr>
            <w:t>Wstępnych Konsultacji Rynkowych</w:t>
          </w:r>
          <w:r w:rsidRPr="00EB75F6">
            <w:rPr>
              <w:rFonts w:ascii="Verdana" w:eastAsia="Times New Roman" w:hAnsi="Verdana" w:cs="Arial"/>
              <w:b/>
              <w:color w:val="auto"/>
              <w:sz w:val="28"/>
              <w:szCs w:val="28"/>
            </w:rPr>
            <w:t xml:space="preserve"> </w:t>
          </w:r>
        </w:p>
      </w:tc>
      <w:tc>
        <w:tcPr>
          <w:tcW w:w="1701" w:type="dxa"/>
          <w:shd w:val="clear" w:color="auto" w:fill="auto"/>
          <w:vAlign w:val="center"/>
        </w:tcPr>
        <w:p w14:paraId="1C2ED5FD" w14:textId="77777777" w:rsidR="00CD1867" w:rsidRPr="00EB75F6" w:rsidRDefault="002A6998" w:rsidP="00414614">
          <w:pPr>
            <w:pStyle w:val="Nagwek"/>
            <w:jc w:val="center"/>
            <w:rPr>
              <w:rFonts w:ascii="Verdana" w:eastAsia="Times New Roman" w:hAnsi="Verdana" w:cs="Arial"/>
              <w:color w:val="auto"/>
              <w:sz w:val="18"/>
              <w:szCs w:val="18"/>
            </w:rPr>
          </w:pPr>
          <w:r w:rsidRPr="00EB75F6">
            <w:rPr>
              <w:rFonts w:ascii="Verdana" w:eastAsia="Times New Roman" w:hAnsi="Verdana" w:cs="Arial"/>
              <w:color w:val="auto"/>
              <w:sz w:val="18"/>
              <w:szCs w:val="18"/>
            </w:rPr>
            <w:t>Numer</w:t>
          </w:r>
        </w:p>
      </w:tc>
      <w:tc>
        <w:tcPr>
          <w:tcW w:w="1671" w:type="dxa"/>
          <w:shd w:val="clear" w:color="auto" w:fill="auto"/>
          <w:vAlign w:val="center"/>
        </w:tcPr>
        <w:p w14:paraId="4BD3FF23" w14:textId="2FE5DDCB" w:rsidR="00CD1867" w:rsidRPr="00EB75F6" w:rsidRDefault="00F83CFE" w:rsidP="00EB0AF1">
          <w:pPr>
            <w:pStyle w:val="Nagwek"/>
            <w:jc w:val="center"/>
            <w:rPr>
              <w:rFonts w:ascii="Verdana" w:eastAsia="Times New Roman" w:hAnsi="Verdana" w:cs="Arial"/>
              <w:color w:val="auto"/>
              <w:sz w:val="18"/>
              <w:szCs w:val="18"/>
            </w:rPr>
          </w:pPr>
          <w:r w:rsidRPr="00EB75F6">
            <w:rPr>
              <w:rFonts w:ascii="Verdana" w:eastAsia="Times New Roman" w:hAnsi="Verdana" w:cs="Arial"/>
              <w:color w:val="auto"/>
              <w:sz w:val="18"/>
              <w:szCs w:val="18"/>
            </w:rPr>
            <w:t>ZP/1.</w:t>
          </w:r>
          <w:r w:rsidR="00B13AAF">
            <w:rPr>
              <w:rFonts w:ascii="Verdana" w:eastAsia="Times New Roman" w:hAnsi="Verdana" w:cs="Arial"/>
              <w:color w:val="auto"/>
              <w:sz w:val="18"/>
              <w:szCs w:val="18"/>
            </w:rPr>
            <w:t>9</w:t>
          </w:r>
          <w:r w:rsidRPr="00EB75F6">
            <w:rPr>
              <w:rFonts w:ascii="Verdana" w:eastAsia="Times New Roman" w:hAnsi="Verdana" w:cs="Arial"/>
              <w:color w:val="auto"/>
              <w:sz w:val="18"/>
              <w:szCs w:val="18"/>
            </w:rPr>
            <w:t>/202</w:t>
          </w:r>
          <w:r w:rsidR="00433455">
            <w:rPr>
              <w:rFonts w:ascii="Verdana" w:eastAsia="Times New Roman" w:hAnsi="Verdana" w:cs="Arial"/>
              <w:color w:val="auto"/>
              <w:sz w:val="18"/>
              <w:szCs w:val="18"/>
            </w:rPr>
            <w:t>1</w:t>
          </w:r>
        </w:p>
      </w:tc>
    </w:tr>
    <w:tr w:rsidR="00414614" w:rsidRPr="00C5347E" w14:paraId="0B02A53E" w14:textId="77777777" w:rsidTr="00EB0AF1">
      <w:trPr>
        <w:trHeight w:val="983"/>
      </w:trPr>
      <w:tc>
        <w:tcPr>
          <w:tcW w:w="2235" w:type="dxa"/>
          <w:vMerge/>
          <w:shd w:val="clear" w:color="auto" w:fill="auto"/>
          <w:vAlign w:val="center"/>
        </w:tcPr>
        <w:p w14:paraId="6BB38282" w14:textId="77777777" w:rsidR="00CD1867" w:rsidRPr="0005273C" w:rsidRDefault="00CD1867" w:rsidP="00414614">
          <w:pPr>
            <w:pStyle w:val="Nagwek"/>
            <w:jc w:val="center"/>
            <w:rPr>
              <w:rFonts w:ascii="Roboto Lt" w:eastAsia="Times New Roman" w:hAnsi="Roboto Lt"/>
              <w:noProof/>
            </w:rPr>
          </w:pPr>
        </w:p>
      </w:tc>
      <w:tc>
        <w:tcPr>
          <w:tcW w:w="5278" w:type="dxa"/>
          <w:vMerge/>
          <w:shd w:val="clear" w:color="auto" w:fill="auto"/>
          <w:vAlign w:val="center"/>
        </w:tcPr>
        <w:p w14:paraId="60A2AD8F" w14:textId="77777777" w:rsidR="00CD1867" w:rsidRPr="00EB75F6" w:rsidRDefault="00CD1867" w:rsidP="00414614">
          <w:pPr>
            <w:pStyle w:val="Nagwek"/>
            <w:jc w:val="center"/>
            <w:rPr>
              <w:rFonts w:ascii="Verdana" w:eastAsia="Times New Roman" w:hAnsi="Verdana" w:cs="Arial"/>
              <w:b/>
              <w:color w:val="auto"/>
              <w:sz w:val="32"/>
              <w:szCs w:val="3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5BE93C5C" w14:textId="77777777" w:rsidR="00CD1867" w:rsidRPr="00EB75F6" w:rsidRDefault="002A6998" w:rsidP="00414614">
          <w:pPr>
            <w:pStyle w:val="Nagwek"/>
            <w:jc w:val="center"/>
            <w:rPr>
              <w:rFonts w:ascii="Verdana" w:eastAsia="Times New Roman" w:hAnsi="Verdana" w:cs="Arial"/>
              <w:color w:val="auto"/>
              <w:sz w:val="18"/>
              <w:szCs w:val="18"/>
            </w:rPr>
          </w:pPr>
          <w:r w:rsidRPr="00EB75F6">
            <w:rPr>
              <w:rFonts w:ascii="Verdana" w:eastAsia="Times New Roman" w:hAnsi="Verdana" w:cs="Arial"/>
              <w:color w:val="auto"/>
              <w:sz w:val="18"/>
              <w:szCs w:val="18"/>
            </w:rPr>
            <w:t>Data obowiązywania</w:t>
          </w:r>
        </w:p>
      </w:tc>
      <w:tc>
        <w:tcPr>
          <w:tcW w:w="1671" w:type="dxa"/>
          <w:shd w:val="clear" w:color="auto" w:fill="auto"/>
          <w:vAlign w:val="center"/>
        </w:tcPr>
        <w:p w14:paraId="1DBD8777" w14:textId="744631D4" w:rsidR="00CD1867" w:rsidRPr="00EB75F6" w:rsidRDefault="00492527" w:rsidP="00EB0AF1">
          <w:pPr>
            <w:pStyle w:val="Nagwek"/>
            <w:jc w:val="center"/>
            <w:rPr>
              <w:rFonts w:ascii="Verdana" w:eastAsia="Times New Roman" w:hAnsi="Verdana" w:cs="Arial"/>
              <w:color w:val="auto"/>
              <w:sz w:val="18"/>
              <w:szCs w:val="18"/>
            </w:rPr>
          </w:pPr>
          <w:r>
            <w:rPr>
              <w:rFonts w:ascii="Verdana" w:eastAsia="Times New Roman" w:hAnsi="Verdana" w:cs="Arial"/>
              <w:color w:val="auto"/>
              <w:sz w:val="18"/>
              <w:szCs w:val="18"/>
            </w:rPr>
            <w:t>19</w:t>
          </w:r>
          <w:r w:rsidR="00F83CFE" w:rsidRPr="00EB75F6">
            <w:rPr>
              <w:rFonts w:ascii="Verdana" w:eastAsia="Times New Roman" w:hAnsi="Verdana" w:cs="Arial"/>
              <w:color w:val="auto"/>
              <w:sz w:val="18"/>
              <w:szCs w:val="18"/>
            </w:rPr>
            <w:t>.0</w:t>
          </w:r>
          <w:r w:rsidR="00433455">
            <w:rPr>
              <w:rFonts w:ascii="Verdana" w:eastAsia="Times New Roman" w:hAnsi="Verdana" w:cs="Arial"/>
              <w:color w:val="auto"/>
              <w:sz w:val="18"/>
              <w:szCs w:val="18"/>
            </w:rPr>
            <w:t>1</w:t>
          </w:r>
          <w:r w:rsidR="00F83CFE" w:rsidRPr="00EB75F6">
            <w:rPr>
              <w:rFonts w:ascii="Verdana" w:eastAsia="Times New Roman" w:hAnsi="Verdana" w:cs="Arial"/>
              <w:color w:val="auto"/>
              <w:sz w:val="18"/>
              <w:szCs w:val="18"/>
            </w:rPr>
            <w:t>.202</w:t>
          </w:r>
          <w:r w:rsidR="00433455">
            <w:rPr>
              <w:rFonts w:ascii="Verdana" w:eastAsia="Times New Roman" w:hAnsi="Verdana" w:cs="Arial"/>
              <w:color w:val="auto"/>
              <w:sz w:val="18"/>
              <w:szCs w:val="18"/>
            </w:rPr>
            <w:t>1</w:t>
          </w:r>
          <w:r w:rsidR="00F83CFE" w:rsidRPr="00EB75F6">
            <w:rPr>
              <w:rFonts w:ascii="Verdana" w:eastAsia="Times New Roman" w:hAnsi="Verdana" w:cs="Arial"/>
              <w:color w:val="auto"/>
              <w:sz w:val="18"/>
              <w:szCs w:val="18"/>
            </w:rPr>
            <w:t xml:space="preserve"> r.</w:t>
          </w:r>
        </w:p>
      </w:tc>
    </w:tr>
    <w:tr w:rsidR="00414614" w:rsidRPr="00C5347E" w14:paraId="42A9E34F" w14:textId="77777777" w:rsidTr="00EB0AF1">
      <w:trPr>
        <w:trHeight w:val="571"/>
      </w:trPr>
      <w:tc>
        <w:tcPr>
          <w:tcW w:w="2235" w:type="dxa"/>
          <w:shd w:val="clear" w:color="auto" w:fill="auto"/>
          <w:vAlign w:val="center"/>
        </w:tcPr>
        <w:p w14:paraId="7F89FA29" w14:textId="547C64DE" w:rsidR="00CD1867" w:rsidRPr="00EB75F6" w:rsidRDefault="00DE0B6E" w:rsidP="00414614">
          <w:pPr>
            <w:pStyle w:val="Nagwek"/>
            <w:jc w:val="center"/>
            <w:rPr>
              <w:rFonts w:ascii="Verdana" w:eastAsia="Times New Roman" w:hAnsi="Verdana" w:cs="Arial"/>
              <w:b/>
              <w:color w:val="auto"/>
            </w:rPr>
          </w:pPr>
          <w:r>
            <w:rPr>
              <w:rFonts w:ascii="Verdana" w:eastAsia="Times New Roman" w:hAnsi="Verdana" w:cs="Arial"/>
              <w:b/>
              <w:color w:val="auto"/>
              <w:sz w:val="20"/>
              <w:szCs w:val="20"/>
            </w:rPr>
            <w:t>Regulamin</w:t>
          </w:r>
        </w:p>
      </w:tc>
      <w:tc>
        <w:tcPr>
          <w:tcW w:w="5278" w:type="dxa"/>
          <w:vMerge/>
          <w:shd w:val="clear" w:color="auto" w:fill="auto"/>
          <w:vAlign w:val="center"/>
        </w:tcPr>
        <w:p w14:paraId="6B4EF166" w14:textId="77777777" w:rsidR="00CD1867" w:rsidRPr="00EB75F6" w:rsidRDefault="00CD1867" w:rsidP="00414614">
          <w:pPr>
            <w:pStyle w:val="Nagwek"/>
            <w:jc w:val="center"/>
            <w:rPr>
              <w:rFonts w:ascii="Verdana" w:eastAsia="Times New Roman" w:hAnsi="Verdana" w:cs="Arial"/>
              <w:color w:val="auto"/>
              <w:sz w:val="28"/>
              <w:szCs w:val="28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E8FD5A8" w14:textId="77777777" w:rsidR="00CD1867" w:rsidRPr="00EB75F6" w:rsidRDefault="002A6998" w:rsidP="00414614">
          <w:pPr>
            <w:pStyle w:val="Nagwek"/>
            <w:jc w:val="center"/>
            <w:rPr>
              <w:rFonts w:ascii="Verdana" w:eastAsia="Times New Roman" w:hAnsi="Verdana" w:cs="Arial"/>
              <w:color w:val="auto"/>
              <w:sz w:val="18"/>
              <w:szCs w:val="18"/>
            </w:rPr>
          </w:pPr>
          <w:r w:rsidRPr="00EB75F6">
            <w:rPr>
              <w:rFonts w:ascii="Verdana" w:eastAsia="Times New Roman" w:hAnsi="Verdana" w:cs="Arial"/>
              <w:color w:val="auto"/>
              <w:sz w:val="18"/>
              <w:szCs w:val="18"/>
            </w:rPr>
            <w:t>Wersja</w:t>
          </w:r>
        </w:p>
      </w:tc>
      <w:tc>
        <w:tcPr>
          <w:tcW w:w="1671" w:type="dxa"/>
          <w:shd w:val="clear" w:color="auto" w:fill="auto"/>
          <w:vAlign w:val="center"/>
        </w:tcPr>
        <w:p w14:paraId="69001170" w14:textId="310FF0B2" w:rsidR="00CD1867" w:rsidRPr="00EB75F6" w:rsidRDefault="002A6998" w:rsidP="00EB0AF1">
          <w:pPr>
            <w:pStyle w:val="Nagwek"/>
            <w:jc w:val="center"/>
            <w:rPr>
              <w:rFonts w:ascii="Verdana" w:eastAsia="Times New Roman" w:hAnsi="Verdana" w:cs="Arial"/>
              <w:color w:val="auto"/>
              <w:sz w:val="18"/>
              <w:szCs w:val="18"/>
            </w:rPr>
          </w:pPr>
          <w:r w:rsidRPr="00EB75F6">
            <w:rPr>
              <w:rFonts w:ascii="Verdana" w:eastAsia="Times New Roman" w:hAnsi="Verdana" w:cs="Arial"/>
              <w:color w:val="auto"/>
              <w:sz w:val="18"/>
              <w:szCs w:val="18"/>
            </w:rPr>
            <w:t>0</w:t>
          </w:r>
          <w:r w:rsidR="00433455">
            <w:rPr>
              <w:rFonts w:ascii="Verdana" w:eastAsia="Times New Roman" w:hAnsi="Verdana" w:cs="Arial"/>
              <w:color w:val="auto"/>
              <w:sz w:val="18"/>
              <w:szCs w:val="18"/>
            </w:rPr>
            <w:t>5</w:t>
          </w:r>
        </w:p>
      </w:tc>
    </w:tr>
  </w:tbl>
  <w:p w14:paraId="0A821D94" w14:textId="77777777" w:rsidR="00CD1867" w:rsidRPr="008452BB" w:rsidRDefault="00CD1867">
    <w:pPr>
      <w:pStyle w:val="Nagwek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76C5" w14:textId="44AFAE2E" w:rsidR="00CD1867" w:rsidRDefault="00CD1867" w:rsidP="008452BB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F87"/>
    <w:multiLevelType w:val="hybridMultilevel"/>
    <w:tmpl w:val="A5DC8FCC"/>
    <w:lvl w:ilvl="0" w:tplc="57F279F6">
      <w:start w:val="1"/>
      <w:numFmt w:val="bullet"/>
      <w:lvlText w:val="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2E0F251E"/>
    <w:multiLevelType w:val="hybridMultilevel"/>
    <w:tmpl w:val="BB1250E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92C48"/>
    <w:multiLevelType w:val="hybridMultilevel"/>
    <w:tmpl w:val="F028CA74"/>
    <w:lvl w:ilvl="0" w:tplc="9236B596">
      <w:start w:val="3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7649A"/>
    <w:multiLevelType w:val="multilevel"/>
    <w:tmpl w:val="53E00B0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B824CCE"/>
    <w:multiLevelType w:val="multilevel"/>
    <w:tmpl w:val="654C82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A701192"/>
    <w:multiLevelType w:val="multilevel"/>
    <w:tmpl w:val="AFA041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092251"/>
    <w:multiLevelType w:val="multilevel"/>
    <w:tmpl w:val="1B0AD86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="Roboto Lt" w:hAnsi="Roboto Lt"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555897923">
    <w:abstractNumId w:val="3"/>
  </w:num>
  <w:num w:numId="2" w16cid:durableId="1747872670">
    <w:abstractNumId w:val="5"/>
  </w:num>
  <w:num w:numId="3" w16cid:durableId="1040207021">
    <w:abstractNumId w:val="2"/>
  </w:num>
  <w:num w:numId="4" w16cid:durableId="162161651">
    <w:abstractNumId w:val="0"/>
  </w:num>
  <w:num w:numId="5" w16cid:durableId="435834783">
    <w:abstractNumId w:val="6"/>
  </w:num>
  <w:num w:numId="6" w16cid:durableId="2018076269">
    <w:abstractNumId w:val="1"/>
  </w:num>
  <w:num w:numId="7" w16cid:durableId="1495295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EB"/>
    <w:rsid w:val="000046DE"/>
    <w:rsid w:val="00031B1F"/>
    <w:rsid w:val="00054668"/>
    <w:rsid w:val="0005483D"/>
    <w:rsid w:val="0009263F"/>
    <w:rsid w:val="001155F7"/>
    <w:rsid w:val="001D1829"/>
    <w:rsid w:val="00220241"/>
    <w:rsid w:val="002454A5"/>
    <w:rsid w:val="00246FEF"/>
    <w:rsid w:val="002477BB"/>
    <w:rsid w:val="002A6998"/>
    <w:rsid w:val="00312A4F"/>
    <w:rsid w:val="003624FA"/>
    <w:rsid w:val="003E3217"/>
    <w:rsid w:val="003E3D55"/>
    <w:rsid w:val="00404BF0"/>
    <w:rsid w:val="00426869"/>
    <w:rsid w:val="00433455"/>
    <w:rsid w:val="00481073"/>
    <w:rsid w:val="004826AE"/>
    <w:rsid w:val="00492527"/>
    <w:rsid w:val="004F4F60"/>
    <w:rsid w:val="00511145"/>
    <w:rsid w:val="005A67CA"/>
    <w:rsid w:val="005B7E90"/>
    <w:rsid w:val="00620B2E"/>
    <w:rsid w:val="0064774A"/>
    <w:rsid w:val="00656348"/>
    <w:rsid w:val="007448CA"/>
    <w:rsid w:val="007D26E5"/>
    <w:rsid w:val="0082032D"/>
    <w:rsid w:val="00884EB2"/>
    <w:rsid w:val="008C2685"/>
    <w:rsid w:val="008D33DC"/>
    <w:rsid w:val="008D6C24"/>
    <w:rsid w:val="00950CB8"/>
    <w:rsid w:val="009808D4"/>
    <w:rsid w:val="00983473"/>
    <w:rsid w:val="009E72D8"/>
    <w:rsid w:val="009F08E5"/>
    <w:rsid w:val="00A374CB"/>
    <w:rsid w:val="00A80710"/>
    <w:rsid w:val="00AA3EEB"/>
    <w:rsid w:val="00B13AAF"/>
    <w:rsid w:val="00B14D33"/>
    <w:rsid w:val="00CD1867"/>
    <w:rsid w:val="00D07189"/>
    <w:rsid w:val="00D71819"/>
    <w:rsid w:val="00DA553D"/>
    <w:rsid w:val="00DB447C"/>
    <w:rsid w:val="00DE0B6E"/>
    <w:rsid w:val="00E43FE5"/>
    <w:rsid w:val="00E46F09"/>
    <w:rsid w:val="00E60307"/>
    <w:rsid w:val="00E678A3"/>
    <w:rsid w:val="00E863CF"/>
    <w:rsid w:val="00EB0AF1"/>
    <w:rsid w:val="00EB75F6"/>
    <w:rsid w:val="00F81933"/>
    <w:rsid w:val="00F83CFE"/>
    <w:rsid w:val="00F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D5FC78"/>
  <w15:docId w15:val="{9AD24B32-9678-4B30-AD2D-7D0CA2F2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IT+"/>
    <w:qFormat/>
    <w:rsid w:val="002A6998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EEB"/>
  </w:style>
  <w:style w:type="paragraph" w:styleId="Akapitzlist">
    <w:name w:val="List Paragraph"/>
    <w:basedOn w:val="Normalny"/>
    <w:uiPriority w:val="34"/>
    <w:qFormat/>
    <w:rsid w:val="00AA3E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A3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EEB"/>
  </w:style>
  <w:style w:type="character" w:styleId="Odwoaniedokomentarza">
    <w:name w:val="annotation reference"/>
    <w:basedOn w:val="Domylnaczcionkaakapitu"/>
    <w:uiPriority w:val="99"/>
    <w:semiHidden/>
    <w:unhideWhenUsed/>
    <w:rsid w:val="00AA3E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3E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3EEB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EE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EE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rsid w:val="00E863CF"/>
    <w:rPr>
      <w:rFonts w:ascii="Times New Roman" w:hAnsi="Times New Roman" w:cs="Times New Roman" w:hint="default"/>
      <w:b w:val="0"/>
      <w:bCs w:val="0"/>
      <w:i w:val="0"/>
      <w:iCs w:val="0"/>
      <w:color w:val="000000"/>
      <w:sz w:val="96"/>
      <w:szCs w:val="96"/>
    </w:rPr>
  </w:style>
  <w:style w:type="character" w:customStyle="1" w:styleId="fontstyle21">
    <w:name w:val="fontstyle21"/>
    <w:basedOn w:val="Domylnaczcionkaakapitu"/>
    <w:rsid w:val="00E863CF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F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F60"/>
    <w:rPr>
      <w:rFonts w:ascii="Tahoma" w:eastAsia="Calibri" w:hAnsi="Tahoma" w:cs="Times New Roman"/>
      <w:b/>
      <w:bCs/>
      <w:color w:val="808284"/>
      <w:sz w:val="20"/>
      <w:szCs w:val="20"/>
    </w:rPr>
  </w:style>
  <w:style w:type="paragraph" w:styleId="Poprawka">
    <w:name w:val="Revision"/>
    <w:hidden/>
    <w:uiPriority w:val="99"/>
    <w:semiHidden/>
    <w:rsid w:val="0082032D"/>
    <w:pPr>
      <w:spacing w:after="0" w:line="240" w:lineRule="auto"/>
    </w:pPr>
    <w:rPr>
      <w:rFonts w:ascii="Tahoma" w:eastAsia="Calibri" w:hAnsi="Tahoma" w:cs="Times New Roman"/>
      <w:color w:val="8082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95E60-68D6-44EE-A311-F3B55D7F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1703</Words>
  <Characters>9710</Characters>
  <Application>Microsoft Office Word</Application>
  <DocSecurity>4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Malgorzata Blaszkowska</dc:creator>
  <cp:lastModifiedBy>Anna Paziewska–Harris | Łukasiewicz – PORT</cp:lastModifiedBy>
  <cp:revision>2</cp:revision>
  <cp:lastPrinted>2021-01-14T16:54:00Z</cp:lastPrinted>
  <dcterms:created xsi:type="dcterms:W3CDTF">2023-12-05T04:57:00Z</dcterms:created>
  <dcterms:modified xsi:type="dcterms:W3CDTF">2023-12-05T04:57:00Z</dcterms:modified>
</cp:coreProperties>
</file>