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7C18AB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>
        <w:rPr>
          <w:rFonts w:ascii="Arial" w:hAnsi="Arial" w:cs="Arial"/>
          <w:b/>
          <w:i/>
          <w:sz w:val="20"/>
          <w:szCs w:val="20"/>
        </w:rPr>
        <w:t>nr 11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402B73" w:rsidRPr="0096766A" w:rsidRDefault="00402B73" w:rsidP="008B384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66A">
        <w:rPr>
          <w:rFonts w:ascii="Arial" w:hAnsi="Arial" w:cs="Arial"/>
          <w:b/>
          <w:sz w:val="20"/>
          <w:szCs w:val="20"/>
        </w:rPr>
        <w:t>„</w:t>
      </w:r>
      <w:r w:rsidR="008B3842">
        <w:rPr>
          <w:rFonts w:ascii="Arial" w:hAnsi="Arial" w:cs="Arial"/>
          <w:b/>
          <w:sz w:val="20"/>
          <w:szCs w:val="20"/>
        </w:rPr>
        <w:t xml:space="preserve">Modernizacja – remont ulic Wiśniowa i Sosnowa w Krotoszynie”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…………… / 2022 z dnia …………..2022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Sporządzona w dniu 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8B3842">
        <w:rPr>
          <w:rFonts w:ascii="Arial" w:hAnsi="Arial" w:cs="Arial"/>
          <w:color w:val="000000"/>
          <w:sz w:val="20"/>
          <w:szCs w:val="20"/>
        </w:rPr>
        <w:t>…………………/2022</w:t>
      </w:r>
      <w:r w:rsidR="004E0321">
        <w:rPr>
          <w:rFonts w:ascii="Arial" w:hAnsi="Arial" w:cs="Arial"/>
          <w:color w:val="000000"/>
          <w:sz w:val="20"/>
          <w:szCs w:val="20"/>
        </w:rPr>
        <w:t xml:space="preserve"> z </w:t>
      </w:r>
      <w:r w:rsidR="008B3842">
        <w:rPr>
          <w:rFonts w:ascii="Arial" w:hAnsi="Arial" w:cs="Arial"/>
          <w:color w:val="000000"/>
          <w:sz w:val="20"/>
          <w:szCs w:val="20"/>
        </w:rPr>
        <w:t>dnia ……………2022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0A2516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 w:rsidR="006C6437"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0A2516">
        <w:rPr>
          <w:rFonts w:ascii="Arial" w:hAnsi="Arial" w:cs="Arial"/>
          <w:sz w:val="20"/>
          <w:szCs w:val="20"/>
        </w:rPr>
        <w:t>, dnia …………….2022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47AAA">
        <w:rPr>
          <w:rFonts w:ascii="Arial" w:hAnsi="Arial" w:cs="Arial"/>
          <w:sz w:val="20"/>
          <w:szCs w:val="20"/>
        </w:rPr>
        <w:t xml:space="preserve">                           </w:t>
      </w:r>
      <w:r w:rsidRPr="00173C7A">
        <w:rPr>
          <w:rFonts w:ascii="Arial" w:hAnsi="Arial" w:cs="Arial"/>
          <w:sz w:val="20"/>
          <w:szCs w:val="20"/>
        </w:rPr>
        <w:t xml:space="preserve">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0A2516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2516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5721"/>
    <w:rsid w:val="006A71B9"/>
    <w:rsid w:val="006B242C"/>
    <w:rsid w:val="006C6437"/>
    <w:rsid w:val="006D08B8"/>
    <w:rsid w:val="006D1F2B"/>
    <w:rsid w:val="00705D06"/>
    <w:rsid w:val="00706BBB"/>
    <w:rsid w:val="00760A47"/>
    <w:rsid w:val="00774851"/>
    <w:rsid w:val="00776F77"/>
    <w:rsid w:val="00783806"/>
    <w:rsid w:val="007855FA"/>
    <w:rsid w:val="00786524"/>
    <w:rsid w:val="007A16C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B3842"/>
    <w:rsid w:val="008C02E5"/>
    <w:rsid w:val="009042DC"/>
    <w:rsid w:val="00907BB5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47AAA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</cp:revision>
  <cp:lastPrinted>2019-10-30T20:19:00Z</cp:lastPrinted>
  <dcterms:created xsi:type="dcterms:W3CDTF">2022-04-05T09:34:00Z</dcterms:created>
  <dcterms:modified xsi:type="dcterms:W3CDTF">2022-04-05T09:34:00Z</dcterms:modified>
</cp:coreProperties>
</file>