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1268" w14:textId="77777777" w:rsidR="009C0324" w:rsidRPr="00E27525" w:rsidRDefault="009C0324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29318F2" w14:textId="0B8C87EC" w:rsidR="009C0324" w:rsidRPr="00E27525" w:rsidRDefault="009C0324" w:rsidP="00E27525">
      <w:pPr>
        <w:pStyle w:val="Standard"/>
        <w:suppressAutoHyphens w:val="0"/>
        <w:ind w:left="4963"/>
        <w:jc w:val="right"/>
        <w:rPr>
          <w:rFonts w:asciiTheme="minorHAnsi" w:hAnsiTheme="minorHAnsi" w:cstheme="minorHAnsi"/>
          <w:sz w:val="22"/>
          <w:szCs w:val="22"/>
        </w:rPr>
      </w:pPr>
      <w:r w:rsidRPr="00E27525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</w:t>
      </w:r>
      <w:r w:rsidR="00E27525">
        <w:rPr>
          <w:rFonts w:asciiTheme="minorHAnsi" w:eastAsia="Times New Roman" w:hAnsiTheme="minorHAnsi" w:cstheme="minorHAnsi"/>
          <w:b/>
          <w:sz w:val="22"/>
          <w:szCs w:val="22"/>
        </w:rPr>
        <w:t>9</w:t>
      </w:r>
      <w:r w:rsidRPr="00E27525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</w:p>
    <w:p w14:paraId="3030A474" w14:textId="55160D4E" w:rsidR="009C0324" w:rsidRPr="00E27525" w:rsidRDefault="009C0324" w:rsidP="00E27525">
      <w:pPr>
        <w:pStyle w:val="Standard"/>
        <w:suppressAutoHyphens w:val="0"/>
        <w:spacing w:after="170"/>
        <w:ind w:left="4963" w:right="-482"/>
        <w:jc w:val="right"/>
        <w:rPr>
          <w:rFonts w:asciiTheme="minorHAnsi" w:hAnsiTheme="minorHAnsi" w:cstheme="minorHAnsi"/>
          <w:sz w:val="22"/>
          <w:szCs w:val="22"/>
        </w:rPr>
      </w:pPr>
      <w:r w:rsidRPr="00E27525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1 do umowy </w:t>
      </w:r>
      <w:r w:rsidR="00E27525">
        <w:rPr>
          <w:rFonts w:asciiTheme="minorHAnsi" w:eastAsia="Times New Roman" w:hAnsiTheme="minorHAnsi" w:cstheme="minorHAnsi"/>
          <w:b/>
          <w:sz w:val="22"/>
          <w:szCs w:val="22"/>
        </w:rPr>
        <w:t>L</w:t>
      </w:r>
      <w:r w:rsidR="00E40F6D">
        <w:rPr>
          <w:rFonts w:asciiTheme="minorHAnsi" w:eastAsia="Times New Roman" w:hAnsiTheme="minorHAnsi" w:cstheme="minorHAnsi"/>
          <w:b/>
          <w:sz w:val="22"/>
          <w:szCs w:val="22"/>
        </w:rPr>
        <w:t>I</w:t>
      </w:r>
      <w:r w:rsidR="00E27525">
        <w:rPr>
          <w:rFonts w:asciiTheme="minorHAnsi" w:eastAsia="Times New Roman" w:hAnsiTheme="minorHAnsi" w:cstheme="minorHAnsi"/>
          <w:b/>
          <w:sz w:val="22"/>
          <w:szCs w:val="22"/>
        </w:rPr>
        <w:t>.262.2.8.2023</w:t>
      </w:r>
    </w:p>
    <w:p w14:paraId="5521B3E1" w14:textId="77777777" w:rsidR="009C0324" w:rsidRPr="00E27525" w:rsidRDefault="003179B0">
      <w:pPr>
        <w:pStyle w:val="Standard"/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27525">
        <w:rPr>
          <w:rFonts w:asciiTheme="minorHAnsi" w:eastAsia="Times New Roman" w:hAnsiTheme="minorHAnsi" w:cstheme="minorHAnsi"/>
          <w:b/>
          <w:sz w:val="22"/>
          <w:szCs w:val="22"/>
        </w:rPr>
        <w:t xml:space="preserve">FORMULARZ CENOWO –TECHNICZNY  - </w:t>
      </w:r>
      <w:r w:rsidR="009C0324" w:rsidRPr="00E2752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9C60CE" w:rsidRPr="00E27525">
        <w:rPr>
          <w:rFonts w:asciiTheme="minorHAnsi" w:eastAsia="Times New Roman" w:hAnsiTheme="minorHAnsi" w:cstheme="minorHAnsi"/>
          <w:b/>
          <w:sz w:val="22"/>
          <w:szCs w:val="22"/>
        </w:rPr>
        <w:t>zadanie nr 8</w:t>
      </w:r>
    </w:p>
    <w:p w14:paraId="08FEB25B" w14:textId="77777777" w:rsidR="009C0324" w:rsidRPr="00E27525" w:rsidRDefault="009C0324">
      <w:pPr>
        <w:pStyle w:val="Standard"/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E27525">
        <w:rPr>
          <w:rFonts w:asciiTheme="minorHAnsi" w:eastAsia="Times New Roman" w:hAnsiTheme="minorHAnsi" w:cstheme="minorHAnsi"/>
          <w:sz w:val="22"/>
          <w:szCs w:val="22"/>
        </w:rPr>
        <w:tab/>
        <w:t>A. Oferuję dostawę przedmiotu zamówienia za cenę:</w:t>
      </w:r>
    </w:p>
    <w:p w14:paraId="2E0D0AF3" w14:textId="77777777" w:rsidR="009C0324" w:rsidRPr="00E27525" w:rsidRDefault="009C0324">
      <w:pPr>
        <w:pStyle w:val="Standard"/>
        <w:tabs>
          <w:tab w:val="left" w:pos="717"/>
        </w:tabs>
        <w:ind w:left="35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9962" w:type="dxa"/>
        <w:tblInd w:w="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5"/>
        <w:gridCol w:w="992"/>
        <w:gridCol w:w="567"/>
        <w:gridCol w:w="1276"/>
        <w:gridCol w:w="992"/>
        <w:gridCol w:w="850"/>
        <w:gridCol w:w="1418"/>
        <w:gridCol w:w="1417"/>
      </w:tblGrid>
      <w:tr w:rsidR="00E27525" w:rsidRPr="00E27525" w14:paraId="565A08B7" w14:textId="77777777" w:rsidTr="00E27525">
        <w:trPr>
          <w:cantSplit/>
          <w:trHeight w:val="28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E777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9C3F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0C33D277" w14:textId="77777777" w:rsidR="00E27525" w:rsidRPr="00E27525" w:rsidRDefault="00E27525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E27525">
              <w:rPr>
                <w:rFonts w:asciiTheme="minorHAnsi" w:hAnsiTheme="minorHAnsi" w:cstheme="minorHAnsi"/>
                <w:lang w:val="pl-PL"/>
              </w:rPr>
              <w:t>Przedmiot</w:t>
            </w:r>
            <w:r w:rsidRPr="00E27525">
              <w:rPr>
                <w:rFonts w:asciiTheme="minorHAnsi" w:hAnsiTheme="minorHAnsi" w:cstheme="minorHAnsi"/>
              </w:rPr>
              <w:t xml:space="preserve"> </w:t>
            </w:r>
            <w:r w:rsidRPr="00E27525">
              <w:rPr>
                <w:rFonts w:asciiTheme="minorHAnsi" w:hAnsiTheme="minorHAnsi" w:cstheme="minorHAnsi"/>
                <w:lang w:val="pl-PL"/>
              </w:rPr>
              <w:t>zamówienia</w:t>
            </w:r>
          </w:p>
          <w:p w14:paraId="3B1DCDD6" w14:textId="77777777" w:rsidR="00E27525" w:rsidRPr="00E27525" w:rsidRDefault="00E27525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E63D6" w14:textId="77777777" w:rsidR="00E27525" w:rsidRPr="00E27525" w:rsidRDefault="00E27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BB19" w14:textId="77777777" w:rsidR="00E27525" w:rsidRPr="00E27525" w:rsidRDefault="00E27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63F6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</w:t>
            </w:r>
          </w:p>
          <w:p w14:paraId="5DBD83FB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jednostkowa</w:t>
            </w:r>
          </w:p>
          <w:p w14:paraId="4A7D1ACC" w14:textId="77777777" w:rsidR="00E27525" w:rsidRPr="00E27525" w:rsidRDefault="00E27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D1402" w14:textId="77777777" w:rsidR="00E27525" w:rsidRPr="00E27525" w:rsidRDefault="00E27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Wartość</w:t>
            </w:r>
          </w:p>
          <w:p w14:paraId="0FB56759" w14:textId="77777777" w:rsidR="00E27525" w:rsidRPr="00E27525" w:rsidRDefault="00E27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E2752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  <w:p w14:paraId="3D4A73E9" w14:textId="77777777" w:rsidR="00E27525" w:rsidRPr="00E27525" w:rsidRDefault="00E27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4D7C6C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73AB1FB6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794A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38F5BC36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46424386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772558B3" w14:textId="4696D49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AFE1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24103776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1D2C72ED" w14:textId="646DEE9A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E27525" w:rsidRPr="00E27525" w14:paraId="02C1E516" w14:textId="77777777" w:rsidTr="00E27525">
        <w:trPr>
          <w:cantSplit/>
          <w:trHeight w:val="276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35D0" w14:textId="77777777" w:rsidR="00E27525" w:rsidRPr="00E27525" w:rsidRDefault="00E27525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4488" w14:textId="77777777" w:rsidR="00E27525" w:rsidRPr="00E27525" w:rsidRDefault="00E27525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FD253" w14:textId="77777777" w:rsidR="00E27525" w:rsidRPr="00E27525" w:rsidRDefault="00E27525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877B" w14:textId="77777777" w:rsidR="00E27525" w:rsidRPr="00E27525" w:rsidRDefault="00E27525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3E8B" w14:textId="77777777" w:rsidR="00E27525" w:rsidRPr="00E27525" w:rsidRDefault="00E27525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3190" w14:textId="77777777" w:rsidR="00E27525" w:rsidRPr="00E27525" w:rsidRDefault="00E27525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743DB3" w14:textId="77777777" w:rsidR="00E27525" w:rsidRPr="00E27525" w:rsidRDefault="00E27525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D472" w14:textId="77777777" w:rsidR="00E27525" w:rsidRPr="00E27525" w:rsidRDefault="00E27525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D9C7" w14:textId="77777777" w:rsidR="00E27525" w:rsidRPr="00E27525" w:rsidRDefault="00E27525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525" w:rsidRPr="00E27525" w14:paraId="5B7D3302" w14:textId="77777777" w:rsidTr="00E27525">
        <w:trPr>
          <w:cantSplit/>
          <w:trHeight w:val="1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E3EEE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11B4D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5248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E70FF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9C23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FB8B8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21B0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F5BA3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8269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</w:tr>
      <w:tr w:rsidR="00E27525" w:rsidRPr="00E27525" w14:paraId="7C434DF4" w14:textId="77777777" w:rsidTr="00E27525">
        <w:trPr>
          <w:cantSplit/>
          <w:trHeight w:val="5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BBCD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8CC7" w14:textId="77777777" w:rsidR="00E27525" w:rsidRPr="00E27525" w:rsidRDefault="00E27525" w:rsidP="00F32152">
            <w:pPr>
              <w:pStyle w:val="Standard"/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Monitor do pomiarów hemodynamicznych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77F2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6DF6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1312F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C877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68C1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FD280C4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2B214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58B2" w14:textId="77777777" w:rsidR="00E27525" w:rsidRPr="00E27525" w:rsidRDefault="00E27525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C9211E"/>
                <w:sz w:val="22"/>
                <w:szCs w:val="22"/>
              </w:rPr>
            </w:pPr>
          </w:p>
        </w:tc>
      </w:tr>
      <w:tr w:rsidR="00E27525" w:rsidRPr="00E27525" w14:paraId="3BBEC23E" w14:textId="77777777" w:rsidTr="00E27525">
        <w:tblPrEx>
          <w:tblCellMar>
            <w:left w:w="10" w:type="dxa"/>
            <w:right w:w="10" w:type="dxa"/>
          </w:tblCellMar>
        </w:tblPrEx>
        <w:trPr>
          <w:cantSplit/>
          <w:trHeight w:val="605"/>
        </w:trPr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9A4889" w14:textId="487782DE" w:rsidR="00E27525" w:rsidRPr="00E27525" w:rsidRDefault="00E27525" w:rsidP="00E27525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75C0" w14:textId="77777777" w:rsidR="00E27525" w:rsidRPr="00E27525" w:rsidRDefault="00E27525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13BC" w14:textId="2BE4492B" w:rsidR="00E27525" w:rsidRPr="00E27525" w:rsidRDefault="00E27525" w:rsidP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905D" w14:textId="6FD7AF90" w:rsidR="00E27525" w:rsidRPr="00E27525" w:rsidRDefault="00E27525" w:rsidP="00E275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0A0B" w14:textId="77777777" w:rsidR="00E27525" w:rsidRPr="00E27525" w:rsidRDefault="00E27525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02E918E" w14:textId="77777777" w:rsidR="009C0324" w:rsidRPr="00E27525" w:rsidRDefault="009C0324">
      <w:pPr>
        <w:pStyle w:val="Standard"/>
        <w:tabs>
          <w:tab w:val="left" w:pos="142"/>
        </w:tabs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3592B493" w14:textId="3678C199" w:rsidR="009C0324" w:rsidRPr="00E27525" w:rsidRDefault="009C0324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  <w:r w:rsidRPr="00E27525">
        <w:rPr>
          <w:rFonts w:asciiTheme="minorHAnsi" w:eastAsia="Times New Roman" w:hAnsiTheme="minorHAnsi" w:cstheme="minorHAnsi"/>
          <w:kern w:val="2"/>
          <w:lang w:eastAsia="pl-PL" w:bidi="hi-IN"/>
        </w:rPr>
        <w:t xml:space="preserve">              </w:t>
      </w:r>
    </w:p>
    <w:p w14:paraId="582649E3" w14:textId="51A7D4C3" w:rsidR="009C0324" w:rsidRPr="00E27525" w:rsidRDefault="009C0324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  <w:r w:rsidRPr="00E27525">
        <w:rPr>
          <w:rFonts w:asciiTheme="minorHAnsi" w:eastAsia="Times New Roman" w:hAnsiTheme="minorHAnsi" w:cstheme="minorHAnsi"/>
          <w:color w:val="000000"/>
          <w:kern w:val="2"/>
          <w:lang w:eastAsia="pl-PL" w:bidi="hi-IN"/>
        </w:rPr>
        <w:t xml:space="preserve">               </w:t>
      </w:r>
      <w:r w:rsidRPr="00E27525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 xml:space="preserve"> B. Oświadczam, że okres gwarancji na przedmiot zamówienia wynosi……………..miesięcy.</w:t>
      </w:r>
    </w:p>
    <w:p w14:paraId="614F55C6" w14:textId="77777777" w:rsidR="009C0324" w:rsidRPr="00E27525" w:rsidRDefault="009C0324">
      <w:pPr>
        <w:pStyle w:val="Bezodstpw"/>
        <w:tabs>
          <w:tab w:val="left" w:pos="142"/>
        </w:tabs>
        <w:suppressAutoHyphens w:val="0"/>
        <w:ind w:right="-469"/>
        <w:jc w:val="both"/>
        <w:rPr>
          <w:rFonts w:asciiTheme="minorHAnsi" w:eastAsia="Times New Roman" w:hAnsiTheme="minorHAnsi" w:cstheme="minorHAnsi"/>
          <w:i/>
          <w:iCs/>
          <w:color w:val="000000"/>
          <w:kern w:val="2"/>
          <w:lang w:bidi="hi-IN"/>
        </w:rPr>
      </w:pPr>
    </w:p>
    <w:p w14:paraId="3B9A7262" w14:textId="77777777" w:rsidR="009C0324" w:rsidRPr="00E27525" w:rsidRDefault="009C0324">
      <w:pPr>
        <w:pStyle w:val="Standard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E27525">
        <w:rPr>
          <w:rFonts w:asciiTheme="minorHAnsi" w:eastAsia="Times New Roman" w:hAnsiTheme="minorHAnsi" w:cstheme="minorHAnsi"/>
          <w:sz w:val="22"/>
          <w:szCs w:val="22"/>
        </w:rPr>
        <w:t xml:space="preserve">                Oferowany przedmiot zamówienia jest zgodny z niżej wskazanymi parametrami:</w:t>
      </w:r>
    </w:p>
    <w:p w14:paraId="2F22F132" w14:textId="77777777" w:rsidR="009C0324" w:rsidRPr="00E27525" w:rsidRDefault="009C0324">
      <w:pPr>
        <w:tabs>
          <w:tab w:val="left" w:pos="8715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E27525">
        <w:rPr>
          <w:rFonts w:asciiTheme="minorHAnsi" w:hAnsiTheme="minorHAnsi" w:cstheme="minorHAnsi"/>
          <w:sz w:val="22"/>
          <w:szCs w:val="22"/>
          <w:lang w:val="pl-PL"/>
        </w:rPr>
        <w:tab/>
      </w: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5032"/>
        <w:gridCol w:w="355"/>
        <w:gridCol w:w="2268"/>
        <w:gridCol w:w="2126"/>
      </w:tblGrid>
      <w:tr w:rsidR="009C0324" w:rsidRPr="00E27525" w14:paraId="0697C0FC" w14:textId="77777777" w:rsidTr="003179B0">
        <w:trPr>
          <w:cantSplit/>
          <w:trHeight w:val="69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8BCB9A" w14:textId="77777777" w:rsidR="009C0324" w:rsidRPr="00E27525" w:rsidRDefault="009C0324">
            <w:pPr>
              <w:snapToGrid w:val="0"/>
              <w:spacing w:before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</w:pPr>
          </w:p>
          <w:p w14:paraId="100EB4E1" w14:textId="77777777" w:rsidR="009C0324" w:rsidRPr="00E27525" w:rsidRDefault="00A060AF" w:rsidP="0064727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>Monitor do pomiarów hemodynamicznych</w:t>
            </w:r>
            <w:r w:rsidR="009C0324" w:rsidRPr="00E27525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 </w:t>
            </w:r>
            <w:r w:rsidR="00F32152" w:rsidRPr="00E27525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>– 1 szt.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3DDEBA" w14:textId="77777777" w:rsidR="009C0324" w:rsidRPr="00E27525" w:rsidRDefault="009C032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Typ ………………………....</w:t>
            </w:r>
          </w:p>
          <w:p w14:paraId="239647E2" w14:textId="77777777" w:rsidR="009C0324" w:rsidRPr="00E27525" w:rsidRDefault="009C032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Model …………………...</w:t>
            </w:r>
          </w:p>
          <w:p w14:paraId="5750796C" w14:textId="77777777" w:rsidR="009C0324" w:rsidRPr="00E27525" w:rsidRDefault="009C032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Producent…………………..</w:t>
            </w:r>
          </w:p>
          <w:p w14:paraId="454F19A6" w14:textId="77777777" w:rsidR="009C0324" w:rsidRPr="00E27525" w:rsidRDefault="009C032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Kraj pochodzenia ……</w:t>
            </w:r>
          </w:p>
        </w:tc>
      </w:tr>
      <w:tr w:rsidR="009C0324" w:rsidRPr="00E27525" w14:paraId="20FD4E3E" w14:textId="77777777" w:rsidTr="00103B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488F" w14:textId="77777777" w:rsidR="009C0324" w:rsidRPr="00E27525" w:rsidRDefault="009C0324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both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35496" w14:textId="77777777" w:rsidR="009C0324" w:rsidRPr="00E27525" w:rsidRDefault="009C0324" w:rsidP="009C60C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Rok</w:t>
            </w: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produkcji</w:t>
            </w: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F901" w14:textId="77777777" w:rsidR="009C0324" w:rsidRPr="00E27525" w:rsidRDefault="00FC16D4" w:rsidP="009C60C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F32152" w:rsidRPr="00E27525" w14:paraId="558A3C2D" w14:textId="77777777" w:rsidTr="00103B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60D0" w14:textId="77777777" w:rsidR="00F32152" w:rsidRPr="00E27525" w:rsidRDefault="00F32152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both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1DF8E" w14:textId="77777777" w:rsidR="00F32152" w:rsidRPr="00E27525" w:rsidRDefault="00F32152" w:rsidP="009C60CE">
            <w:pPr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</w:rPr>
              <w:t>Certyfikat CE</w:t>
            </w:r>
          </w:p>
        </w:tc>
      </w:tr>
      <w:tr w:rsidR="00E24659" w:rsidRPr="00E27525" w14:paraId="25AB6A02" w14:textId="77777777" w:rsidTr="00103B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7246" w14:textId="77777777" w:rsidR="00E24659" w:rsidRPr="00E27525" w:rsidRDefault="00E24659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both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BECC" w14:textId="77777777" w:rsidR="00E24659" w:rsidRPr="00E27525" w:rsidRDefault="00E24659" w:rsidP="009C60CE">
            <w:pPr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Urządzenie do oceny stanu hemodynamicznego Pacjenta w oparciu o pomiar parametrów hemodynamicznych metodą termodylucji, analizy krzywej ciśnienia tętniczego krwi metodą inwazyjną oraz saturacji tkankowej</w:t>
            </w:r>
          </w:p>
        </w:tc>
      </w:tr>
      <w:tr w:rsidR="00E24659" w:rsidRPr="00E27525" w14:paraId="753C17DA" w14:textId="77777777" w:rsidTr="00103B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96A9" w14:textId="77777777" w:rsidR="00E24659" w:rsidRPr="00E27525" w:rsidRDefault="00E24659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both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69342" w14:textId="77777777" w:rsidR="00E24659" w:rsidRPr="00E27525" w:rsidRDefault="00E24659" w:rsidP="009C60CE">
            <w:pPr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Urządzenie do oceny stanu pomiaru rzutu serca metodą termodylucji CCO oraz analizy krzywej ciśnienia tętniczego krwi</w:t>
            </w:r>
          </w:p>
        </w:tc>
      </w:tr>
      <w:tr w:rsidR="00A060AF" w:rsidRPr="00E27525" w14:paraId="06D0E87A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EDF9" w14:textId="77777777" w:rsidR="00A060AF" w:rsidRPr="00E27525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32F6" w14:textId="77777777" w:rsidR="00A060AF" w:rsidRPr="00E27525" w:rsidRDefault="00A060AF" w:rsidP="0076035F">
            <w:pPr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Ekran dotykowy o przekątnej min 1</w:t>
            </w:r>
            <w:r w:rsidR="0076035F"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2</w:t>
            </w: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cali i rozdzielczości min 1024x768 </w:t>
            </w:r>
          </w:p>
        </w:tc>
      </w:tr>
      <w:tr w:rsidR="00A060AF" w:rsidRPr="00E27525" w14:paraId="02CC6D4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5362" w14:textId="77777777" w:rsidR="00A060AF" w:rsidRPr="00E27525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FE2" w14:textId="77777777" w:rsidR="00A060AF" w:rsidRPr="00E27525" w:rsidRDefault="00A060AF" w:rsidP="009C60CE">
            <w:pPr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Wejścia/wyjścia transmisyjne: RS232, USB 2.0, USB3.0, RJ-45, HDMI, analogowe 2 szt, EKG</w:t>
            </w:r>
          </w:p>
        </w:tc>
      </w:tr>
      <w:tr w:rsidR="00A060AF" w:rsidRPr="00E27525" w14:paraId="6C99FC67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18C2" w14:textId="77777777" w:rsidR="00A060AF" w:rsidRPr="00E27525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B900" w14:textId="77777777" w:rsidR="00A060AF" w:rsidRPr="00E27525" w:rsidRDefault="00A060AF" w:rsidP="009C60CE">
            <w:pPr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Dodatkowe zasilanie akumulatorowe o pojemności min 3100 mAh z możliwością wymiany bez interwencji serwisu</w:t>
            </w:r>
          </w:p>
        </w:tc>
      </w:tr>
      <w:tr w:rsidR="00A060AF" w:rsidRPr="00E27525" w14:paraId="74A76BEA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FF97" w14:textId="77777777" w:rsidR="00A060AF" w:rsidRPr="00E27525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2D95" w14:textId="77777777" w:rsidR="00A060AF" w:rsidRPr="00E27525" w:rsidRDefault="00A060AF" w:rsidP="009C60CE">
            <w:pPr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Możliwość transferu danych przez port USB w postaci pliku Excel (do dalszej obróbki) lub JPG</w:t>
            </w:r>
          </w:p>
        </w:tc>
      </w:tr>
      <w:tr w:rsidR="00A060AF" w:rsidRPr="00E27525" w14:paraId="36B2651E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F874" w14:textId="77777777" w:rsidR="00A060AF" w:rsidRPr="00E27525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4B24" w14:textId="77777777" w:rsidR="00A060AF" w:rsidRPr="00E27525" w:rsidRDefault="00A060AF" w:rsidP="009C60CE">
            <w:pPr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Ocena hemodynamiczna układu krążenia metodą analizy krzywej ciśnienia tętniczego krwi: bez użycia cewnika tętnicy płucnej (Swan-Ganza) oraz drogą kaniulizacji jednego dostępu naczyniowego (dostęp tętniczy)</w:t>
            </w:r>
          </w:p>
        </w:tc>
      </w:tr>
      <w:tr w:rsidR="00A060AF" w:rsidRPr="00E27525" w14:paraId="630E9639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FCD9" w14:textId="77777777" w:rsidR="00A060AF" w:rsidRPr="00E27525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9FF95" w14:textId="77777777" w:rsidR="00A060AF" w:rsidRPr="00E27525" w:rsidRDefault="00A060AF" w:rsidP="009C60CE">
            <w:pPr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Moduł do oceny hemodynamicznej układu krążenia metodą termodylucji:  za pomocą cewnika tętnicy płucnej  (Swan-Ganza),  za pomocą cewnika Swan-Ganza CCO</w:t>
            </w:r>
          </w:p>
        </w:tc>
      </w:tr>
      <w:tr w:rsidR="00AD4ADB" w:rsidRPr="00E27525" w14:paraId="1EDDE9C6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F129" w14:textId="77777777" w:rsidR="00AD4ADB" w:rsidRPr="00E27525" w:rsidRDefault="00AD4ADB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8452" w14:textId="77777777" w:rsidR="00AD4ADB" w:rsidRPr="00E27525" w:rsidRDefault="00AD4ADB" w:rsidP="009C60CE">
            <w:pPr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Moduł do pomiarów małoinwazyjnych metodą analizy fali tętna kompatybilny z oferowanym monitorem</w:t>
            </w:r>
          </w:p>
        </w:tc>
      </w:tr>
      <w:tr w:rsidR="00A060AF" w:rsidRPr="00E27525" w14:paraId="163CBDA8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1C4F" w14:textId="77777777" w:rsidR="00A060AF" w:rsidRPr="00E27525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D233" w14:textId="77777777" w:rsidR="00A060AF" w:rsidRPr="00E27525" w:rsidRDefault="00E24659" w:rsidP="00EE6F37">
            <w:pPr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pl-PL"/>
              </w:rPr>
              <w:t>Moduł do pomiarów nieinwazyjnych za pomocą czujnika owiniętego wokół palca</w:t>
            </w:r>
          </w:p>
        </w:tc>
      </w:tr>
      <w:tr w:rsidR="00A060AF" w:rsidRPr="00E27525" w14:paraId="77BFC87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8251" w14:textId="77777777" w:rsidR="00A060AF" w:rsidRPr="00E27525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1E50" w14:textId="77777777" w:rsidR="00A060AF" w:rsidRPr="00E27525" w:rsidRDefault="00A060AF" w:rsidP="009C60CE">
            <w:pPr>
              <w:suppressAutoHyphens w:val="0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Ciągły pomiar saturacji żylnej: SCVO2 i SVO2 pomiar saturacji żylnej przy pomocy wkłucia centralnego trójświatłowego z modułem optycznym i możliwością kalibracji in-vivo i in-vitro, lub cewnika tętnicy płucnej (Swan-Ganza) z modułem optycznym</w:t>
            </w:r>
          </w:p>
        </w:tc>
      </w:tr>
      <w:tr w:rsidR="00103B23" w:rsidRPr="00E27525" w14:paraId="7ACDA356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67AD" w14:textId="77777777" w:rsidR="00103B23" w:rsidRPr="00E27525" w:rsidRDefault="00103B23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1C68" w14:textId="77777777" w:rsidR="00103B23" w:rsidRPr="00E27525" w:rsidRDefault="00103B23" w:rsidP="009C60CE">
            <w:pPr>
              <w:suppressAutoHyphens w:val="0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Ciągły pomiar saturacji tkankowej z wykorzystaniem jednorazowych elektrod NIRS, głębokość penetracji w przypadku czujników dla dorosłych nie mniejsza niż 2,5 cm</w:t>
            </w:r>
          </w:p>
        </w:tc>
      </w:tr>
      <w:tr w:rsidR="009C0324" w:rsidRPr="00E27525" w14:paraId="1B05D018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071D" w14:textId="77777777" w:rsidR="009C0324" w:rsidRPr="00E27525" w:rsidRDefault="009C0324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BA87" w14:textId="77777777" w:rsidR="00493A7E" w:rsidRPr="00E27525" w:rsidRDefault="00493A7E" w:rsidP="009C60CE">
            <w:pPr>
              <w:snapToGrid w:val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Wymagane parametry monitorowane lub wyliczane:</w:t>
            </w:r>
          </w:p>
          <w:p w14:paraId="6989A276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rzut serca (CO)</w:t>
            </w:r>
          </w:p>
          <w:p w14:paraId="602A6567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rzut serca indeksowany (CI)</w:t>
            </w:r>
          </w:p>
          <w:p w14:paraId="558106C5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rzut serca przerywany (iCO)</w:t>
            </w:r>
          </w:p>
          <w:p w14:paraId="51ED920D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objętość wyrzutowa (SV);</w:t>
            </w:r>
          </w:p>
          <w:p w14:paraId="2208D870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indeks objętości wyrzutowej (SVI)</w:t>
            </w:r>
          </w:p>
          <w:p w14:paraId="486400C0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systemowy (obwodowy) opór naczyniowy (SVR);</w:t>
            </w:r>
          </w:p>
          <w:p w14:paraId="3F7DAB34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indeks systemowego oporu naczyniowego (SVRI)   </w:t>
            </w:r>
          </w:p>
          <w:p w14:paraId="531DC17B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zmienność objętości wyrzutowej (SVV);</w:t>
            </w:r>
          </w:p>
          <w:p w14:paraId="3794727C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objętrość późnorozkurczowa prawej komory (EDV)</w:t>
            </w:r>
          </w:p>
          <w:p w14:paraId="54F8E0FA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saturacja krwi żylnej (ScvO2 i Svo2);</w:t>
            </w:r>
          </w:p>
          <w:p w14:paraId="6ADBC02B" w14:textId="77777777" w:rsidR="00493A7E" w:rsidRPr="00E27525" w:rsidRDefault="00EE6F37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ośrodkowe ciśnienie żylne</w:t>
            </w:r>
            <w:r w:rsidR="00493A7E"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(</w:t>
            </w: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OCŻ</w:t>
            </w:r>
            <w:r w:rsidR="00493A7E"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)</w:t>
            </w:r>
          </w:p>
          <w:p w14:paraId="0B681A4D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HPI- wskaźnik ryzyka wystąpienia epizodu niedociśnienia. </w:t>
            </w:r>
          </w:p>
          <w:p w14:paraId="33C5A602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ciśnienie średnie tętnicze (MAP)</w:t>
            </w:r>
          </w:p>
          <w:p w14:paraId="407E70BF" w14:textId="77777777" w:rsidR="00493A7E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częstość akcji serca (HR),</w:t>
            </w:r>
          </w:p>
          <w:p w14:paraId="4DB816F1" w14:textId="77777777" w:rsidR="009C0324" w:rsidRPr="00E27525" w:rsidRDefault="00493A7E" w:rsidP="009C60CE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frakcja wyrzutowa prawej komory (RVEF)</w:t>
            </w:r>
          </w:p>
          <w:p w14:paraId="2A55074D" w14:textId="77777777" w:rsidR="00EE6F37" w:rsidRPr="00E27525" w:rsidRDefault="00EE6F37" w:rsidP="00EE6F37">
            <w:pPr>
              <w:numPr>
                <w:ilvl w:val="0"/>
                <w:numId w:val="15"/>
              </w:numPr>
              <w:snapToGrid w:val="0"/>
              <w:ind w:left="345" w:hanging="14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Wskaźnik objętości późnorozkurczowej prawej komory ( RVEDVI)</w:t>
            </w:r>
          </w:p>
        </w:tc>
      </w:tr>
      <w:tr w:rsidR="00493A7E" w:rsidRPr="00E27525" w14:paraId="15005F37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E842" w14:textId="77777777" w:rsidR="00493A7E" w:rsidRPr="00E27525" w:rsidRDefault="00493A7E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0705" w14:textId="77777777" w:rsidR="00493A7E" w:rsidRPr="00E27525" w:rsidRDefault="00493A7E" w:rsidP="009C60CE">
            <w:pPr>
              <w:suppressAutoHyphens w:val="0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Ekran typu „kokpit”:</w:t>
            </w:r>
          </w:p>
          <w:p w14:paraId="4D14F287" w14:textId="77777777" w:rsidR="00493A7E" w:rsidRPr="00E27525" w:rsidRDefault="00493A7E" w:rsidP="009C60CE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definiowany i wizualizowany kolorem przez Użytkownika zakres celów terapii i alarmów;</w:t>
            </w:r>
          </w:p>
          <w:p w14:paraId="37A90939" w14:textId="77777777" w:rsidR="00493A7E" w:rsidRPr="00E27525" w:rsidRDefault="00493A7E" w:rsidP="009C60CE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dynamiczny wskaźnik stanu mierzonej wielkości w postaci strzałki;</w:t>
            </w:r>
          </w:p>
          <w:p w14:paraId="6AD3A3ED" w14:textId="77777777" w:rsidR="00493A7E" w:rsidRPr="00E27525" w:rsidRDefault="00493A7E" w:rsidP="009C60CE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procentowy wskaźnik zmian mierzonego parametru w założonym przedziale czasowym; </w:t>
            </w:r>
          </w:p>
          <w:p w14:paraId="54449B3B" w14:textId="77777777" w:rsidR="00493A7E" w:rsidRPr="00E27525" w:rsidRDefault="00493A7E" w:rsidP="009C60CE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możliwość wizualizacji 1, 2, 3 lub 4 wartości jednocześnie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0212" w14:textId="77777777" w:rsidR="00493A7E" w:rsidRPr="00E27525" w:rsidRDefault="00493A7E" w:rsidP="009C60CE">
            <w:pPr>
              <w:snapToGrid w:val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TAK – 5 pkt</w:t>
            </w:r>
          </w:p>
          <w:p w14:paraId="1FD04C00" w14:textId="77777777" w:rsidR="00493A7E" w:rsidRPr="00E27525" w:rsidRDefault="00493A7E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– 0 pkt</w:t>
            </w:r>
          </w:p>
        </w:tc>
      </w:tr>
      <w:tr w:rsidR="00333C6C" w:rsidRPr="00E27525" w14:paraId="72D86B8A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71D5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E2B4" w14:textId="77777777" w:rsidR="00333C6C" w:rsidRPr="00E27525" w:rsidRDefault="00333C6C" w:rsidP="009C60CE">
            <w:pPr>
              <w:suppressAutoHyphens w:val="0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Ekran interwencyjny:</w:t>
            </w:r>
          </w:p>
          <w:p w14:paraId="6B6DE390" w14:textId="77777777" w:rsidR="003179B0" w:rsidRPr="00E27525" w:rsidRDefault="00333C6C" w:rsidP="009C60CE">
            <w:pPr>
              <w:suppressAutoHyphens w:val="0"/>
              <w:ind w:left="360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możliwość wizualizacji trzech wartości w postaci trendu graficznego, wartości cyfrowych, procentowej zmiany od chwili podjęcia interwencji oraz stanu mierzonego parametru określonego kolorem.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F2C9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TAK – 5 pkt</w:t>
            </w:r>
          </w:p>
          <w:p w14:paraId="6BD20360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– 0 pkt</w:t>
            </w:r>
          </w:p>
        </w:tc>
      </w:tr>
      <w:tr w:rsidR="009C0324" w:rsidRPr="00E27525" w14:paraId="39992C65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7C19" w14:textId="77777777" w:rsidR="009C0324" w:rsidRPr="00E27525" w:rsidRDefault="009C0324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CBBC" w14:textId="77777777" w:rsidR="00493A7E" w:rsidRPr="00E27525" w:rsidRDefault="00493A7E" w:rsidP="009C60CE">
            <w:pPr>
              <w:suppressAutoHyphens w:val="0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Ekran fizjologiczny animowany:</w:t>
            </w:r>
          </w:p>
          <w:p w14:paraId="30B7C07E" w14:textId="77777777" w:rsidR="00493A7E" w:rsidRPr="00E27525" w:rsidRDefault="00493A7E" w:rsidP="009C60CE">
            <w:pPr>
              <w:numPr>
                <w:ilvl w:val="0"/>
                <w:numId w:val="5"/>
              </w:numPr>
              <w:tabs>
                <w:tab w:val="clear" w:pos="720"/>
                <w:tab w:val="num" w:pos="345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możliwość jednoczasowej wizualizacji cyfrowej i w postaci animacji indeksu tętna (HR), indeksu systemowego oporu obowdowego (SVRI) oraz zmienności objętości wyrzutowej (SVV);</w:t>
            </w:r>
          </w:p>
          <w:p w14:paraId="14606968" w14:textId="77777777" w:rsidR="00493A7E" w:rsidRPr="00E27525" w:rsidRDefault="00493A7E" w:rsidP="009C60CE">
            <w:pPr>
              <w:numPr>
                <w:ilvl w:val="0"/>
                <w:numId w:val="5"/>
              </w:numPr>
              <w:tabs>
                <w:tab w:val="clear" w:pos="720"/>
                <w:tab w:val="num" w:pos="345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możliwość jednoczasowego wyświetlania wartości saturacji żylnej (ScvO2, SvO2);</w:t>
            </w:r>
          </w:p>
          <w:p w14:paraId="51B88722" w14:textId="77777777" w:rsidR="00493A7E" w:rsidRPr="00E27525" w:rsidRDefault="00493A7E" w:rsidP="009C60CE">
            <w:pPr>
              <w:numPr>
                <w:ilvl w:val="0"/>
                <w:numId w:val="5"/>
              </w:numPr>
              <w:tabs>
                <w:tab w:val="clear" w:pos="720"/>
                <w:tab w:val="num" w:pos="345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dodatkowe oznaczenie statusu wyświetlanych parametrów przy pomocy kolorowych wskaźników (zielony, żółty, czerwony)</w:t>
            </w:r>
          </w:p>
          <w:p w14:paraId="2F2500B7" w14:textId="77777777" w:rsidR="009C0324" w:rsidRPr="00E27525" w:rsidRDefault="00493A7E" w:rsidP="009C60CE">
            <w:pPr>
              <w:numPr>
                <w:ilvl w:val="0"/>
                <w:numId w:val="5"/>
              </w:numPr>
              <w:tabs>
                <w:tab w:val="clear" w:pos="720"/>
                <w:tab w:val="num" w:pos="345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powiązanych z zakresami alarmów</w:t>
            </w:r>
          </w:p>
        </w:tc>
      </w:tr>
      <w:tr w:rsidR="00333C6C" w:rsidRPr="00E27525" w14:paraId="5DA9FE39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F635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2F16" w14:textId="77777777" w:rsidR="00333C6C" w:rsidRPr="00E27525" w:rsidRDefault="00333C6C" w:rsidP="009C60CE">
            <w:pPr>
              <w:pStyle w:val="NormalnyWeb"/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Ekran zależność fizjologiczna- ekran drzewa decyzyjnego:</w:t>
            </w:r>
          </w:p>
          <w:p w14:paraId="0D8D450C" w14:textId="77777777" w:rsidR="00333C6C" w:rsidRPr="00E27525" w:rsidRDefault="00333C6C" w:rsidP="009C60CE">
            <w:pPr>
              <w:pStyle w:val="NormalnyWeb"/>
              <w:numPr>
                <w:ilvl w:val="0"/>
                <w:numId w:val="8"/>
              </w:numPr>
              <w:tabs>
                <w:tab w:val="clear" w:pos="720"/>
                <w:tab w:val="num" w:pos="345"/>
              </w:tabs>
              <w:spacing w:before="0" w:after="0" w:line="240" w:lineRule="auto"/>
              <w:ind w:left="345" w:hanging="1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wyświetlanie powiązanych ze sobą parametrów hemodynamicznych związanych z obciążeniem wstępnym, obciążeniem następczym, kurczliwością oraz saturacją żylną;</w:t>
            </w:r>
          </w:p>
          <w:p w14:paraId="7F9E9FF8" w14:textId="77777777" w:rsidR="00333C6C" w:rsidRPr="00E27525" w:rsidRDefault="00333C6C" w:rsidP="009C60CE">
            <w:pPr>
              <w:pStyle w:val="NormalnyWeb"/>
              <w:numPr>
                <w:ilvl w:val="0"/>
                <w:numId w:val="8"/>
              </w:numPr>
              <w:tabs>
                <w:tab w:val="clear" w:pos="720"/>
                <w:tab w:val="num" w:pos="345"/>
              </w:tabs>
              <w:spacing w:before="0" w:after="0" w:line="240" w:lineRule="auto"/>
              <w:ind w:left="345" w:hanging="1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parametry wyświetlane w postaci cyfrowej</w:t>
            </w:r>
          </w:p>
          <w:p w14:paraId="036BD94B" w14:textId="77777777" w:rsidR="00333C6C" w:rsidRPr="00E27525" w:rsidRDefault="00333C6C" w:rsidP="009C60CE">
            <w:pPr>
              <w:pStyle w:val="NormalnyWeb"/>
              <w:numPr>
                <w:ilvl w:val="0"/>
                <w:numId w:val="8"/>
              </w:numPr>
              <w:tabs>
                <w:tab w:val="clear" w:pos="720"/>
                <w:tab w:val="num" w:pos="345"/>
              </w:tabs>
              <w:spacing w:before="0" w:after="0" w:line="240" w:lineRule="auto"/>
              <w:ind w:left="345" w:hanging="1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 xml:space="preserve">dodatkowe oznaczenie statusu wyświetlanych parametrów przy pomocy kolorowych wskaźników (zielony, żółty, czerwony) </w:t>
            </w:r>
          </w:p>
          <w:p w14:paraId="5B7BD0CF" w14:textId="77777777" w:rsidR="00333C6C" w:rsidRPr="00E27525" w:rsidRDefault="00333C6C" w:rsidP="00EE6F37">
            <w:pPr>
              <w:pStyle w:val="NormalnyWeb"/>
              <w:numPr>
                <w:ilvl w:val="0"/>
                <w:numId w:val="8"/>
              </w:numPr>
              <w:tabs>
                <w:tab w:val="clear" w:pos="720"/>
                <w:tab w:val="num" w:pos="345"/>
              </w:tabs>
              <w:spacing w:before="0" w:after="0" w:line="240" w:lineRule="auto"/>
              <w:ind w:left="345" w:hanging="1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powiązanych z zakresami alarmów</w:t>
            </w:r>
            <w:r w:rsidR="00EE6F37" w:rsidRPr="00E275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88BD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TAK – 5 pkt</w:t>
            </w:r>
          </w:p>
          <w:p w14:paraId="6DB897F2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– 0 pkt</w:t>
            </w:r>
          </w:p>
        </w:tc>
      </w:tr>
      <w:tr w:rsidR="00333C6C" w:rsidRPr="00E27525" w14:paraId="2DA0537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AC58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8B6E" w14:textId="77777777" w:rsidR="00333C6C" w:rsidRPr="00E27525" w:rsidRDefault="00333C6C" w:rsidP="009C60CE">
            <w:pPr>
              <w:suppressAutoHyphens w:val="0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Ekran trendów graficznych:</w:t>
            </w:r>
          </w:p>
          <w:p w14:paraId="78ABBE2B" w14:textId="77777777" w:rsidR="00333C6C" w:rsidRPr="00E27525" w:rsidRDefault="00333C6C" w:rsidP="009C60CE">
            <w:pPr>
              <w:numPr>
                <w:ilvl w:val="0"/>
                <w:numId w:val="9"/>
              </w:numPr>
              <w:tabs>
                <w:tab w:val="clear" w:pos="720"/>
                <w:tab w:val="num" w:pos="345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możliwość wyświetlania 1, 2, 3 lub 4 trendów graficznych monitorowanych parametrów;</w:t>
            </w:r>
          </w:p>
          <w:p w14:paraId="6FAB7533" w14:textId="77777777" w:rsidR="00333C6C" w:rsidRPr="00E27525" w:rsidRDefault="00333C6C" w:rsidP="009C60CE">
            <w:pPr>
              <w:numPr>
                <w:ilvl w:val="0"/>
                <w:numId w:val="9"/>
              </w:numPr>
              <w:tabs>
                <w:tab w:val="clear" w:pos="720"/>
                <w:tab w:val="num" w:pos="345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jednoczasowe wyświetlane w postaci cyfrowej bieżącej wartości;</w:t>
            </w:r>
          </w:p>
          <w:p w14:paraId="1FBC0FDA" w14:textId="77777777" w:rsidR="00333C6C" w:rsidRPr="00E27525" w:rsidRDefault="00333C6C" w:rsidP="009C60CE">
            <w:pPr>
              <w:numPr>
                <w:ilvl w:val="0"/>
                <w:numId w:val="9"/>
              </w:numPr>
              <w:tabs>
                <w:tab w:val="clear" w:pos="720"/>
                <w:tab w:val="num" w:pos="345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dodatkowe oznaczenie statusu wyświetlanych parametrów przy pomocy kolorowych wskaźników (zielony, żółty, czerwony) </w:t>
            </w:r>
          </w:p>
          <w:p w14:paraId="0CB8EE72" w14:textId="77777777" w:rsidR="00333C6C" w:rsidRPr="00E27525" w:rsidRDefault="00333C6C" w:rsidP="009C60CE">
            <w:pPr>
              <w:numPr>
                <w:ilvl w:val="0"/>
                <w:numId w:val="9"/>
              </w:numPr>
              <w:tabs>
                <w:tab w:val="clear" w:pos="720"/>
                <w:tab w:val="num" w:pos="345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powiązanych z zakresami alarmów</w:t>
            </w:r>
          </w:p>
        </w:tc>
      </w:tr>
      <w:tr w:rsidR="00333C6C" w:rsidRPr="00E27525" w14:paraId="4FDEBF7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FEEF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01D2" w14:textId="77777777" w:rsidR="00333C6C" w:rsidRPr="00E27525" w:rsidRDefault="00333C6C" w:rsidP="009C60CE">
            <w:pPr>
              <w:suppressAutoHyphens w:val="0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Ekran trendów tabelarycznych:</w:t>
            </w:r>
          </w:p>
          <w:p w14:paraId="7C56BDD0" w14:textId="77777777" w:rsidR="00333C6C" w:rsidRPr="00E27525" w:rsidRDefault="00333C6C" w:rsidP="009C60CE">
            <w:pPr>
              <w:numPr>
                <w:ilvl w:val="0"/>
                <w:numId w:val="10"/>
              </w:numPr>
              <w:tabs>
                <w:tab w:val="clear" w:pos="720"/>
                <w:tab w:val="num" w:pos="345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możliwość wyświetlania 1, 2, 3 lub 4 trendów tabelarycznych (wartości cyfrowe) monitorowanych parametrów;</w:t>
            </w:r>
          </w:p>
          <w:p w14:paraId="26BCBD50" w14:textId="77777777" w:rsidR="00333C6C" w:rsidRPr="00E27525" w:rsidRDefault="00333C6C" w:rsidP="009C60CE">
            <w:pPr>
              <w:numPr>
                <w:ilvl w:val="0"/>
                <w:numId w:val="10"/>
              </w:numPr>
              <w:tabs>
                <w:tab w:val="clear" w:pos="720"/>
                <w:tab w:val="num" w:pos="345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jednoczasowe wyświetlane w postaci cyfrowej bieżącej wartości;</w:t>
            </w:r>
          </w:p>
          <w:p w14:paraId="31B77D81" w14:textId="77777777" w:rsidR="00333C6C" w:rsidRPr="00E27525" w:rsidRDefault="00333C6C" w:rsidP="009C60CE">
            <w:pPr>
              <w:numPr>
                <w:ilvl w:val="0"/>
                <w:numId w:val="10"/>
              </w:numPr>
              <w:tabs>
                <w:tab w:val="clear" w:pos="720"/>
                <w:tab w:val="num" w:pos="345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dodatkowe oznaczenie statusu wyświetlanych parametrów przy pomocy kolorowych wskaźników (zielony, żółty, czerwony) </w:t>
            </w:r>
          </w:p>
          <w:p w14:paraId="675696BA" w14:textId="77777777" w:rsidR="00333C6C" w:rsidRPr="00E27525" w:rsidRDefault="00333C6C" w:rsidP="009C60CE">
            <w:pPr>
              <w:numPr>
                <w:ilvl w:val="0"/>
                <w:numId w:val="10"/>
              </w:numPr>
              <w:tabs>
                <w:tab w:val="clear" w:pos="720"/>
                <w:tab w:val="num" w:pos="345"/>
              </w:tabs>
              <w:suppressAutoHyphens w:val="0"/>
              <w:ind w:left="345" w:hanging="141"/>
              <w:contextualSpacing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powiązanych z zakresami alarmów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47BD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TAK – 5 pkt</w:t>
            </w:r>
          </w:p>
          <w:p w14:paraId="008A2CA1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– 0 pkt</w:t>
            </w:r>
          </w:p>
        </w:tc>
      </w:tr>
      <w:tr w:rsidR="00333C6C" w:rsidRPr="00E27525" w14:paraId="112C9CD8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A4DB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3C53" w14:textId="77777777" w:rsidR="00333C6C" w:rsidRPr="00E27525" w:rsidRDefault="00333C6C" w:rsidP="009C60CE">
            <w:pPr>
              <w:pStyle w:val="NormalnyWeb"/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Ekran GDT</w:t>
            </w:r>
          </w:p>
          <w:p w14:paraId="20B82308" w14:textId="77777777" w:rsidR="00333C6C" w:rsidRPr="00E27525" w:rsidRDefault="00333C6C" w:rsidP="009C60CE">
            <w:pPr>
              <w:pStyle w:val="NormalnyWeb"/>
              <w:numPr>
                <w:ilvl w:val="0"/>
                <w:numId w:val="11"/>
              </w:numPr>
              <w:tabs>
                <w:tab w:val="clear" w:pos="720"/>
                <w:tab w:val="num" w:pos="345"/>
              </w:tabs>
              <w:spacing w:before="0" w:after="0" w:line="240" w:lineRule="auto"/>
              <w:ind w:left="345" w:hanging="1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pozwala na prowadzenie leczenia ukierunkowanego na cel (GDT), umożliwiające użytkownikowi zarządzanie parametrami kluczowymi w optymalnym zakresie.</w:t>
            </w:r>
          </w:p>
          <w:p w14:paraId="5324AC71" w14:textId="77777777" w:rsidR="00333C6C" w:rsidRPr="00E27525" w:rsidRDefault="00333C6C" w:rsidP="009C60CE">
            <w:pPr>
              <w:pStyle w:val="NormalnyWeb"/>
              <w:numPr>
                <w:ilvl w:val="0"/>
                <w:numId w:val="11"/>
              </w:numPr>
              <w:tabs>
                <w:tab w:val="clear" w:pos="720"/>
                <w:tab w:val="num" w:pos="345"/>
              </w:tabs>
              <w:spacing w:before="0" w:after="0" w:line="240" w:lineRule="auto"/>
              <w:ind w:left="345" w:hanging="1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pozwala na ustawianie wybranych protokołów postępowania</w:t>
            </w:r>
          </w:p>
          <w:p w14:paraId="40F85047" w14:textId="77777777" w:rsidR="00333C6C" w:rsidRPr="00E27525" w:rsidRDefault="00302802" w:rsidP="009C60CE">
            <w:pPr>
              <w:pStyle w:val="NormalnyWeb"/>
              <w:numPr>
                <w:ilvl w:val="0"/>
                <w:numId w:val="11"/>
              </w:numPr>
              <w:tabs>
                <w:tab w:val="clear" w:pos="720"/>
                <w:tab w:val="num" w:pos="345"/>
              </w:tabs>
              <w:spacing w:before="0" w:after="0" w:line="240" w:lineRule="auto"/>
              <w:ind w:left="345" w:hanging="1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33C6C" w:rsidRPr="00E27525">
              <w:rPr>
                <w:rFonts w:asciiTheme="minorHAnsi" w:hAnsiTheme="minorHAnsi" w:cstheme="minorHAnsi"/>
                <w:sz w:val="22"/>
                <w:szCs w:val="22"/>
              </w:rPr>
              <w:t>obieranie danych umożliwia użytkownikowi eksportowanie raportów GDT na dysk USB</w:t>
            </w:r>
          </w:p>
        </w:tc>
      </w:tr>
      <w:tr w:rsidR="00333C6C" w:rsidRPr="00E27525" w14:paraId="6CBC28EC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D744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52DF" w14:textId="77777777" w:rsidR="00333C6C" w:rsidRPr="00E27525" w:rsidRDefault="00333C6C" w:rsidP="009C60CE">
            <w:pPr>
              <w:pStyle w:val="NormalnyWeb"/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Ekran krzywej ciśnienia w czasie rzeczywistym</w:t>
            </w:r>
          </w:p>
        </w:tc>
      </w:tr>
      <w:tr w:rsidR="0076035F" w:rsidRPr="00E27525" w14:paraId="4128262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E5F1" w14:textId="77777777" w:rsidR="0076035F" w:rsidRPr="00E27525" w:rsidRDefault="0076035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F9EF" w14:textId="77777777" w:rsidR="0076035F" w:rsidRPr="00E27525" w:rsidRDefault="0076035F" w:rsidP="009C60CE">
            <w:pPr>
              <w:pStyle w:val="NormalnyWeb"/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Moduł do pomiarów oksymetrii tkankowej</w:t>
            </w:r>
          </w:p>
        </w:tc>
      </w:tr>
      <w:tr w:rsidR="0076035F" w:rsidRPr="00E27525" w14:paraId="24BFEB9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A32E" w14:textId="77777777" w:rsidR="0076035F" w:rsidRPr="00E27525" w:rsidRDefault="0076035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E7D7" w14:textId="77777777" w:rsidR="0076035F" w:rsidRPr="00E27525" w:rsidRDefault="0076035F" w:rsidP="009C60CE">
            <w:pPr>
              <w:pStyle w:val="NormalnyWeb"/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Oprogramowanie umożliwiające podłączenie czujnika, wykrywającego u pacjenta możliwość wystąpienia hipotensji</w:t>
            </w:r>
          </w:p>
        </w:tc>
      </w:tr>
      <w:tr w:rsidR="0076035F" w:rsidRPr="00E27525" w14:paraId="61D78D5C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BF96" w14:textId="77777777" w:rsidR="0076035F" w:rsidRPr="00E27525" w:rsidRDefault="0076035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DA3F" w14:textId="77777777" w:rsidR="0076035F" w:rsidRPr="00E27525" w:rsidRDefault="0076035F" w:rsidP="009C60CE">
            <w:pPr>
              <w:pStyle w:val="NormalnyWeb"/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Bezpłatny upgrade oprogramowania</w:t>
            </w:r>
          </w:p>
        </w:tc>
      </w:tr>
      <w:tr w:rsidR="0076035F" w:rsidRPr="00E27525" w14:paraId="6895F22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E09C" w14:textId="77777777" w:rsidR="0076035F" w:rsidRPr="00E27525" w:rsidRDefault="0076035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8084" w14:textId="77777777" w:rsidR="0076035F" w:rsidRPr="00E27525" w:rsidRDefault="0076035F" w:rsidP="009C60CE">
            <w:pPr>
              <w:pStyle w:val="NormalnyWeb"/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</w:rPr>
              <w:t>Monitor zastępczy na czas naprawy</w:t>
            </w:r>
          </w:p>
        </w:tc>
      </w:tr>
      <w:tr w:rsidR="00333C6C" w:rsidRPr="00E27525" w14:paraId="583C3B9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0CAB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E1CE" w14:textId="77777777" w:rsidR="00333C6C" w:rsidRPr="00E27525" w:rsidRDefault="00333C6C" w:rsidP="009C60CE">
            <w:pPr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Menu w języku polskim</w:t>
            </w:r>
          </w:p>
        </w:tc>
      </w:tr>
      <w:tr w:rsidR="00333C6C" w:rsidRPr="00E27525" w14:paraId="6A92AF0C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83C0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24E9" w14:textId="77777777" w:rsidR="00333C6C" w:rsidRPr="00E27525" w:rsidRDefault="0076035F" w:rsidP="009C60CE">
            <w:pPr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Statyw</w:t>
            </w:r>
            <w:r w:rsidR="00333C6C"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kompatybilny z monitorem</w:t>
            </w:r>
          </w:p>
        </w:tc>
      </w:tr>
      <w:tr w:rsidR="00333C6C" w:rsidRPr="00E27525" w14:paraId="428715E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463D" w14:textId="77777777" w:rsidR="00333C6C" w:rsidRPr="00E27525" w:rsidRDefault="00333C6C" w:rsidP="009C60CE">
            <w:pPr>
              <w:snapToGrid w:val="0"/>
              <w:ind w:left="360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54B3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Informacje dodatkowe</w:t>
            </w:r>
          </w:p>
        </w:tc>
      </w:tr>
      <w:tr w:rsidR="00333C6C" w:rsidRPr="00E27525" w14:paraId="4CA7D6F1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B4E0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E88B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Oferowany sprzęt medyczny musi być kompletny, kompatybilne z akcesoriami, fabrycznie nowe, po instalacji gotowe do użycia zgodnie z jego przeznaczeniem</w:t>
            </w:r>
          </w:p>
        </w:tc>
      </w:tr>
      <w:tr w:rsidR="00333C6C" w:rsidRPr="00E27525" w14:paraId="38E2F652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A91A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2437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Zamawiający wymaga instalacji i uruchomienia sprzętu</w:t>
            </w:r>
          </w:p>
        </w:tc>
      </w:tr>
      <w:tr w:rsidR="00333C6C" w:rsidRPr="00E27525" w14:paraId="31CF422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854C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B449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Okres gwarancji  min. 24 miesiące </w:t>
            </w:r>
          </w:p>
        </w:tc>
      </w:tr>
      <w:tr w:rsidR="00333C6C" w:rsidRPr="00E27525" w14:paraId="063E22F9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2F06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F21E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333C6C" w:rsidRPr="00E27525" w14:paraId="045C77A5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552C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31A0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333C6C" w:rsidRPr="00E27525" w14:paraId="2E6B909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ACB9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2B1A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Szkolenie personelu medycznego w zakresie eksploatacji i obsługi aparatu w miejscu instalacji</w:t>
            </w:r>
          </w:p>
        </w:tc>
      </w:tr>
      <w:tr w:rsidR="00333C6C" w:rsidRPr="00E27525" w14:paraId="64BE8809" w14:textId="77777777" w:rsidTr="009C60CE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B190" w14:textId="77777777" w:rsidR="00333C6C" w:rsidRPr="00E27525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C591" w14:textId="7777777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Częstość przeglądów wymagana przez producenta zgodnie z instrukcją obsługi.</w:t>
            </w:r>
          </w:p>
        </w:tc>
        <w:tc>
          <w:tcPr>
            <w:tcW w:w="4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2703" w14:textId="16671157" w:rsidR="00333C6C" w:rsidRPr="00E27525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7525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pl-PL"/>
              </w:rPr>
              <w:t>Częstotliwość przeglądów</w:t>
            </w:r>
            <w:r w:rsidR="00E27525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pl-PL"/>
              </w:rPr>
              <w:t xml:space="preserve"> …</w:t>
            </w:r>
          </w:p>
        </w:tc>
      </w:tr>
    </w:tbl>
    <w:p w14:paraId="7C75BB53" w14:textId="77777777" w:rsidR="009C0324" w:rsidRPr="00E27525" w:rsidRDefault="009C0324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7525">
        <w:rPr>
          <w:rFonts w:asciiTheme="minorHAnsi" w:hAnsiTheme="minorHAnsi" w:cstheme="minorHAnsi"/>
          <w:sz w:val="22"/>
          <w:szCs w:val="22"/>
        </w:rPr>
        <w:t>C. Oświadczam, że dostarczony Zamawiającemu przedmiot zamówienia spełniać będzie właściwe, ustalone w obowiązujących przepisach prawa wymagania odnośnie dopuszczenia do użytkowania w polskich zakładach opieki zdrowotnej.</w:t>
      </w:r>
    </w:p>
    <w:p w14:paraId="4BA05B3C" w14:textId="77777777" w:rsidR="009C0324" w:rsidRPr="00E27525" w:rsidRDefault="009C0324">
      <w:pPr>
        <w:suppressAutoHyphens w:val="0"/>
        <w:spacing w:before="280"/>
        <w:rPr>
          <w:rFonts w:asciiTheme="minorHAnsi" w:hAnsiTheme="minorHAnsi" w:cstheme="minorHAnsi"/>
          <w:sz w:val="22"/>
          <w:szCs w:val="22"/>
          <w:lang w:val="pl-PL"/>
        </w:rPr>
      </w:pPr>
      <w:r w:rsidRPr="00E27525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  <w:t>D. Wykonawca zapewnia, że na potwierdzenie stanu faktycznego, o którym mowa w pkt B i C posiada stosowne dokumenty, które zostaną niezwłocznie przekazane zamawiającemu, na jego pisemny wniosek.</w:t>
      </w:r>
    </w:p>
    <w:p w14:paraId="61D8DED7" w14:textId="77777777" w:rsidR="009C0324" w:rsidRPr="00E27525" w:rsidRDefault="009C0324">
      <w:pPr>
        <w:suppressAutoHyphens w:val="0"/>
        <w:spacing w:before="280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3794"/>
        <w:gridCol w:w="6520"/>
      </w:tblGrid>
      <w:tr w:rsidR="009C0324" w:rsidRPr="00E27525" w14:paraId="493412B7" w14:textId="77777777">
        <w:trPr>
          <w:trHeight w:val="1020"/>
        </w:trPr>
        <w:tc>
          <w:tcPr>
            <w:tcW w:w="3794" w:type="dxa"/>
            <w:shd w:val="clear" w:color="auto" w:fill="auto"/>
          </w:tcPr>
          <w:p w14:paraId="57E9DA56" w14:textId="77777777" w:rsidR="009C0324" w:rsidRPr="00E27525" w:rsidRDefault="009C0324">
            <w:pPr>
              <w:pStyle w:val="Bezodstpw"/>
              <w:snapToGrid w:val="0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4169F53A" w14:textId="77777777" w:rsidR="009C0324" w:rsidRPr="00E27525" w:rsidRDefault="009C0324">
            <w:pPr>
              <w:pStyle w:val="Bezodstpw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18F17FB3" w14:textId="2E9A0FF0" w:rsidR="009C0324" w:rsidRPr="00E27525" w:rsidRDefault="009C0324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03BCB067" w14:textId="77777777" w:rsidR="009C0324" w:rsidRPr="00E27525" w:rsidRDefault="009C0324">
            <w:pPr>
              <w:pStyle w:val="Bezodstpw"/>
              <w:snapToGrid w:val="0"/>
              <w:ind w:left="4248" w:hanging="4248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78C7FFA2" w14:textId="77777777" w:rsidR="009C0324" w:rsidRPr="00E27525" w:rsidRDefault="009C0324">
            <w:pPr>
              <w:pStyle w:val="Bezodstpw"/>
              <w:ind w:left="4248" w:hanging="4248"/>
              <w:jc w:val="center"/>
              <w:rPr>
                <w:rFonts w:asciiTheme="minorHAnsi" w:hAnsiTheme="minorHAnsi" w:cstheme="minorHAnsi"/>
              </w:rPr>
            </w:pPr>
            <w:r w:rsidRPr="00E27525">
              <w:rPr>
                <w:rFonts w:asciiTheme="minorHAnsi" w:hAnsiTheme="minorHAnsi" w:cstheme="minorHAnsi"/>
                <w:i/>
                <w:color w:val="000000"/>
                <w:kern w:val="2"/>
                <w:lang w:eastAsia="pl-PL" w:bidi="hi-IN"/>
              </w:rPr>
              <w:t>………………………………………………</w:t>
            </w:r>
          </w:p>
          <w:p w14:paraId="2BA6EE1A" w14:textId="77777777" w:rsidR="009C0324" w:rsidRPr="00E27525" w:rsidRDefault="009C03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E27525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Imię i nazwisko osoby uprawionej do reprezentowania </w:t>
            </w:r>
          </w:p>
          <w:p w14:paraId="3E0925D9" w14:textId="4EA077A7" w:rsidR="00E27525" w:rsidRPr="00E27525" w:rsidRDefault="009C0324" w:rsidP="00E27525">
            <w:pPr>
              <w:ind w:right="385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525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>Wykonawcy</w:t>
            </w:r>
          </w:p>
          <w:p w14:paraId="7FFDDDD4" w14:textId="0B10F09B" w:rsidR="009C0324" w:rsidRPr="00E27525" w:rsidRDefault="009C03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6DBEC454" w14:textId="77777777" w:rsidR="009C0324" w:rsidRPr="00E27525" w:rsidRDefault="009C0324">
      <w:pPr>
        <w:pStyle w:val="Tekstpodstawowy"/>
        <w:spacing w:after="60"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9C0324" w:rsidRPr="00E27525">
      <w:headerReference w:type="default" r:id="rId8"/>
      <w:footerReference w:type="default" r:id="rId9"/>
      <w:pgSz w:w="11906" w:h="16838"/>
      <w:pgMar w:top="284" w:right="1127" w:bottom="764" w:left="1049" w:header="708" w:footer="708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9809" w14:textId="77777777" w:rsidR="00186192" w:rsidRDefault="00186192">
      <w:r>
        <w:separator/>
      </w:r>
    </w:p>
  </w:endnote>
  <w:endnote w:type="continuationSeparator" w:id="0">
    <w:p w14:paraId="3579A4A8" w14:textId="77777777" w:rsidR="00186192" w:rsidRDefault="0018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053C" w14:textId="77777777" w:rsidR="009C0324" w:rsidRDefault="009C0324">
    <w:pPr>
      <w:pStyle w:val="footer"/>
      <w:jc w:val="right"/>
    </w:pPr>
    <w:r>
      <w:rPr>
        <w:b w:val="0"/>
        <w:sz w:val="16"/>
        <w:szCs w:val="16"/>
      </w:rPr>
      <w:t xml:space="preserve">Strona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</w:instrText>
    </w:r>
    <w:r>
      <w:rPr>
        <w:b w:val="0"/>
        <w:sz w:val="16"/>
        <w:szCs w:val="16"/>
      </w:rPr>
      <w:fldChar w:fldCharType="separate"/>
    </w:r>
    <w:r w:rsidR="008C36C9">
      <w:rPr>
        <w:b w:val="0"/>
        <w:noProof/>
        <w:sz w:val="16"/>
        <w:szCs w:val="16"/>
      </w:rPr>
      <w:t>2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z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NUMPAGES \* ARABIC </w:instrText>
    </w:r>
    <w:r>
      <w:rPr>
        <w:b w:val="0"/>
        <w:sz w:val="16"/>
        <w:szCs w:val="16"/>
      </w:rPr>
      <w:fldChar w:fldCharType="separate"/>
    </w:r>
    <w:r w:rsidR="008C36C9">
      <w:rPr>
        <w:b w:val="0"/>
        <w:noProof/>
        <w:sz w:val="16"/>
        <w:szCs w:val="16"/>
      </w:rPr>
      <w:t>3</w:t>
    </w:r>
    <w:r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C027" w14:textId="77777777" w:rsidR="00186192" w:rsidRDefault="00186192">
      <w:r>
        <w:separator/>
      </w:r>
    </w:p>
  </w:footnote>
  <w:footnote w:type="continuationSeparator" w:id="0">
    <w:p w14:paraId="0990FC81" w14:textId="77777777" w:rsidR="00186192" w:rsidRDefault="0018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D04F" w14:textId="4B5535EF" w:rsidR="0031481B" w:rsidRDefault="00E27525">
    <w:pPr>
      <w:pStyle w:val="Nagwek"/>
    </w:pPr>
    <w:r w:rsidRPr="0031481B">
      <w:rPr>
        <w:noProof/>
      </w:rPr>
      <w:drawing>
        <wp:inline distT="0" distB="0" distL="0" distR="0" wp14:anchorId="69800FBC" wp14:editId="6466804F">
          <wp:extent cx="594423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0"/>
        <w:szCs w:val="20"/>
      </w:rPr>
    </w:lvl>
  </w:abstractNum>
  <w:abstractNum w:abstractNumId="3" w15:restartNumberingAfterBreak="0">
    <w:nsid w:val="11981CA3"/>
    <w:multiLevelType w:val="multilevel"/>
    <w:tmpl w:val="A42C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50CF0"/>
    <w:multiLevelType w:val="multilevel"/>
    <w:tmpl w:val="BCD819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3D4B"/>
    <w:multiLevelType w:val="multilevel"/>
    <w:tmpl w:val="C944B6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F66ED"/>
    <w:multiLevelType w:val="hybridMultilevel"/>
    <w:tmpl w:val="C95A08C8"/>
    <w:lvl w:ilvl="0" w:tplc="D1B6E544">
      <w:numFmt w:val="bullet"/>
      <w:lvlText w:val="•"/>
      <w:lvlJc w:val="left"/>
      <w:pPr>
        <w:ind w:left="924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31717CF3"/>
    <w:multiLevelType w:val="multilevel"/>
    <w:tmpl w:val="1B40B2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3634F"/>
    <w:multiLevelType w:val="hybridMultilevel"/>
    <w:tmpl w:val="176E3E64"/>
    <w:lvl w:ilvl="0" w:tplc="D1B6E544">
      <w:numFmt w:val="bullet"/>
      <w:lvlText w:val="•"/>
      <w:lvlJc w:val="left"/>
      <w:pPr>
        <w:ind w:left="564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E2335"/>
    <w:multiLevelType w:val="multilevel"/>
    <w:tmpl w:val="869C77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B4A7B"/>
    <w:multiLevelType w:val="multilevel"/>
    <w:tmpl w:val="5762AF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73A7F"/>
    <w:multiLevelType w:val="multilevel"/>
    <w:tmpl w:val="D92E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324B95"/>
    <w:multiLevelType w:val="multilevel"/>
    <w:tmpl w:val="7630B1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00003"/>
    <w:multiLevelType w:val="hybridMultilevel"/>
    <w:tmpl w:val="23DAB3D0"/>
    <w:lvl w:ilvl="0" w:tplc="D1B6E544">
      <w:numFmt w:val="bullet"/>
      <w:lvlText w:val="•"/>
      <w:lvlJc w:val="left"/>
      <w:pPr>
        <w:ind w:left="564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4" w15:restartNumberingAfterBreak="0">
    <w:nsid w:val="7D161968"/>
    <w:multiLevelType w:val="hybridMultilevel"/>
    <w:tmpl w:val="9D5E8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014">
    <w:abstractNumId w:val="0"/>
  </w:num>
  <w:num w:numId="2" w16cid:durableId="1480926479">
    <w:abstractNumId w:val="1"/>
  </w:num>
  <w:num w:numId="3" w16cid:durableId="1604413026">
    <w:abstractNumId w:val="2"/>
  </w:num>
  <w:num w:numId="4" w16cid:durableId="476536387">
    <w:abstractNumId w:val="9"/>
  </w:num>
  <w:num w:numId="5" w16cid:durableId="1850219663">
    <w:abstractNumId w:val="5"/>
  </w:num>
  <w:num w:numId="6" w16cid:durableId="1263993743">
    <w:abstractNumId w:val="3"/>
  </w:num>
  <w:num w:numId="7" w16cid:durableId="672221432">
    <w:abstractNumId w:val="11"/>
  </w:num>
  <w:num w:numId="8" w16cid:durableId="342828114">
    <w:abstractNumId w:val="4"/>
  </w:num>
  <w:num w:numId="9" w16cid:durableId="188639884">
    <w:abstractNumId w:val="7"/>
  </w:num>
  <w:num w:numId="10" w16cid:durableId="1321498002">
    <w:abstractNumId w:val="10"/>
  </w:num>
  <w:num w:numId="11" w16cid:durableId="1097748482">
    <w:abstractNumId w:val="12"/>
  </w:num>
  <w:num w:numId="12" w16cid:durableId="386875129">
    <w:abstractNumId w:val="14"/>
  </w:num>
  <w:num w:numId="13" w16cid:durableId="587736425">
    <w:abstractNumId w:val="13"/>
  </w:num>
  <w:num w:numId="14" w16cid:durableId="1603151996">
    <w:abstractNumId w:val="8"/>
  </w:num>
  <w:num w:numId="15" w16cid:durableId="1281110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D4"/>
    <w:rsid w:val="00083AE3"/>
    <w:rsid w:val="0009459F"/>
    <w:rsid w:val="00103B23"/>
    <w:rsid w:val="00186192"/>
    <w:rsid w:val="0029668E"/>
    <w:rsid w:val="002C509A"/>
    <w:rsid w:val="00302802"/>
    <w:rsid w:val="0031230A"/>
    <w:rsid w:val="0031481B"/>
    <w:rsid w:val="003179B0"/>
    <w:rsid w:val="00333C6C"/>
    <w:rsid w:val="00422AA9"/>
    <w:rsid w:val="00493A7E"/>
    <w:rsid w:val="005F4DEA"/>
    <w:rsid w:val="00647275"/>
    <w:rsid w:val="006852B0"/>
    <w:rsid w:val="0076035F"/>
    <w:rsid w:val="007A1CCA"/>
    <w:rsid w:val="007A7994"/>
    <w:rsid w:val="008C36C9"/>
    <w:rsid w:val="009C0324"/>
    <w:rsid w:val="009C60CE"/>
    <w:rsid w:val="00A060AF"/>
    <w:rsid w:val="00AA5F25"/>
    <w:rsid w:val="00AD4ADB"/>
    <w:rsid w:val="00B01D46"/>
    <w:rsid w:val="00B65C7D"/>
    <w:rsid w:val="00DA742B"/>
    <w:rsid w:val="00DB39B8"/>
    <w:rsid w:val="00E24659"/>
    <w:rsid w:val="00E27525"/>
    <w:rsid w:val="00E40F6D"/>
    <w:rsid w:val="00E77479"/>
    <w:rsid w:val="00EE6F37"/>
    <w:rsid w:val="00F32152"/>
    <w:rsid w:val="00FC0FA5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B1B5B41"/>
  <w15:chartTrackingRefBased/>
  <w15:docId w15:val="{61ED772B-9F17-4577-B536-4A1956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C6C"/>
    <w:pPr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jc w:val="right"/>
      <w:outlineLvl w:val="0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240" w:after="60"/>
      <w:textAlignment w:val="baseline"/>
      <w:outlineLvl w:val="1"/>
    </w:pPr>
    <w:rPr>
      <w:rFonts w:ascii="Cambria" w:eastAsia="Times New Roman" w:hAnsi="Cambria" w:cs="Mangal"/>
      <w:i/>
      <w:iCs/>
      <w:kern w:val="2"/>
      <w:sz w:val="28"/>
      <w:szCs w:val="25"/>
      <w:lang w:val="pl-PL" w:bidi="hi-IN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 w:val="0"/>
      <w:bCs w:val="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spacing w:val="-1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  <w:spacing w:val="-1"/>
      <w:sz w:val="24"/>
      <w:szCs w:val="24"/>
      <w:lang w:eastAsia="pl-PL"/>
    </w:rPr>
  </w:style>
  <w:style w:type="character" w:customStyle="1" w:styleId="WW8Num3z0">
    <w:name w:val="WW8Num3z0"/>
    <w:rPr>
      <w:rFonts w:ascii="Symbol" w:hAnsi="Symbol" w:cs="OpenSymbol"/>
      <w:color w:val="000000"/>
      <w:sz w:val="18"/>
      <w:szCs w:val="18"/>
      <w:vertAlign w:val="superscript"/>
    </w:rPr>
  </w:style>
  <w:style w:type="character" w:customStyle="1" w:styleId="WW8Num5z0">
    <w:name w:val="WW8Num5z0"/>
    <w:rPr>
      <w:rFonts w:hint="default"/>
    </w:rPr>
  </w:style>
  <w:style w:type="character" w:customStyle="1" w:styleId="WW8Num13z0">
    <w:name w:val="WW8Num13z0"/>
    <w:rPr>
      <w:b w:val="0"/>
      <w:sz w:val="20"/>
      <w:szCs w:val="20"/>
    </w:rPr>
  </w:style>
  <w:style w:type="character" w:customStyle="1" w:styleId="WW8Num16z0">
    <w:name w:val="WW8Num16z0"/>
    <w:rPr>
      <w:b w:val="0"/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color w:val="00000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2z0">
    <w:name w:val="WW8Num22z0"/>
    <w:rPr>
      <w:sz w:val="18"/>
    </w:rPr>
  </w:style>
  <w:style w:type="character" w:customStyle="1" w:styleId="WW8Num33z0">
    <w:name w:val="WW8Num33z0"/>
    <w:rPr>
      <w:color w:val="000000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u w:val="single"/>
    </w:rPr>
  </w:style>
  <w:style w:type="character" w:customStyle="1" w:styleId="TekstdymkaZnak">
    <w:name w:val="Tekst dymka Znak"/>
    <w:rPr>
      <w:rFonts w:ascii="Tahoma" w:eastAsia="Arial Unicode MS" w:hAnsi="Tahoma" w:cs="Tahoma"/>
      <w:b/>
      <w:bCs/>
      <w:color w:val="000000"/>
      <w:sz w:val="16"/>
      <w:szCs w:val="16"/>
      <w:lang w:val="en-US"/>
    </w:rPr>
  </w:style>
  <w:style w:type="character" w:customStyle="1" w:styleId="NagwekZnak">
    <w:name w:val="Nagłówek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StopkaZnak">
    <w:name w:val="Stopka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TekstpodstawowyZnak">
    <w:name w:val="Tekst podstawowy Znak"/>
    <w:rPr>
      <w:sz w:val="24"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TekstprzypisukocowegoZnak">
    <w:name w:val="Tekst przypisu końcowego Znak"/>
    <w:rPr>
      <w:rFonts w:ascii="Arial" w:eastAsia="Arial Unicode MS" w:hAnsi="Arial" w:cs="Arial Unicode MS"/>
      <w:b/>
      <w:bCs/>
      <w:color w:val="000000"/>
      <w:lang w:val="en-U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color w:val="000000"/>
      <w:sz w:val="22"/>
      <w:szCs w:val="22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Times New Roman" w:eastAsia="Times New Roman" w:hAnsi="Times New Roman" w:cs="Times New Roman"/>
      <w:b w:val="0"/>
      <w:bCs w:val="0"/>
      <w:szCs w:val="20"/>
      <w:lang w:val="x-none"/>
    </w:rPr>
  </w:style>
  <w:style w:type="paragraph" w:styleId="Lista">
    <w:name w:val="List"/>
    <w:basedOn w:val="Normalny"/>
    <w:pPr>
      <w:spacing w:after="140" w:line="288" w:lineRule="auto"/>
      <w:textAlignment w:val="baseline"/>
    </w:pPr>
    <w:rPr>
      <w:rFonts w:ascii="Bookman Old Style" w:hAnsi="Bookman Old Style" w:cs="Bookman Old Style"/>
      <w:b w:val="0"/>
      <w:bCs w:val="0"/>
      <w:kern w:val="2"/>
      <w:lang w:val="pl-PL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/>
    </w:rPr>
  </w:style>
  <w:style w:type="paragraph" w:customStyle="1" w:styleId="header">
    <w:name w:val="header"/>
    <w:pPr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lang w:val="en-US" w:eastAsia="zh-CN"/>
    </w:rPr>
  </w:style>
  <w:style w:type="paragraph" w:customStyle="1" w:styleId="footer">
    <w:name w:val="footer"/>
    <w:pPr>
      <w:tabs>
        <w:tab w:val="center" w:pos="4536"/>
        <w:tab w:val="right" w:pos="9072"/>
      </w:tabs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ListParagraph">
    <w:name w:val="List Paragraph"/>
    <w:pPr>
      <w:suppressAutoHyphens/>
      <w:ind w:left="720"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footnotetext">
    <w:name w:val="footnote text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heading4">
    <w:name w:val="heading 4"/>
    <w:next w:val="Normalny"/>
    <w:pPr>
      <w:keepNext/>
      <w:suppressAutoHyphens/>
      <w:outlineLvl w:val="3"/>
    </w:pPr>
    <w:rPr>
      <w:rFonts w:ascii="Arial" w:eastAsia="Arial Unicode MS" w:hAnsi="Arial" w:cs="Arial Unicode MS"/>
      <w:b/>
      <w:bCs/>
      <w:color w:val="000000"/>
      <w:sz w:val="28"/>
      <w:szCs w:val="28"/>
      <w:lang w:eastAsia="zh-CN"/>
    </w:rPr>
  </w:style>
  <w:style w:type="paragraph" w:customStyle="1" w:styleId="Domylne">
    <w:name w:val="Domyślne"/>
    <w:pP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customStyle="1" w:styleId="heading1">
    <w:name w:val="heading 1"/>
    <w:next w:val="Normalny"/>
    <w:pPr>
      <w:keepNext/>
      <w:suppressAutoHyphens/>
      <w:jc w:val="right"/>
      <w:outlineLvl w:val="0"/>
    </w:pPr>
    <w:rPr>
      <w:rFonts w:eastAsia="Arial Unicode MS" w:cs="Arial Unicode MS"/>
      <w:b/>
      <w:bCs/>
      <w:color w:val="000000"/>
      <w:sz w:val="24"/>
      <w:szCs w:val="24"/>
      <w:lang w:eastAsia="zh-CN"/>
    </w:rPr>
  </w:style>
  <w:style w:type="paragraph" w:customStyle="1" w:styleId="BodyText">
    <w:name w:val="Body Text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NormalWeb">
    <w:name w:val="Normal (Web)"/>
    <w:pPr>
      <w:suppressAutoHyphens/>
      <w:spacing w:before="280" w:after="280"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TreB">
    <w:name w:val="Treść B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heading5">
    <w:name w:val="heading 5"/>
    <w:next w:val="Normalny"/>
    <w:pPr>
      <w:suppressAutoHyphens/>
      <w:spacing w:before="240" w:after="60"/>
      <w:outlineLvl w:val="4"/>
    </w:pPr>
    <w:rPr>
      <w:rFonts w:eastAsia="Arial Unicode MS" w:cs="Arial Unicode MS"/>
      <w:b/>
      <w:bCs/>
      <w:i/>
      <w:iCs/>
      <w:color w:val="000000"/>
      <w:sz w:val="26"/>
      <w:szCs w:val="26"/>
      <w:lang w:val="nl-NL" w:eastAsia="zh-CN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Bookman Old Style" w:eastAsia="Arial Unicode MS" w:hAnsi="Bookman Old Style" w:cs="Arial Unicode MS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before="18"/>
      <w:ind w:left="35"/>
    </w:pPr>
    <w:rPr>
      <w:rFonts w:eastAsia="Arial" w:cs="Arial"/>
      <w:b w:val="0"/>
      <w:bCs w:val="0"/>
      <w:sz w:val="22"/>
      <w:szCs w:val="22"/>
      <w:lang w:val="pl-PL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Arial"/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b w:val="0"/>
      <w:bCs w:val="0"/>
      <w:lang w:val="pl-PL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Kolorowalistaakcent12">
    <w:name w:val="Kolorowa lista — akcent 12"/>
    <w:basedOn w:val="Normalny"/>
    <w:pPr>
      <w:ind w:left="708"/>
    </w:pPr>
    <w:rPr>
      <w:rFonts w:ascii="Liberation Serif" w:eastAsia="SimSun" w:hAnsi="Liberation Serif" w:cs="Mangal"/>
      <w:b w:val="0"/>
      <w:bCs w:val="0"/>
      <w:kern w:val="2"/>
      <w:lang w:val="pl-PL"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655C-A906-46DB-9EA1-663B4548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cp:lastModifiedBy>Zamówienia Publiczne</cp:lastModifiedBy>
  <cp:revision>3</cp:revision>
  <cp:lastPrinted>2023-03-29T07:30:00Z</cp:lastPrinted>
  <dcterms:created xsi:type="dcterms:W3CDTF">2023-04-21T08:17:00Z</dcterms:created>
  <dcterms:modified xsi:type="dcterms:W3CDTF">2023-04-21T08:17:00Z</dcterms:modified>
</cp:coreProperties>
</file>