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8B99" w14:textId="77777777" w:rsidR="000E2ED1" w:rsidRPr="00910C2B" w:rsidRDefault="00166315" w:rsidP="000E2ED1">
      <w:pPr>
        <w:pageBreakBefore/>
        <w:jc w:val="right"/>
        <w:rPr>
          <w:rFonts w:cs="Times New Roman"/>
          <w:bCs/>
          <w:i/>
          <w:color w:val="000000"/>
          <w:sz w:val="22"/>
          <w:szCs w:val="22"/>
        </w:rPr>
      </w:pPr>
      <w:proofErr w:type="spellStart"/>
      <w:r>
        <w:rPr>
          <w:rFonts w:cs="Times New Roman"/>
          <w:b/>
          <w:i/>
          <w:iCs/>
          <w:color w:val="000000"/>
          <w:sz w:val="22"/>
          <w:szCs w:val="22"/>
        </w:rPr>
        <w:t>zmienio</w:t>
      </w:r>
      <w:r w:rsidR="000E2ED1" w:rsidRPr="00EF4C61">
        <w:rPr>
          <w:rFonts w:cs="Times New Roman"/>
          <w:b/>
          <w:i/>
          <w:iCs/>
          <w:color w:val="000000"/>
          <w:sz w:val="22"/>
          <w:szCs w:val="22"/>
        </w:rPr>
        <w:t>ny</w:t>
      </w:r>
      <w:proofErr w:type="spellEnd"/>
      <w:r w:rsidR="000E2ED1">
        <w:rPr>
          <w:rFonts w:cs="Times New Roman"/>
          <w:b/>
          <w:color w:val="000000"/>
        </w:rPr>
        <w:t xml:space="preserve"> </w:t>
      </w:r>
      <w:proofErr w:type="spellStart"/>
      <w:r w:rsidR="000E2ED1" w:rsidRPr="00CF5D1F">
        <w:rPr>
          <w:rFonts w:cs="Times New Roman"/>
          <w:b/>
          <w:color w:val="000000"/>
        </w:rPr>
        <w:t>Załącznik</w:t>
      </w:r>
      <w:proofErr w:type="spellEnd"/>
      <w:r w:rsidR="000E2ED1" w:rsidRPr="00CF5D1F">
        <w:rPr>
          <w:rFonts w:cs="Times New Roman"/>
          <w:b/>
          <w:color w:val="000000"/>
        </w:rPr>
        <w:t xml:space="preserve"> </w:t>
      </w:r>
      <w:proofErr w:type="spellStart"/>
      <w:r w:rsidR="000E2ED1" w:rsidRPr="00CF5D1F">
        <w:rPr>
          <w:rFonts w:cs="Times New Roman"/>
          <w:b/>
          <w:color w:val="000000"/>
        </w:rPr>
        <w:t>Nr</w:t>
      </w:r>
      <w:proofErr w:type="spellEnd"/>
      <w:r w:rsidR="000E2ED1" w:rsidRPr="00CF5D1F">
        <w:rPr>
          <w:rFonts w:cs="Times New Roman"/>
          <w:b/>
          <w:color w:val="000000"/>
        </w:rPr>
        <w:t xml:space="preserve"> 3</w:t>
      </w:r>
      <w:r w:rsidR="000E2ED1">
        <w:rPr>
          <w:rFonts w:cs="Times New Roman"/>
          <w:b/>
          <w:color w:val="000000"/>
        </w:rPr>
        <w:t>/</w:t>
      </w:r>
      <w:r w:rsidR="000E2ED1">
        <w:rPr>
          <w:rFonts w:cs="Times New Roman"/>
          <w:bCs/>
          <w:color w:val="000000"/>
          <w:sz w:val="20"/>
          <w:szCs w:val="20"/>
        </w:rPr>
        <w:t>3</w:t>
      </w:r>
    </w:p>
    <w:p w14:paraId="7E506883" w14:textId="77777777" w:rsidR="000E2ED1" w:rsidRDefault="000E2ED1" w:rsidP="000E2ED1">
      <w:pPr>
        <w:widowControl/>
        <w:spacing w:line="240" w:lineRule="auto"/>
        <w:jc w:val="right"/>
        <w:textAlignment w:val="auto"/>
        <w:rPr>
          <w:rFonts w:eastAsia="Times New Roman" w:cs="Times New Roman"/>
          <w:color w:val="000000"/>
          <w:kern w:val="0"/>
          <w:lang w:val="pl-PL" w:eastAsia="ar-SA" w:bidi="ar-SA"/>
        </w:rPr>
      </w:pPr>
      <w:r w:rsidRPr="00CF5D1F">
        <w:rPr>
          <w:rFonts w:eastAsia="Times New Roman" w:cs="Times New Roman"/>
          <w:color w:val="000000"/>
          <w:kern w:val="0"/>
          <w:lang w:val="pl-PL" w:eastAsia="ar-SA" w:bidi="ar-SA"/>
        </w:rPr>
        <w:t xml:space="preserve">do SWZ Nr </w:t>
      </w:r>
      <w:proofErr w:type="spellStart"/>
      <w:r w:rsidRPr="00CF5D1F">
        <w:rPr>
          <w:rFonts w:eastAsia="Times New Roman" w:cs="Times New Roman"/>
          <w:color w:val="000000"/>
          <w:kern w:val="0"/>
          <w:lang w:val="pl-PL" w:eastAsia="ar-SA" w:bidi="ar-SA"/>
        </w:rPr>
        <w:t>W.Sz.Z</w:t>
      </w:r>
      <w:proofErr w:type="spellEnd"/>
      <w:r w:rsidRPr="00CF5D1F">
        <w:rPr>
          <w:rFonts w:eastAsia="Times New Roman" w:cs="Times New Roman"/>
          <w:color w:val="000000"/>
          <w:kern w:val="0"/>
          <w:lang w:val="pl-PL" w:eastAsia="ar-SA" w:bidi="ar-SA"/>
        </w:rPr>
        <w:t>: TZ-280-</w:t>
      </w:r>
      <w:r>
        <w:rPr>
          <w:rFonts w:eastAsia="Times New Roman" w:cs="Times New Roman"/>
          <w:b/>
          <w:color w:val="000000"/>
          <w:kern w:val="0"/>
          <w:lang w:val="pl-PL" w:eastAsia="ar-SA" w:bidi="ar-SA"/>
        </w:rPr>
        <w:t>123</w:t>
      </w:r>
      <w:r w:rsidRPr="00CF5D1F">
        <w:rPr>
          <w:rFonts w:eastAsia="Times New Roman" w:cs="Times New Roman"/>
          <w:color w:val="000000"/>
          <w:kern w:val="0"/>
          <w:lang w:val="pl-PL" w:eastAsia="ar-SA" w:bidi="ar-SA"/>
        </w:rPr>
        <w:t>/24</w:t>
      </w:r>
    </w:p>
    <w:p w14:paraId="6DC65436" w14:textId="77777777" w:rsidR="000E2ED1" w:rsidRDefault="000E2ED1" w:rsidP="000E2ED1">
      <w:pPr>
        <w:jc w:val="right"/>
        <w:rPr>
          <w:rFonts w:eastAsia="Times New Roman" w:cs="Times New Roman"/>
          <w:b/>
          <w:color w:val="000000"/>
          <w:lang w:val="pl-PL" w:eastAsia="ar-SA" w:bidi="ar-SA"/>
        </w:rPr>
      </w:pPr>
      <w:r w:rsidRPr="00EF4C61">
        <w:rPr>
          <w:rFonts w:eastAsia="Times New Roman" w:cs="Times New Roman"/>
          <w:i/>
          <w:iCs/>
          <w:color w:val="000000"/>
          <w:kern w:val="0"/>
          <w:sz w:val="20"/>
          <w:szCs w:val="20"/>
          <w:lang w:val="pl-PL" w:eastAsia="ar-SA" w:bidi="ar-SA"/>
        </w:rPr>
        <w:t xml:space="preserve">po odpowiedziach </w:t>
      </w:r>
      <w:r w:rsidR="00166315">
        <w:rPr>
          <w:rFonts w:eastAsia="Times New Roman" w:cs="Times New Roman"/>
          <w:i/>
          <w:iCs/>
          <w:color w:val="000000"/>
          <w:kern w:val="0"/>
          <w:sz w:val="20"/>
          <w:szCs w:val="20"/>
          <w:lang w:val="pl-PL" w:eastAsia="ar-SA" w:bidi="ar-SA"/>
        </w:rPr>
        <w:t>z 27.11.2024 do SWZ</w:t>
      </w:r>
    </w:p>
    <w:p w14:paraId="6C9987BC" w14:textId="77777777" w:rsidR="000E2ED1" w:rsidRDefault="000E2ED1" w:rsidP="000E2ED1">
      <w:pPr>
        <w:widowControl/>
        <w:spacing w:line="240" w:lineRule="auto"/>
        <w:jc w:val="right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pl-PL" w:eastAsia="ar-SA" w:bidi="ar-SA"/>
        </w:rPr>
      </w:pPr>
    </w:p>
    <w:p w14:paraId="58F93BB2" w14:textId="77777777" w:rsidR="000E2ED1" w:rsidRPr="00F6681B" w:rsidRDefault="000E2ED1" w:rsidP="000E2ED1">
      <w:pPr>
        <w:jc w:val="center"/>
        <w:rPr>
          <w:color w:val="000000"/>
          <w:sz w:val="18"/>
          <w:szCs w:val="18"/>
        </w:rPr>
      </w:pPr>
      <w:r w:rsidRPr="00F6681B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Opis przedmiotu zamówienia </w:t>
      </w:r>
      <w:r w:rsidRPr="00F6681B">
        <w:rPr>
          <w:rFonts w:eastAsia="Times New Roman" w:cs="Times New Roman"/>
          <w:color w:val="000000"/>
          <w:sz w:val="22"/>
          <w:szCs w:val="22"/>
          <w:lang w:val="pl-PL" w:eastAsia="ar-SA" w:bidi="ar-SA"/>
        </w:rPr>
        <w:t xml:space="preserve">(wymagane </w:t>
      </w:r>
      <w:r w:rsidRPr="00F6681B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>parametry techniczno-użytkowe</w:t>
      </w:r>
      <w:r w:rsidRPr="00F6681B">
        <w:rPr>
          <w:rFonts w:eastAsia="Times New Roman" w:cs="Times New Roman"/>
          <w:color w:val="000000"/>
          <w:sz w:val="22"/>
          <w:szCs w:val="22"/>
          <w:lang w:val="pl-PL" w:eastAsia="ar-SA" w:bidi="ar-SA"/>
        </w:rPr>
        <w:t xml:space="preserve">) </w:t>
      </w:r>
      <w:r w:rsidRPr="00F6681B"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F6681B">
        <w:rPr>
          <w:color w:val="000000"/>
          <w:sz w:val="18"/>
          <w:szCs w:val="18"/>
        </w:rPr>
        <w:t>oraz</w:t>
      </w:r>
      <w:proofErr w:type="spellEnd"/>
      <w:r w:rsidRPr="00F6681B">
        <w:rPr>
          <w:b/>
          <w:color w:val="000000"/>
          <w:sz w:val="18"/>
          <w:szCs w:val="18"/>
        </w:rPr>
        <w:t xml:space="preserve"> </w:t>
      </w:r>
      <w:r w:rsidRPr="00F6681B">
        <w:rPr>
          <w:color w:val="000000"/>
          <w:sz w:val="18"/>
          <w:szCs w:val="18"/>
        </w:rPr>
        <w:t xml:space="preserve">inne </w:t>
      </w:r>
      <w:proofErr w:type="spellStart"/>
      <w:r w:rsidRPr="00F6681B">
        <w:rPr>
          <w:color w:val="000000"/>
          <w:sz w:val="18"/>
          <w:szCs w:val="18"/>
        </w:rPr>
        <w:t>wymagania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jakościowe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odnoszące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się</w:t>
      </w:r>
      <w:proofErr w:type="spellEnd"/>
      <w:r w:rsidRPr="00F6681B">
        <w:rPr>
          <w:color w:val="000000"/>
          <w:sz w:val="18"/>
          <w:szCs w:val="18"/>
        </w:rPr>
        <w:t xml:space="preserve"> do </w:t>
      </w:r>
      <w:proofErr w:type="spellStart"/>
      <w:r w:rsidRPr="00F6681B">
        <w:rPr>
          <w:color w:val="000000"/>
          <w:sz w:val="18"/>
          <w:szCs w:val="18"/>
        </w:rPr>
        <w:t>głównych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elementów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składających</w:t>
      </w:r>
      <w:proofErr w:type="spellEnd"/>
      <w:r w:rsidRPr="00F6681B">
        <w:rPr>
          <w:color w:val="000000"/>
          <w:sz w:val="18"/>
          <w:szCs w:val="18"/>
        </w:rPr>
        <w:t xml:space="preserve"> sie na </w:t>
      </w:r>
      <w:proofErr w:type="spellStart"/>
      <w:r w:rsidRPr="00F6681B">
        <w:rPr>
          <w:color w:val="000000"/>
          <w:sz w:val="18"/>
          <w:szCs w:val="18"/>
        </w:rPr>
        <w:t>przedmiot</w:t>
      </w:r>
      <w:proofErr w:type="spellEnd"/>
      <w:r w:rsidRPr="00F6681B">
        <w:rPr>
          <w:color w:val="000000"/>
          <w:sz w:val="18"/>
          <w:szCs w:val="18"/>
        </w:rPr>
        <w:t xml:space="preserve"> </w:t>
      </w:r>
      <w:proofErr w:type="spellStart"/>
      <w:r w:rsidRPr="00F6681B">
        <w:rPr>
          <w:color w:val="000000"/>
          <w:sz w:val="18"/>
          <w:szCs w:val="18"/>
        </w:rPr>
        <w:t>zamówienia</w:t>
      </w:r>
      <w:proofErr w:type="spellEnd"/>
      <w:r w:rsidRPr="00F6681B">
        <w:rPr>
          <w:color w:val="000000"/>
          <w:sz w:val="18"/>
          <w:szCs w:val="18"/>
        </w:rPr>
        <w:t xml:space="preserve">: </w:t>
      </w:r>
    </w:p>
    <w:p w14:paraId="6C73F401" w14:textId="77777777" w:rsidR="000E2ED1" w:rsidRPr="00F6681B" w:rsidRDefault="000E2ED1" w:rsidP="000E2ED1">
      <w:pPr>
        <w:widowControl/>
        <w:suppressAutoHyphens w:val="0"/>
        <w:spacing w:line="240" w:lineRule="auto"/>
        <w:jc w:val="center"/>
        <w:textAlignment w:val="auto"/>
        <w:rPr>
          <w:rFonts w:eastAsia="Calibri"/>
          <w:b/>
          <w:bCs/>
          <w:iCs/>
          <w:color w:val="000000"/>
          <w:sz w:val="20"/>
          <w:szCs w:val="20"/>
          <w:lang w:eastAsia="ar-SA"/>
        </w:rPr>
      </w:pP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dostawa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aparatury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medycznej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z </w:t>
      </w: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niezbędnym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wyposażeniem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pomieszczeń</w:t>
      </w:r>
      <w:proofErr w:type="spellEnd"/>
      <w:r w:rsidRPr="00F6681B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</w:p>
    <w:p w14:paraId="3764AA1F" w14:textId="77777777" w:rsidR="000E2ED1" w:rsidRPr="009256A4" w:rsidRDefault="000E2ED1" w:rsidP="000E2ED1">
      <w:pPr>
        <w:widowControl/>
        <w:suppressAutoHyphens w:val="0"/>
        <w:spacing w:line="240" w:lineRule="auto"/>
        <w:jc w:val="center"/>
        <w:textAlignment w:val="auto"/>
        <w:rPr>
          <w:rFonts w:eastAsia="Calibri"/>
          <w:b/>
          <w:bCs/>
          <w:iCs/>
          <w:color w:val="000000"/>
          <w:sz w:val="20"/>
          <w:szCs w:val="20"/>
          <w:lang w:eastAsia="ar-SA"/>
        </w:rPr>
      </w:pPr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na </w:t>
      </w:r>
      <w:proofErr w:type="spellStart"/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potrzeby</w:t>
      </w:r>
      <w:proofErr w:type="spellEnd"/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Pracowni</w:t>
      </w:r>
      <w:proofErr w:type="spellEnd"/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9256A4">
        <w:rPr>
          <w:rFonts w:eastAsia="Calibri"/>
          <w:b/>
          <w:bCs/>
          <w:iCs/>
          <w:color w:val="000000"/>
          <w:sz w:val="20"/>
          <w:szCs w:val="20"/>
          <w:lang w:eastAsia="ar-SA"/>
        </w:rPr>
        <w:t>Endoskopii</w:t>
      </w:r>
      <w:proofErr w:type="spellEnd"/>
    </w:p>
    <w:p w14:paraId="2BDF467F" w14:textId="77777777" w:rsidR="000E2ED1" w:rsidRDefault="000E2ED1" w:rsidP="000E2ED1">
      <w:pPr>
        <w:widowControl/>
        <w:suppressAutoHyphens w:val="0"/>
        <w:spacing w:line="240" w:lineRule="auto"/>
        <w:jc w:val="center"/>
        <w:textAlignment w:val="auto"/>
        <w:rPr>
          <w:rFonts w:eastAsia="Calibri" w:cs="Times New Roman"/>
          <w:b/>
          <w:bCs/>
          <w:iCs/>
          <w:color w:val="000000"/>
          <w:kern w:val="0"/>
          <w:sz w:val="22"/>
          <w:szCs w:val="22"/>
          <w:lang w:val="pl-PL" w:eastAsia="ar-SA" w:bidi="ar-SA"/>
        </w:rPr>
      </w:pPr>
    </w:p>
    <w:p w14:paraId="2FA04ACF" w14:textId="77777777" w:rsidR="000E2ED1" w:rsidRPr="00C31AD5" w:rsidRDefault="000E2ED1" w:rsidP="000E2ED1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="Calibri" w:eastAsia="Calibri" w:hAnsi="Calibri" w:cs="Calibri"/>
          <w:b/>
          <w:i/>
          <w:color w:val="0070C0"/>
          <w:kern w:val="0"/>
          <w:sz w:val="20"/>
          <w:szCs w:val="20"/>
          <w:lang w:val="pl-PL" w:eastAsia="en-US" w:bidi="ar-SA"/>
        </w:rPr>
      </w:pPr>
      <w:r w:rsidRPr="00DA537B"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 xml:space="preserve">Pełna nazwa urządzenia: </w:t>
      </w:r>
      <w:r w:rsidRPr="004D64A0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en-US" w:bidi="ar-SA"/>
        </w:rPr>
        <w:t xml:space="preserve">Aparat do znieczulenia z wyposażeniem – 2 </w:t>
      </w:r>
      <w:proofErr w:type="spellStart"/>
      <w:r w:rsidRPr="004D64A0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en-US" w:bidi="ar-SA"/>
        </w:rPr>
        <w:t>kpl</w:t>
      </w:r>
      <w:proofErr w:type="spellEnd"/>
      <w:r w:rsidRPr="004D64A0">
        <w:rPr>
          <w:rFonts w:ascii="Calibri" w:eastAsia="Calibri" w:hAnsi="Calibri" w:cs="Calibri"/>
          <w:b/>
          <w:bCs/>
          <w:kern w:val="0"/>
          <w:sz w:val="22"/>
          <w:szCs w:val="22"/>
          <w:lang w:val="pl-PL" w:eastAsia="en-US" w:bidi="ar-SA"/>
        </w:rPr>
        <w:t>.</w:t>
      </w:r>
    </w:p>
    <w:p w14:paraId="3362A46B" w14:textId="77777777" w:rsidR="000E2ED1" w:rsidRPr="00DA537B" w:rsidRDefault="000E2ED1" w:rsidP="000E2ED1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</w:pPr>
      <w:r w:rsidRPr="00DA537B"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>Typ, model (podać):………………………………………………</w:t>
      </w:r>
    </w:p>
    <w:p w14:paraId="6A4A5FB4" w14:textId="77777777" w:rsidR="000E2ED1" w:rsidRPr="00DA537B" w:rsidRDefault="000E2ED1" w:rsidP="000E2ED1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</w:pPr>
      <w:r w:rsidRPr="00DA537B"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>Producent (podać):……………………………………………….</w:t>
      </w:r>
    </w:p>
    <w:p w14:paraId="42467D7E" w14:textId="77777777" w:rsidR="000E2ED1" w:rsidRDefault="000E2ED1" w:rsidP="000E2ED1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</w:pPr>
      <w:r w:rsidRPr="00DA537B"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>Rok produkcji (podać</w:t>
      </w:r>
      <w:r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>: nie starszy niż 2023</w:t>
      </w:r>
      <w:r w:rsidRPr="00DA537B">
        <w:rPr>
          <w:rFonts w:ascii="Calibri" w:eastAsia="Calibri" w:hAnsi="Calibri" w:cs="Calibri"/>
          <w:kern w:val="0"/>
          <w:sz w:val="20"/>
          <w:szCs w:val="20"/>
          <w:lang w:val="pl-PL" w:eastAsia="en-US" w:bidi="ar-SA"/>
        </w:rPr>
        <w:t>):………………………………………….</w:t>
      </w:r>
    </w:p>
    <w:p w14:paraId="25492357" w14:textId="77777777" w:rsidR="00166315" w:rsidRPr="00166315" w:rsidRDefault="00166315" w:rsidP="00166315">
      <w:pPr>
        <w:widowControl/>
        <w:suppressAutoHyphens w:val="0"/>
        <w:spacing w:line="280" w:lineRule="exact"/>
        <w:textAlignment w:val="auto"/>
        <w:rPr>
          <w:rFonts w:ascii="GE Inspira" w:eastAsia="Times" w:hAnsi="GE Inspira" w:cs="Times New Roman"/>
          <w:kern w:val="8"/>
          <w:sz w:val="22"/>
          <w:szCs w:val="22"/>
          <w:lang w:val="pl-PL" w:eastAsia="en-US" w:bidi="ar-SA"/>
        </w:rPr>
      </w:pP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6356"/>
        <w:gridCol w:w="1296"/>
        <w:gridCol w:w="1873"/>
      </w:tblGrid>
      <w:tr w:rsidR="00166315" w:rsidRPr="00166315" w14:paraId="21534E73" w14:textId="77777777" w:rsidTr="00FC613C">
        <w:trPr>
          <w:cantSplit/>
          <w:trHeight w:val="148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D8EE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b/>
                <w:kern w:val="8"/>
                <w:sz w:val="18"/>
                <w:szCs w:val="18"/>
                <w:lang w:val="pl-PL" w:eastAsia="en-US" w:bidi="ar-SA"/>
              </w:rPr>
            </w:pPr>
          </w:p>
          <w:p w14:paraId="2BC02D0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Lp</w:t>
            </w:r>
            <w:proofErr w:type="spellEnd"/>
            <w:r w:rsidRPr="00166315"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B473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</w:pPr>
          </w:p>
          <w:p w14:paraId="2838279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Opis</w:t>
            </w:r>
            <w:proofErr w:type="spellEnd"/>
            <w:r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parametru</w:t>
            </w:r>
            <w:proofErr w:type="spellEnd"/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86562" w14:textId="77777777" w:rsidR="00166315" w:rsidRPr="00166315" w:rsidRDefault="00166315" w:rsidP="0016631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Parametr</w:t>
            </w:r>
            <w:proofErr w:type="spellEnd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wymagany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F20D546" w14:textId="2759FC9E" w:rsidR="00166315" w:rsidRPr="00166315" w:rsidRDefault="00166315" w:rsidP="00B65ABC">
            <w:pPr>
              <w:spacing w:line="240" w:lineRule="auto"/>
              <w:jc w:val="center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>Parametry</w:t>
            </w:r>
            <w:proofErr w:type="spellEnd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>oceniane</w:t>
            </w:r>
            <w:proofErr w:type="spellEnd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>opisano</w:t>
            </w:r>
            <w:proofErr w:type="spellEnd"/>
            <w:r w:rsidRPr="00166315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2B053" w14:textId="0B6EBA52" w:rsidR="00166315" w:rsidRPr="00166315" w:rsidRDefault="00166315" w:rsidP="00166315">
            <w:pPr>
              <w:widowControl/>
              <w:suppressAutoHyphens w:val="0"/>
              <w:spacing w:line="240" w:lineRule="auto"/>
              <w:ind w:left="116" w:hanging="116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Parametr</w:t>
            </w:r>
            <w:proofErr w:type="spellEnd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oferowany</w:t>
            </w:r>
            <w:proofErr w:type="spellEnd"/>
            <w:r w:rsidRPr="0016631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166315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(</w:t>
            </w:r>
            <w:proofErr w:type="spellStart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>podać</w:t>
            </w:r>
            <w:proofErr w:type="spellEnd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>opis</w:t>
            </w:r>
            <w:proofErr w:type="spellEnd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>oferowanego</w:t>
            </w:r>
            <w:proofErr w:type="spellEnd"/>
            <w:r w:rsidR="00B65ABC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66315">
              <w:rPr>
                <w:rFonts w:ascii="Calibri" w:eastAsia="Calibri" w:hAnsi="Calibri" w:cs="Calibri"/>
                <w:bCs/>
                <w:i/>
                <w:sz w:val="16"/>
                <w:szCs w:val="16"/>
              </w:rPr>
              <w:t>parametru</w:t>
            </w:r>
            <w:proofErr w:type="spellEnd"/>
            <w:r w:rsidRPr="00166315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)</w:t>
            </w:r>
          </w:p>
        </w:tc>
      </w:tr>
      <w:tr w:rsidR="00166315" w:rsidRPr="00166315" w14:paraId="45968774" w14:textId="77777777" w:rsidTr="00166315">
        <w:trPr>
          <w:cantSplit/>
          <w:trHeight w:val="33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553A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Parametry</w:t>
            </w:r>
            <w:proofErr w:type="spellEnd"/>
            <w:r w:rsidRPr="00166315"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b/>
                <w:kern w:val="8"/>
                <w:sz w:val="18"/>
                <w:szCs w:val="18"/>
                <w:lang w:val="en-US" w:eastAsia="en-US" w:bidi="ar-SA"/>
              </w:rPr>
              <w:t>ogólne</w:t>
            </w:r>
            <w:proofErr w:type="spellEnd"/>
          </w:p>
        </w:tc>
      </w:tr>
      <w:tr w:rsidR="00166315" w:rsidRPr="00166315" w14:paraId="7D639931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54E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184CC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Aparat do znieczulania ogólnego noworodków, dzieci i dorosłych 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0869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8FC4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D76A305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8E5B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0" w:name="_Hlk160436868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23DBB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pl-PL" w:bidi="ar-SA"/>
              </w:rPr>
            </w:pPr>
            <w:bookmarkStart w:id="1" w:name="OLE_LINK1"/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Aparat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jezdny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 </w:t>
            </w:r>
            <w:bookmarkEnd w:id="1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7001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F49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2AEA492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8BFF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88B8B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Aparat wyposażony w 4 koła z hamulcem centralnym minimum dwóch kół przednich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E2B2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AB1A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61ADAC9F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C386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C8636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Zasilanie dostosowane do 230 V 50 Hz,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5817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50E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719B193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2F8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E067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Wbudowane fabrycznie gniazda elektryczne 230 V (minimum 3 gniazda)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0962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D1BA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1CDDD2A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E365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7443B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Indywidualne, automatyczne bezpieczniki gniazd elektrycznych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14DB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068B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353FC4A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A864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EFCFB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C0E3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91B9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BAF554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2A91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D4A65" w14:textId="77777777" w:rsidR="00166315" w:rsidRPr="00166315" w:rsidRDefault="00166315" w:rsidP="00166315">
            <w:pPr>
              <w:widowControl/>
              <w:shd w:val="clear" w:color="auto" w:fill="FFFFFF"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Zasilanie w gazy (O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, N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O, powietrze) z centralnej sieci szpitalnej.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Wyświetlanie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ciśnień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sieci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butli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na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ekranie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aparatu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BCE5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7F50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AF2AE65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287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7FC0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Awaryjne zasilanie gazowego z 10 l butli (O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i N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O)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651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308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A5FBC6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91C21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8E3B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Węże wysokociśnieniowe (O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, N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O, powietrze) kodowane odpowiednimi kolorami o dł. min. 5 m.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F45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BCBA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78CEEEE" w14:textId="77777777" w:rsidTr="00FC613C">
        <w:trPr>
          <w:cantSplit/>
          <w:trHeight w:val="357"/>
          <w:jc w:val="center"/>
        </w:trPr>
        <w:tc>
          <w:tcPr>
            <w:tcW w:w="40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B77E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3095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Precyzyjne elektroniczne przepływomierze tlenu, podtlenku azotu i powietrza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A528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DE6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01DDD01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727D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0DF1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Szybka skokowa zmiana stężeń O2 i przepływów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B49C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B0C2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BDBE1EF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448F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081F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Kalibracja przepływomierzy dostosowana do znieczulania z niskimi i minimalnymi przepływami gazów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62D1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D38E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39BA475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771A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F053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Wbudowany przepływomierz tlenu, niezależny od układu okrężnego,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br/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 regulowanym przepływem tlenu minimum do 10 l/min.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876E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59CC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107CAD7" w14:textId="77777777" w:rsidTr="00FC613C">
        <w:trPr>
          <w:cantSplit/>
          <w:trHeight w:val="33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D82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0F3C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Elektroniczny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mieszalnik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gazów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43E0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C899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DDCC813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D512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0189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System automatycznego utrzymywania stężenia tlenu w mieszaninie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br/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z podtlenkiem azotu na poziomie minimum 25%. 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C5E1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6D8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30CA562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4756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94EB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Wbudowana regulowana zastawka nadciśnieniowa APL wentylacji ręcznej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330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636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9019271" w14:textId="77777777" w:rsidTr="00FC613C">
        <w:trPr>
          <w:cantSplit/>
          <w:trHeight w:val="357"/>
          <w:jc w:val="center"/>
        </w:trPr>
        <w:tc>
          <w:tcPr>
            <w:tcW w:w="40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160F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1BEB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Aparat wyposażony w blat do pisania i minimum jedną szufladę na akcesoria zamykaną na kluczyk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D79C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562F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46B112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B93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52D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Wbudowane oświetlenie blatu z regulacją natężenia światła.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957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9E46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A8863D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E4D6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B42E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Światło typu LED z płynną regulacją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2686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BA15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0"/>
      <w:tr w:rsidR="00166315" w:rsidRPr="00166315" w14:paraId="6DBF12F4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BDB0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Układ</w:t>
            </w:r>
            <w:proofErr w:type="spellEnd"/>
            <w:r w:rsidRPr="00166315"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oddechowy</w:t>
            </w:r>
            <w:proofErr w:type="spellEnd"/>
          </w:p>
        </w:tc>
      </w:tr>
      <w:tr w:rsidR="00166315" w:rsidRPr="00166315" w14:paraId="42DA892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7124D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2" w:name="_Hlk160436966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5F0F5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Kompaktowy układ oddechowy okrężny do wentylacji dzieci i dorosłych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D0C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C349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88A87E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7B0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D8A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podłączenia układów bezzastawkowych bez ingerencji w układ okrężny aparatu.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7C80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23E3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B4DC02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C3EF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B33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Obejście tlenowe o dużej wydajności: zakres minimum: od 25 l/min. do 75 l/min.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21A2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1D1E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279D35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0F44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217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Pochłaniacz dwutlenku węgla, wielokrotnego użytku, o budowie przeziernej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br/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i pojemności wynoszącej maksymalnie 1,4 l.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955C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BB4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4927E7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E435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49E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Możliwość używania zamiennie pochłaniaczy wielorazowych i jednorazowych.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F448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344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5BE65BF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9DDA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8AA94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Wymiana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bez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stosowania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narzędzi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4CCF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822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AB520D2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2593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44D1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769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7ABC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7F9ED2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8EEF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4F31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br/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5 m z wtyczką do gazów kolumny)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EA66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195B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2EC7230" w14:textId="77777777" w:rsidTr="00FC613C">
        <w:trPr>
          <w:cantSplit/>
          <w:trHeight w:val="206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5F8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DD6D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443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E7FE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5C842EB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960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91DF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automatycznej oceny zużycia środka wziewnego w godzinie znieczulenia z podaniem kosztu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ECE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1E69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3D89FE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BE1D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42FA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Oprogramowanie umożliwiające nastawy zapobiegające powstawaniu mieszaniny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hipoksycznej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5E4C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6737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498518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5A0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D59F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Układ oddechowy kompaktowy o prostej budowie umożliwiającej łatwą wymianę i sterylizację, pozbawiony lateksu.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26B1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3614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6B86D24B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CE61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2BFD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Nadający się do sterylizacji w autoklawie.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7692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9344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bookmarkEnd w:id="2"/>
      <w:tr w:rsidR="00166315" w:rsidRPr="00166315" w14:paraId="2BEB460C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E6D1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Respirator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anestetyczny</w:t>
            </w:r>
            <w:proofErr w:type="spellEnd"/>
          </w:p>
        </w:tc>
      </w:tr>
      <w:tr w:rsidR="00166315" w:rsidRPr="00166315" w14:paraId="7ADF28E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138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3" w:name="_Hlk160437022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DB5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Tryb wentylacji ciśnieniowo – zmienny (PC).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456F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986A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324496B4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124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6875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Tryb wentylacji objętościowo – zmienny (VC).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380E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6004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6EEBE5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6501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BF80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Tryby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z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gwarantowaną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objętością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AED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B36B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7670B5A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910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0A4B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Synchronizowana przerywana wentylacja wymuszona (SIMV) w trybie objętościowo – zmiennym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AEA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F2B8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36852B8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B660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59DF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Synchronizowana przerywana wentylacja wymuszona (SIMV) w trybie ciśnieniowo – zmiennym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ADA8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E9BA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55987C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2E0A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1835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Synchronizowana przerywana wentylacja wymuszona (SIMV) w trybie ciśnieniowo zmiennym z gwarantowaną objętością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998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2A17239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42B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AA9D61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E64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52D75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Tryb wentylacji wspomaganej ciśnieniem (tzw.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Pressure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Support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) z automatycznym włączeniem wentylacji zapasowej po wystąpieniu alarmu bezdechu respiratora.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Czułość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wyzwalania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przepływowego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min. 0,2-10 l/min.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A34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E3A2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DD21B6C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6133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C9C1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Tryb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wentylacji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CPAP+PSV.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208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4EDC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09A565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2BFF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8C3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Tryb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wentylacji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ręczny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209F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6AC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191EFE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F147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19A7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Aparat wyposażony w tryb pracy w krążeniu pozaustrojowym, zapewniający: wentylację ręczną w krążeniu pozaustrojowym z zawieszeniem alarmów objętości, bezdechu, częstości oddechów i CO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informację na ekranie respiratora o włączonym trybie pracy w krążeniu pozaustrojowym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F6A4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DBFB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CE67B4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E6CB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E11B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Pauza w przepływie gazów do 1 min. w trybie wentylacji ręcznej i mechanicznej.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B1DE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81BF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D95440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4E9E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E0DE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Automatyczna wielostopniowa rekrutacja pęcherzyków płucnych programowana i obrazowana na ekranie respiratora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E9C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593C74D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B533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1097F78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F4D3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1B88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1F24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62A9888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890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8D8534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BDFA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F16C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Łatwe przełączanie wentylacji ręcznej na mechaniczną i wentylacji mechanicznej 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br/>
              <w:t>na ręczną.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AA53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11AA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B3343F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ED5A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851B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Przełączanie mechaniczne przy pomocy dźwigni 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3F40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6B2B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B88549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23B2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3653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Zakres regulacji stosunku wdechu do wydechu: minimum 2:1 ÷ 1:4.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F9F7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5F7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7DA621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AC7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37235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Zakres regulacji częstości oddechu w trybie wentylacji ciśnieniowo-zmiennej i objętościowo-zmiennej, minimum 4 ÷ 100 oddechów / min.  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12EA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7768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147D8F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313A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4F58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Zakres regulacji objętości oddechowej w trybie wentylacji objętościowo-zmiennej: minimum 20 ÷ 1500 ml.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D424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42A4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6AC978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35E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CD08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Zakres objętości oddechowej w trybie wentylacji ciśnieniowo-zmiennej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                       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lub objętościowo zmiennej: minimum 5 ÷ 1500 ml.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F32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F69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9FDF47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E4CF1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AA22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Zakres regulacji dodatniego ciśnienia końcowo-wydechowego (PEEP), minimum 4÷25 cm H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>2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O.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B7B8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E96D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1A51688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99B0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D552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Zakres regulacji Plateau wdechu: minimum 5 ÷ 60 % czasu wdechu.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8B8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D125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3"/>
      <w:tr w:rsidR="00166315" w:rsidRPr="00166315" w14:paraId="1582D437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161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System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alarmów</w:t>
            </w:r>
            <w:proofErr w:type="spellEnd"/>
          </w:p>
        </w:tc>
      </w:tr>
      <w:tr w:rsidR="00166315" w:rsidRPr="00166315" w14:paraId="0540C6F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4039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4" w:name="_Hlk160438488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BA2B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Alarm niskiej objętości minutowej (MV)  i  objętości oddechowej (TV).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ED41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AA53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36A79CA8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D83A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EDD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Alarmy TV z regulowanymi progami górnym i dolnym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157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582C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110A2A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CF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BF53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Alarm minimalnego i maksymalnego ciśnienia wdechowego.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B783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3D5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FB7B52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C79C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84EA4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Alarm Apnea.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DA0F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46D0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134818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E876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DE85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Alarm braku zasilania w energię elektryczną.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63A1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FC6A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2564262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07B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3DD4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Alarm braku zasilania w gazy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DF3C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D9EE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4"/>
      <w:tr w:rsidR="00166315" w:rsidRPr="00166315" w14:paraId="311B675B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D9F7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Pomiary</w:t>
            </w:r>
            <w:proofErr w:type="spellEnd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i</w:t>
            </w:r>
            <w:proofErr w:type="spellEnd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obrazowanie</w:t>
            </w:r>
            <w:proofErr w:type="spellEnd"/>
          </w:p>
        </w:tc>
      </w:tr>
      <w:tr w:rsidR="00166315" w:rsidRPr="00166315" w14:paraId="24A6680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8E0B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5" w:name="_Hlk160438561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140A5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Pomiar stężenia tlenu w gazach oddechowych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9B8F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5FA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12D725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275E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27EE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objętości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oddechowej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(TV).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54A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E7F7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6CCB08B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8599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18B2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objętości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minutowej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(MV).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387A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88FA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6253A5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DB66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AD16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częstości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oddechu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0234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145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FC75F8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CAE9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2C88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szczytowego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853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A3BD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019881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9B55D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F5E0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średniego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79AB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8678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00DD95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64AC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49C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Plateau.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EF5F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034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17F303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7C5E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127C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Pomiar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PEEP.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0FCB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B4A5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F68D9E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879B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C72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Pomiar stężenia wdechowego i wydechowego tlenu w gazach oddechowych metodą paramagnetyczną.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12E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987B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499E85C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CBCB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FEF0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Pomiar stężenia gazów i środków anestetycznych (podtlenku azotu,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sevofluranu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,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desfluranu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,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isofluranu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) w mieszaninie wdechowej i wydechowej.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03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45A5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79804E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3F2E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A6DD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Automatyczna identyfikacja anestetyku wziewnego i analiza MAC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                             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 uwzględnieniem wieku pacjenta.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3EC5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20A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B31350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1086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B51C0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Ekran kolorowy LCD, dotykowy, do nastaw i prezentacji parametrów wentylacji i krzywych.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E46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713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7637FD3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C85D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8693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Przekątna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ekranu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: minimum 15".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6AF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BA05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96CFFF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A76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20DE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Rozdzielczość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: minimum 1024 x 768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pikseli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B6D7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4653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49ACE1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5B8D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7C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Ekran główny respiratora niewbudowany w korpus aparatu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631A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C057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624876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05D9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FD3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Ekran umieszczony na ruchomym wysięgniku z regulacją przesuwu </w:t>
            </w:r>
            <w:r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                         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 poziomie i kąta pochylenia.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7EF0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7B49F98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6479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7685C70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A57D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80D5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konfigurowania i zapamiętania minimum 4-ech niezależnych stron ekranu respiratora.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4E50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3F5C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1509B1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EE4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91A5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Min.  4 zapamiętywane na stałe strony konfiguracji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3C2E2" w14:textId="77777777" w:rsidR="00166315" w:rsidRPr="00166315" w:rsidRDefault="00166315" w:rsidP="00166315">
            <w:pPr>
              <w:widowControl/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8451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DB6DF4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B944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3710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Prezentacja wartości numerycznych i krzywej dynamicznej prężności CO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t xml:space="preserve">2 </w:t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vertAlign w:val="subscript"/>
                <w:lang w:val="pl-PL" w:eastAsia="ar-SA" w:bidi="ar-SA"/>
              </w:rPr>
              <w:br/>
            </w: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 strumieniu wdechowym i wydechowym.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1D9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F1F7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777AE2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EEAD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41474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Prezentacja koncentracji anestetyku wziewnego na wdechu i wydechu.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1630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03C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646C3D0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0E55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9EB0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Możliwość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obrazowania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krzywej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4C6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0C5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8DE0C8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CE3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A4AE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Prezentacja krzywej przepływu w drogach oddechowych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825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00CF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B21FD99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D56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FF23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Prezentacja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pętli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:</w:t>
            </w:r>
          </w:p>
          <w:p w14:paraId="3CAC219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-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ciśnienie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/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objętość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;</w:t>
            </w:r>
          </w:p>
          <w:p w14:paraId="3291702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-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przepływ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/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objętość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766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02AA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6C091C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ACC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2173D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Prezentacja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podatności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układu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>oddechowego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2890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FB3C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2AA8761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CA9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93B3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zapisania minimum jednej pętli spirometrycznej i jednej pętli wzorcowej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1E10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2DC4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1A4520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821D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C66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Możliwość zapisania więcej niż jednej pętli wzorcowej  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6A8C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58CB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07B74E3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C831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859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Prezentacja wartości ciśnienia gazów w instalacji szpitalnej na ekranie respiratora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B885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B37C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</w:p>
        </w:tc>
      </w:tr>
      <w:tr w:rsidR="00166315" w:rsidRPr="00166315" w14:paraId="60010339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8E8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BE45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Automatyczna kalkulacja parametrów wentylacji po wprowadzeniu masy pacjenta.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42E9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BD47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  <w:p w14:paraId="6A126D8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E49758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5957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40EC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Moduł pomiarów gazowych wyjmowany z aparatu.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807F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6B9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5FE34E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EFD23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1DEA4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Możliwość zastosowania w monitorze tego samego producenta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6F28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2DA5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5"/>
      <w:tr w:rsidR="00166315" w:rsidRPr="00166315" w14:paraId="29AFA2CF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FABD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Parownik</w:t>
            </w:r>
            <w:proofErr w:type="spellEnd"/>
          </w:p>
        </w:tc>
      </w:tr>
      <w:tr w:rsidR="00166315" w:rsidRPr="00166315" w14:paraId="1221338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59AE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6" w:name="_Hlk160438746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4FA4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Uchwyt dla minimum 2-ch parowników.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2EFA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1B74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68E8772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8AE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7C2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Możliwość podłączenia parownika do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sevofluranu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 i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desfluranu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 xml:space="preserve">. 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E62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B8F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202521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EE97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F7E4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Zabezpieczenie przed podaniem dwóch środków wziewnych równocześnie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B5F6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7B97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6"/>
      <w:tr w:rsidR="00166315" w:rsidRPr="00166315" w14:paraId="538D9E4A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4EB2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Ssak</w:t>
            </w:r>
            <w:proofErr w:type="spellEnd"/>
          </w:p>
        </w:tc>
      </w:tr>
      <w:tr w:rsidR="00166315" w:rsidRPr="00166315" w14:paraId="7EB5DDE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E716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7" w:name="_Hlk160438761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11AD8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Aparat wyposażony w wbudowany ssak inżektorowy z regulacja podciśnienia, z pojemnikami 1,0 l do wymiennych wkładów.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F7A5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5BD2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947381A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DC56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9B60A" w14:textId="12503D3D" w:rsidR="006018F1" w:rsidRPr="00166315" w:rsidRDefault="00166315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Wymienne wkłady: minimum 5 szt. (zestaw startowy).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9600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5771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7"/>
      <w:tr w:rsidR="00166315" w:rsidRPr="00166315" w14:paraId="2FB934FD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0098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System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testowania</w:t>
            </w:r>
            <w:proofErr w:type="spellEnd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aparatu</w:t>
            </w:r>
            <w:proofErr w:type="spellEnd"/>
          </w:p>
        </w:tc>
      </w:tr>
      <w:tr w:rsidR="00166315" w:rsidRPr="00166315" w14:paraId="5F0381F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29E4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8" w:name="_Hlk160438773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12B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Automatyczny lub automatyczny z interakcją z personelem test kontrolny aparatu, sprawdzający jego działanie.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AE4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908CD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C85998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D538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AD68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  <w:t>Dziennik testów kontrolnych prezentowany na ekranie aparatu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513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29A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01FDC4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F89D1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CC2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Wyposażenie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dodatkowe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1C01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063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A6E9C8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2574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C5E8" w14:textId="77777777" w:rsidR="006018F1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  <w:t xml:space="preserve">Konstrukcja aparatu umożliwiająca zainstalowanie kardiomonitora </w:t>
            </w:r>
          </w:p>
          <w:p w14:paraId="3EEAFD35" w14:textId="166A3249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  <w:t>w ergonomicznej dla personelu medycznego pozycji.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0BFD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D1A1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62F684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8AFE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1133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" w:hAnsi="Arial" w:cs="Arial"/>
                <w:kern w:val="8"/>
                <w:sz w:val="18"/>
                <w:szCs w:val="18"/>
                <w:lang w:val="pl-PL" w:eastAsia="ar-SA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  <w:t>Możliwość integracji z oprogramowaniem HIS w zakresie przesyłania danych.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578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9F6D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1BDD5D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135C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020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" w:hAnsi="Arial" w:cs="Arial"/>
                <w:kern w:val="8"/>
                <w:sz w:val="18"/>
                <w:szCs w:val="18"/>
                <w:lang w:val="en-US" w:eastAsia="ar-SA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 xml:space="preserve">Menu w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języku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polskim</w:t>
            </w:r>
            <w:proofErr w:type="spellEnd"/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FFEF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43E1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8"/>
      <w:tr w:rsidR="00166315" w:rsidRPr="00166315" w14:paraId="14C36062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14D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Kardiomonitor</w:t>
            </w:r>
            <w:proofErr w:type="spellEnd"/>
          </w:p>
        </w:tc>
      </w:tr>
      <w:tr w:rsidR="00166315" w:rsidRPr="00166315" w14:paraId="691C1AC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552A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9" w:name="_Hlk160445460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10D0A" w14:textId="77777777" w:rsidR="00166315" w:rsidRPr="00166315" w:rsidRDefault="00166315" w:rsidP="006018F1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jc w:val="both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Możliwość integracji z dostępnym klinicznym systemem informatycznym (CIS) producenta </w:t>
            </w:r>
            <w:r w:rsidRPr="00166315"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t>oferowanego systemu monitorowania pacjenta, w polskiej wersji językowej, umożliwiającym prowadzenie elektronicznej dokumentacji medycznej</w:t>
            </w:r>
            <w:r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i jej ciągłość w zakresie opieki około-intensywnej i około-operacyjnej, zapewniającym przynajmniej: automatyczną akwizycję parametrów życiowych </w:t>
            </w:r>
            <w:r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t>z oferowanych monitorów, ale także: respiratorów, aparatów do znieczulania, pomp infuzyjnych</w:t>
            </w:r>
            <w:r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</w:t>
            </w:r>
            <w:r w:rsidRPr="00166315">
              <w:rPr>
                <w:rFonts w:ascii="Calibri" w:eastAsia="Times" w:hAnsi="Calibri" w:cs="Calibri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i do terapii nerkozastępczej; dokumentację terapii płynowej i lekowej, obliczanie bilansu płynów, ocenę stanu pacjenta wg. znanych skal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E04D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C552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B4F621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C1B0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6F55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System monitorowania pacjenta o budowie kompaktowo-modułowej, w technologii wymiennych modułów podłączanych podczas pracy przez użytkownika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E5A2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469E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6D0BCA4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D56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FAC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zapewnia monitorowanie pacjenta stacjonarnie i w transporcie: pojedynczy monitor stacjonarno-transportowy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F8CC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5CE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D46020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1DEBB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8F37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wyposażony we wbudowaną ramę na min. 1 moduł rozszerzeń oraz dodatkową ramę do podłączenia min. 2 dodatkowych modułów pomiarowych.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4FE4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E18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737107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82FD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0238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Wszystkie elementy systemu monitorowania pacjenta chłodzone konwekcyjnie, pasywnie - bez użycia wentylatorów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F8C0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5CF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086B227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FDA4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4E9D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B00F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00DB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AFF1F0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5E1C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8CFB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Komunikacja z użytkownikiem w języku polskim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1374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4EB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F43C0B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69FC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19F0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wyposażony w tryb "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Standby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" - tymczasowe wstrzymanie monitorowania pacjenta oraz sygnalizowania alarmów, np. na czas toalety pacjenta lub badania diagnostycznego. 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Po wznowieniu monitorowania następuje kontynuacja monitorowania tego samego pacjenta bez utraty zapisanych danych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BF01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9AE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2A3591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52CE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8A70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wyposażony w konfigurowalny tryb nocny: uruchamiany automatycznie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wybranych przez użytkownika godzinach. Przełączenie w tryb nocny zapewnia min. obniżenie jasności ekranu oraz poziomu głośności alarmów.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BD2B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E976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E03196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D4E7A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F3F26" w14:textId="42100F47" w:rsidR="00166315" w:rsidRPr="00166315" w:rsidRDefault="00166315" w:rsidP="006018F1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Dostęp na ekranie monitora do kompletu dokumentacji: instrukcji obsługi wraz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65F9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DBB9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9"/>
      <w:tr w:rsidR="00166315" w:rsidRPr="00166315" w14:paraId="368FED3D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2541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Zasilanie</w:t>
            </w:r>
            <w:proofErr w:type="spellEnd"/>
          </w:p>
        </w:tc>
      </w:tr>
      <w:tr w:rsidR="00166315" w:rsidRPr="00166315" w14:paraId="4C57C7D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0790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0" w:name="_Hlk160445675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80751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Zasilanie sieciowe, zgodne z PN, dostosowane do 230V/50Hz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666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E24D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D988B8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A290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7B35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wyposażony w zasilanie akumulatorowe zapewniające przynajmniej 240 minut pracy na wypadek zaniku zasilania lub transportu. W czasie pracy na baterii parametry są wyświetlane na dużym ekranie monitora stacjonarno-transportowego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78AA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EFFC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10"/>
      <w:tr w:rsidR="00166315" w:rsidRPr="00166315" w14:paraId="46F890D7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E9AE1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pl-PL" w:eastAsia="ar-SA" w:bidi="ar-SA"/>
              </w:rPr>
              <w:t>Praca w sieci centralnego monitorowania</w:t>
            </w:r>
          </w:p>
        </w:tc>
      </w:tr>
      <w:tr w:rsidR="00166315" w:rsidRPr="00166315" w14:paraId="235AB77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5F8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  <w:bookmarkStart w:id="11" w:name="_Hlk160445692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356B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pracy w sieci centralnego monitorowania, zgodnej ze standardem Ethernet.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2E16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D2ED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3D748A0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FD09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433F0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946B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AD41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B7E145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A0D0C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366E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full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disclosure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00BE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48DB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55114F8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FA8C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72D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Monitory wyposażone w funkcję wysyłania parametrów życiowych monitorowanych pacjentów do zewnętrznych systemów, za pośrednictwem protokołu HL7. Funkcja realizowana bezpośrednio przez kardiomonitory lub dedykowany serwer komunikacyjny - ujęty w ofercie.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9EA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CEE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8E7A40E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4B3F4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85D2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Monitory umożliwiają zdalny podgląd ekranu innego kardiomonitora pracującego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B50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85D14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A95A7A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D741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C843C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9A36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E635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4329B5FA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D30C6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4C88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Monitory zapewniają automatyczne otwarcie ekranu zdalnego monitora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momencie wystąpienia zdarzenia alarmowego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D265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51F9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</w:tr>
      <w:tr w:rsidR="00166315" w:rsidRPr="00166315" w14:paraId="32265F6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14A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04CE6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drukowania krzywych, trendów graficznych i numerycznych na podłączonej do sieci centralnego monitorowania tradycyjnej drukarce laserowej - bez konieczności pośredniczenia centrali monitorującej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BB3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4240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</w:tr>
      <w:bookmarkEnd w:id="11"/>
      <w:tr w:rsidR="00166315" w:rsidRPr="00166315" w14:paraId="659817ED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7DEB9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Wymogi</w:t>
            </w:r>
            <w:proofErr w:type="spellEnd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 </w:t>
            </w: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funkcjonalne</w:t>
            </w:r>
            <w:proofErr w:type="spellEnd"/>
          </w:p>
        </w:tc>
      </w:tr>
      <w:tr w:rsidR="00166315" w:rsidRPr="00166315" w14:paraId="06C6107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ACC32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2" w:name="_Hlk160445711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5F9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stacjonarno-transportowy wyposażony w dotykowy ekran panoramiczny 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o przekątnej min. 15,6" i rozdzielczości min. 1366 x 768 pikseli.  Umożliwia wyświetlanie przynajmniej 12 krzywych dynamicznych jednocześnie i pełną obsługę funkcji monitorowania pacjenta. Rozmiar ekranu dostępny w czasie monitorowania transportowego min. 15,6".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93F3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ADC6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73E52E8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2962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6FF62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Możliwość podłączenia dodatkowego ekranu powielającego o przekątnej min. 19”.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Ekran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podłączany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z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wykorzystaniem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złącza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cyfrowego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0027A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052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758EBE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F486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A55A4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Obsługa kardiomonitora poprzez ekran dotykowy. Możliwość podłączenia czytnika kodów kreskowych (standardowych i QR) do portu USB.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4387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6F670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340F969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F9047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EE1EF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E8E7B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CB383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BBBAA8C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0C4D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C6FD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Możliwość wyboru spośród przynajmniej 16 różnych układów (widoków) ekranu, 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z możliwością edycji i zapisu przynajmniej 6 z nich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AFE4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A5AD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F277AC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786E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3" w:name="_Hlk160445764"/>
            <w:bookmarkEnd w:id="12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D6F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Dostępny tzw. ekran dużych liczb z możliwością podziału na 4 oraz 6 okien parametrów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4EA98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732E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456821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D5685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F153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stacjonarno-transportowy przystosowany do warunków transportowych, odporny na upadek z wysokości przynajmniej 0,25m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2E22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ECAC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107DD1E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96CB8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A9CE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stacjonarno-transportowy przystosowany do warunków transportowych, klasa odporności na zachlapanie wodą nie gorsza niż IPX2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B314F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F65B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70049979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B76FF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0DED0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stacjonarno-transportowy odporny przeciwko zachlapaniu i wnikaniu ciał stałych. Klasa odporności nie gorsza niż IP22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0CB05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9699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2C518DA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0AC11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604C9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Masa monitora stacjonarno-transportowego wraz z wbudowanym ekranem oraz akumulatorem nie przekracza 5,5 kg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24932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EC327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166315" w:rsidRPr="00166315" w14:paraId="6F95780E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1B61" w14:textId="77777777" w:rsidR="00166315" w:rsidRPr="00166315" w:rsidRDefault="00166315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B3EAA" w14:textId="77777777" w:rsidR="00166315" w:rsidRPr="00166315" w:rsidRDefault="00166315" w:rsidP="00166315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stacjonarno-transportowy umożliwia kontynuację monitorowania w czasie transportu przynajmniej następujących parametrów (zgodnie z ich wymogami opisanymi w dalszej części specyfikacji): EKG, SpO2, NIBP, 2x Temp., 2x IBP, </w:t>
            </w:r>
            <w:r w:rsidR="0034699C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 możliwością rozbudowy o pomiar CO2 w strumieniu bocznym, w zależności od podłączonych modułów pomiarowych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FE53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92036" w14:textId="77777777" w:rsidR="00166315" w:rsidRPr="00166315" w:rsidRDefault="00166315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13"/>
      <w:tr w:rsidR="00617C1F" w:rsidRPr="00166315" w14:paraId="380D413E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9304" w14:textId="77777777" w:rsidR="00617C1F" w:rsidRPr="00166315" w:rsidRDefault="00617C1F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3E9E1" w14:textId="77777777" w:rsidR="00617C1F" w:rsidRPr="00AB5F01" w:rsidRDefault="00617C1F" w:rsidP="004A045B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jc w:val="both"/>
              <w:textAlignment w:val="auto"/>
              <w:outlineLvl w:val="1"/>
              <w:rPr>
                <w:rFonts w:ascii="GE Inspira" w:eastAsia="Times" w:hAnsi="GE Inspira" w:cs="Times New Roman"/>
                <w:i/>
                <w:color w:val="000000"/>
                <w:kern w:val="8"/>
                <w:sz w:val="20"/>
                <w:szCs w:val="20"/>
                <w:lang w:val="pl-PL" w:eastAsia="en-US" w:bidi="ar-SA"/>
              </w:rPr>
            </w:pPr>
            <w:proofErr w:type="spellStart"/>
            <w:r w:rsidRPr="00AB5F01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Dostawa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wyjmowanego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modułu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gazowego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kompatybilnego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r w:rsidRPr="00AB5F01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br/>
            </w:r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z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posiadanymi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przez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Zamawiającego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kardiomonitorami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z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serii</w:t>
            </w:r>
            <w:proofErr w:type="spellEnd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Carescape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02604" w14:textId="77777777" w:rsidR="00617C1F" w:rsidRPr="00166315" w:rsidRDefault="00617C1F" w:rsidP="00CF6C50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F5A04" w14:textId="77777777" w:rsidR="00617C1F" w:rsidRPr="00166315" w:rsidRDefault="00617C1F" w:rsidP="00166315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617C1F" w:rsidRPr="00166315" w14:paraId="2670F654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CAFAD" w14:textId="77777777" w:rsidR="00617C1F" w:rsidRPr="00166315" w:rsidRDefault="00617C1F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C7CFB" w14:textId="77777777" w:rsidR="00617C1F" w:rsidRPr="00AB5F01" w:rsidRDefault="00617C1F" w:rsidP="00AB5F01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jc w:val="both"/>
              <w:textAlignment w:val="auto"/>
              <w:outlineLvl w:val="1"/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</w:pPr>
            <w:proofErr w:type="spellStart"/>
            <w:r w:rsidRPr="00AB5F01">
              <w:rPr>
                <w:rFonts w:eastAsia="Times" w:cs="Times New Roman"/>
                <w:i/>
                <w:kern w:val="8"/>
                <w:sz w:val="20"/>
                <w:szCs w:val="20"/>
                <w:lang w:eastAsia="en-US" w:bidi="ar-SA"/>
              </w:rPr>
              <w:t>O</w:t>
            </w:r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ferowan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e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aparat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y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do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znieczulania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są</w:t>
            </w:r>
            <w:proofErr w:type="spellEnd"/>
            <w:r w:rsidRPr="00AB5F01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kompatybiln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e</w:t>
            </w:r>
            <w:proofErr w:type="spellEnd"/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z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posiadanym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przez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Zamawiającego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klinicznym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systemem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informatycznym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Centricity</w:t>
            </w:r>
            <w:proofErr w:type="spellEnd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High </w:t>
            </w:r>
            <w:proofErr w:type="spellStart"/>
            <w:r w:rsidRPr="008C56AC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Acuity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369D9" w14:textId="77777777" w:rsidR="00617C1F" w:rsidRPr="00166315" w:rsidRDefault="00617C1F" w:rsidP="00CF6C50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07A4F" w14:textId="77777777" w:rsidR="00617C1F" w:rsidRPr="00166315" w:rsidRDefault="00617C1F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390010C" w14:textId="77777777" w:rsidTr="00166315">
        <w:trPr>
          <w:cantSplit/>
          <w:trHeight w:val="357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6AEE2" w14:textId="77777777" w:rsidR="00AB5F01" w:rsidRPr="00617C1F" w:rsidRDefault="00617C1F" w:rsidP="00AB5F01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b/>
                <w:kern w:val="8"/>
                <w:sz w:val="20"/>
                <w:szCs w:val="20"/>
                <w:lang w:val="en-US" w:eastAsia="en-US" w:bidi="ar-SA"/>
              </w:rPr>
            </w:pPr>
            <w:proofErr w:type="spellStart"/>
            <w:r w:rsidRPr="00617C1F">
              <w:rPr>
                <w:rFonts w:ascii="Arial" w:eastAsia="Calibri" w:hAnsi="Arial" w:cs="Arial"/>
                <w:b/>
                <w:kern w:val="8"/>
                <w:sz w:val="20"/>
                <w:szCs w:val="20"/>
                <w:lang w:val="en-US" w:eastAsia="ar-SA" w:bidi="ar-SA"/>
              </w:rPr>
              <w:t>Monitorowane</w:t>
            </w:r>
            <w:proofErr w:type="spellEnd"/>
            <w:r w:rsidRPr="00617C1F">
              <w:rPr>
                <w:rFonts w:ascii="Arial" w:eastAsia="Calibri" w:hAnsi="Arial" w:cs="Arial"/>
                <w:b/>
                <w:kern w:val="8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617C1F">
              <w:rPr>
                <w:rFonts w:ascii="Arial" w:eastAsia="Calibri" w:hAnsi="Arial" w:cs="Arial"/>
                <w:b/>
                <w:kern w:val="8"/>
                <w:sz w:val="20"/>
                <w:szCs w:val="20"/>
                <w:lang w:val="en-US" w:eastAsia="ar-SA" w:bidi="ar-SA"/>
              </w:rPr>
              <w:t>parametry</w:t>
            </w:r>
            <w:proofErr w:type="spellEnd"/>
          </w:p>
        </w:tc>
      </w:tr>
      <w:tr w:rsidR="00AB5F01" w:rsidRPr="00166315" w14:paraId="7502DE4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5073E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4" w:name="_Hlk160445856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3C637" w14:textId="77777777" w:rsidR="00AB5F01" w:rsidRPr="00166315" w:rsidRDefault="00AB5F01" w:rsidP="00AB5F01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80" w:lineRule="exact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EKG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0D0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80E8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BCB0DFE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57C2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9509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Monitorowanie przynajmniej 1 z 3, 7 i 12 odprowadzeń, z jakością diagnostyczną, 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w zależności od użytego przewodu EKG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4A77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848B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704EF4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49E05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EA0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3E71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4C56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037E18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7D36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C7B92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częstości akcji serca w zakresie min. 20 - 300 ud/min. z dokładnością +/- 1% lub +/- 1ud/min.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930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DC76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C670284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1450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F23F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W komplecie do każdego monitora: przewód do podłączenia 5- elektrod dla dorosłych i dzieci.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Długość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przewodów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przynajmniej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3m.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3B1F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E441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539F56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86BD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70BD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Analiza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arytmii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B02D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9A9F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2F99C89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7F1E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8901F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Wieloodprowadzeniowa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analiza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arytmii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E79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DFD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1BB7BB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7096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0F29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Analiza arytmii w przynajmniej 4 odprowadzeniach EKG jednocześnie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73E7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7884D44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1126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BF4284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6F3B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056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Zaawansowana analiza arytmii wg przynajmniej 12 definicji z rozpoznawaniem arytmii komorowych i przedsionkowych, w tym migotania przedsionków.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BFF23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7967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0CF040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E591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8A0E1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Analiza ST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089D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5D0F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247694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A4807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F2F5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Analiza odcinka ST w 12 odprowadzeniach jednocześnie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A869C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CDD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AC1F60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F91A6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395FA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Zakres pomiarowy analizy odcinka ST min. -15,0 -(+) 15,0 mm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D574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A5F9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17FE25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93487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0F6C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Oddech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4B65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13B6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B3ED83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ADEE0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504DA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Pomiar częstości oddechu metodą impedancyjną w zakresie min. 4-120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odd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/min.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7F1F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6C1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77883DB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9ADB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A2982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Prezentacja częstości oddechu oraz krzywej oddechowej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74CD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CEF63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39809D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728B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1211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Saturacja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(SpO2)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F1C77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3C20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77D15D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F7CBD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1387F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TruSignal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1582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0698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444CD63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BC2FA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3E3E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saturacji w zakresie min. 70-100%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B3B7B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5D5B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273D86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04C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96B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Prezentacja wartości saturacji, krzywej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pletyzmograficznej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i wskaźnika perfuzji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1B73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E461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B7FB0D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14DB7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F5A25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wyboru SPO2 jako źródła częstości rytmu serca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2102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2E31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A206587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10C9D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C65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Modulacja dźwięku tętna przy zmianie wartości % SpO2.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DEC1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756F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2D4A7D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3A212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D3E98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W komplecie do każdego monitora: przewód podłączeniowy dł. min. 3m oraz wielorazowy czujnik na palec dla dorosłych.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Oryginalne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akcesoria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pomiarowe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producenta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algorytmu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pomiarowego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70D9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0E817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BE8C2A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731F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4317D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metodą nieinwazyjną (NIBP)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45C8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B41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FD47380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119CD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794BA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199C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5B9665C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C4DE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47470D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C945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38C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tętniczego metodą oscylometryczną.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120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DFE0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47387A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9A120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72B3B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Pomiar ręczny na żądanie, ciągły przez określony czas oraz automatyczny.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Zakres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przedziałów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czasowych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w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trybie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automatycznym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przynajmniej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1 - 120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minut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251C6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DC8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2AFDFB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7C106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4D53A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Funkcja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stazy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żylnej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4E7E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C22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C2DB861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5245A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05A21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zaprogramowania własnych cykli pomiarowych NIBP, składających się z min. 4 kroków z możliwością indywidualnej konfiguracji liczby powtórzeń oraz interwału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E6EC4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C39A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F8228E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37D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6A57F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w zakresie przynajmniej od 10 mmHg dla ciśnienia rozkurczowego do 250 mmHg dla ciśnienia skurczowego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EA47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8A6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15A8A9A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7ED7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26C8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288D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A2A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139EE9E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0D245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F64CE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W komplecie do każdego monitora: wężyk z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szybkozłączką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dla dorosłych/dzieci oraz 3 mankiety wielorazowe dla dorosłych (w 3 różnych rozmiarach).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AEE1C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664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330EF9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CCB0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032A3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Temperatura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36D20" w14:textId="77777777" w:rsidR="00AB5F01" w:rsidRPr="00166315" w:rsidRDefault="00AB5F01" w:rsidP="00AB5F01">
            <w:pPr>
              <w:widowControl/>
              <w:suppressAutoHyphens w:val="0"/>
              <w:spacing w:after="160"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0E8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76D2D63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EE5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8621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Pomiar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temperatury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w 2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kanałach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6E43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9F17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6BF61D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2EB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41726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Jednoczesna prezentacja w polu parametru temperatury na ekranie głównym monitora stacjonarnego min. 2 wartości temperatury jednocześnie: obu zmierzonych lub jednej zmierzonej i różnicy temperatur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8B92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4481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659AC6B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A599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BF51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ustawienia etykiet temperatur wg. miejsca pomiaru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453D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0B7D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806EDD3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83B45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69AF5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komplecie do każdego monitora: wielorazowy czujnik temperatury skóry dla dorosłych..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3A17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71540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E7C199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E8C9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588D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metodą inwazyjną (IBP)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EBE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A25E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F49444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31B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6D383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metodą inwazyjną w 2 kanałach. Możliwość rozbudowy do przynajmniej 3 kanałów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D16B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3BC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A66926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DF81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6EF0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ciśnienia w zakresie przynajmniej -20 do 320 mmHg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0D77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5ACE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AA4982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3325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2DA3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96F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F89C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9E1C86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D6D8E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09736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parametru PPV: automatyczny lub ręczny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5B60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5FCD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D7F663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2F542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7C1F6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E42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60B6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1DAF540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083F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D24E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komplecie do każdego monitora przewody do podłączenia przetworników Edwards (po jednym na każdy oferowany kanał)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D51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6127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748EAE9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80AA7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8EA6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Pomiar zwiotczenia mięśni (NMT). Pomiar zwiotczenia mięśni przez monitorowanie transmisji nerwowo-mięśniowej NMT z wykorzystaniem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mechanosensora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lub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elektrosensora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31F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09C7013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72FF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</w:tr>
      <w:tr w:rsidR="00AB5F01" w:rsidRPr="00166315" w14:paraId="6374129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92A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E2E37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wyboru pomiędzy przynajmniej dwoma metodami pomiarowymi, wykorzystującymi czujniki w różnych technologiach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FB3E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2FB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E99701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9EA8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7BF78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Dostępne tryby stymulacji min.: ST, DBS, TET,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ToF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4AD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9EC4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0073DA8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D696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1B92F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Kardiomonitor wyposażony w funkcje: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 xml:space="preserve">- tzw.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Hookup-advisor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- narzędzie ekranowe podpowiadające rozmieszczenie elektrod oraz umożliwiające weryfikację prawidłowego ich kontaktu ze skórą pacjenta,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- dźwiękową sygnalizację stymulacji,</w:t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  <w:t>- dźwiękową sygnalizację ustępowania blokady.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A2A53" w14:textId="77777777" w:rsidR="00AB5F01" w:rsidRPr="00166315" w:rsidRDefault="00AB5F01" w:rsidP="00AB5F01">
            <w:pPr>
              <w:widowControl/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</w:pPr>
            <w:r w:rsidRPr="00166315"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67B5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7C9458C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52993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8DA8C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5074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5D1A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01935D8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DB6C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66A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komplecie do każdego monitora: przewód i czujnik do stosowania na dłoni dla pacjentów dorosłych oraz min. 30 elektrod do stymulacji.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1DD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3712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DB72D5C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744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10609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Pomiar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głębokości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uśpienia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684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B346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74D5DB8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4149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9DFA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głębokości uśpienia metodą Entropii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4830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070332C2" w14:textId="77777777" w:rsidR="00AB5F01" w:rsidRPr="00166315" w:rsidRDefault="00AB5F01" w:rsidP="00AB5F01">
            <w:pPr>
              <w:widowControl/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Arial" w:eastAsia="Calibri" w:hAnsi="Arial" w:cs="Arial"/>
                <w:kern w:val="8"/>
                <w:sz w:val="18"/>
                <w:szCs w:val="18"/>
                <w:lang w:val="en-US" w:eastAsia="ar-SA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EEB1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AEDED08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348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A2E31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B1E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4CF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FD64BC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B406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33404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F741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4784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3F6B56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D600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FAD7F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W komplecie do każdego monitora: przewód i 25 czujników na czoło dla pacjentów dorosłych. 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F9F6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30A1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14"/>
      <w:tr w:rsidR="00AB5F01" w:rsidRPr="00166315" w14:paraId="0901F60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9E7DE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0F303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Pomiar głębokości analgezji. Pomiar realizowany za pośrednictwem czujnika saturacji - bez konieczności stosowania dodatkowych akcesoriów zużywalnych.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778E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  <w:p w14:paraId="55C531D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51637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127D9F4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921C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2571E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Wynik pomiaru prezentowany na wspólnym wykresie z pomiarem głębokości uśpienia, w sposób ułatwiający prowadzenie znieczulenia i optymalizację zużycia środków znieczulających.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4E2B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2AAAE8B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D901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</w:tr>
      <w:tr w:rsidR="00AB5F01" w:rsidRPr="00166315" w14:paraId="0B43D26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3D68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A0FA6" w14:textId="77777777" w:rsidR="00AB5F01" w:rsidRPr="00166315" w:rsidRDefault="00AB5F01" w:rsidP="00B65ABC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W komplecie do każdego kardiomonitora komplet akcesoriów do pomiaru u min. 300 pacjentów.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310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2F64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pl-PL" w:eastAsia="en-US" w:bidi="ar-SA"/>
              </w:rPr>
            </w:pPr>
          </w:p>
        </w:tc>
      </w:tr>
      <w:tr w:rsidR="00AB5F01" w:rsidRPr="00166315" w14:paraId="2BC29FE0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0F9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Alarmy</w:t>
            </w:r>
            <w:proofErr w:type="spellEnd"/>
          </w:p>
        </w:tc>
      </w:tr>
      <w:tr w:rsidR="00AB5F01" w:rsidRPr="00166315" w14:paraId="11593A5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23CC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5" w:name="_Hlk160446411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637A2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Alarmy przynajmniej 3-stopniowe, sygnalizowane wizualnie i dźwiękowo,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z wizualizacją parametru, który wywołał alarm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0F24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A8E7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6768772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CDEE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E625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en-US" w:eastAsia="pl-PL" w:bidi="ar-SA"/>
              </w:rPr>
            </w:pP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Możliwość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zmiany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priorytetu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en-US" w:eastAsia="en-US" w:bidi="ar-SA"/>
              </w:rPr>
              <w:t>alarmów</w:t>
            </w:r>
            <w:proofErr w:type="spellEnd"/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0C9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0771D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1DB143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7208A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83F34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Alarmy techniczne z podaniem przyczyny.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D651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CDE5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2E4F24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33C94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7AEE3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Granice alarmowe regulowane ręcznie - przez użytkownika, i automatycznie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(na żądanie) - na podstawie bieżących wartości parametrów.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D325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1722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431182D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F326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E9F6C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Granice regulowane indywidualnie - w oknach poszczególnych parametrów - oraz zbiorczo, w oknie ustawień alarmów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6B69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6CBB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305EB2F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925C6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B1C4F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wyciszenia alarmów. Czas wyciszenia alarmów przynajmniej: 2 minuty oraz bez limitu czasowego.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9D47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7F9C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1DD6CD8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C4424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ED94B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bezdotykowego wyciszania alarmów gestem - poprzez odpowiedni ruch dłonią przed ekranem kardiomonitora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DF4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C4FC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562B34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5755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0A8F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5FC5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F9C0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403F625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59897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BD05E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rozbudowy kardiomonitora o funkcję zaawansowanych alarmów ułatwiających diagnozowanie trudnych stanów klinicznych poprzez informowanie personelu o jednoczasowym zajściu kilku warunków brzegowych - konfigurowanych przez użytkownika - związanych z wartościami różnych mierzonych parametrów.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5751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Tak – 10 pkt</w:t>
            </w:r>
          </w:p>
          <w:p w14:paraId="175B115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  <w:t>Nie – 0 pkt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4D960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15"/>
      <w:tr w:rsidR="00AB5F01" w:rsidRPr="00166315" w14:paraId="436B58CB" w14:textId="77777777" w:rsidTr="00166315">
        <w:trPr>
          <w:cantSplit/>
          <w:trHeight w:val="379"/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9AB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 xml:space="preserve">Analiza </w:t>
            </w:r>
            <w:proofErr w:type="spellStart"/>
            <w:r w:rsidRPr="00166315">
              <w:rPr>
                <w:rFonts w:ascii="Arial" w:eastAsia="Calibri" w:hAnsi="Arial" w:cs="Arial"/>
                <w:b/>
                <w:bCs/>
                <w:kern w:val="8"/>
                <w:sz w:val="18"/>
                <w:szCs w:val="18"/>
                <w:lang w:val="en-US" w:eastAsia="ar-SA" w:bidi="ar-SA"/>
              </w:rPr>
              <w:t>danych</w:t>
            </w:r>
            <w:proofErr w:type="spellEnd"/>
          </w:p>
        </w:tc>
      </w:tr>
      <w:tr w:rsidR="00AB5F01" w:rsidRPr="00166315" w14:paraId="33B486B8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A418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6" w:name="_Hlk160446461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1CE4F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Stanowisko monitorowania pacjenta wyposażone w pamięć trendów z ostatnich min. 96 godzin.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491D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3A4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C545AF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10674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1602A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Monitor wyposażony w pamięć przynajmniej 168 godzin trendów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304CC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BE245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3DA05A7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19C46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bookmarkStart w:id="17" w:name="_Hlk160446491"/>
            <w:bookmarkEnd w:id="16"/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529A2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Możliwość wyświetlania trendów w formie graficznej i tabelarycznej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AFD9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FB6F1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1E52BA46" w14:textId="77777777" w:rsidTr="00FC613C">
        <w:trPr>
          <w:cantSplit/>
          <w:trHeight w:val="379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7CA2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34F5A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z możliwością rozbudowy o funkcje wczesnego ostrzegania wg skali NEWS2 i MEWS oraz funkcję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OxyCRG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oraz wbudowaną pamięć pełnych przebiegów dynamicznych Full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Disclosure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z min. 72 godzin dla przynajmniej: wszystkich przebiegów EKG, SpO2, Oddechu i 2x IBP.</w:t>
            </w: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FC0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D35B9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6812C4D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0CE84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6BE8D" w14:textId="77777777" w:rsidR="00AB5F01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Monitor wyposażony w funkcję przenoszenia konfiguracji oraz trendów parametrów życiowych pacjenta za pośrednictwem pamięci USB. Funkcja eksportu trendów zabezpieczona przed niepowołanym dostępem, trendy eksportowane w formie zanonimizowanej, zaszyfrowanej w formacie umożliwiającym odczyt </w:t>
            </w:r>
            <w:r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br/>
            </w:r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z wykorzystaniem pakietu MS Excel lub </w:t>
            </w:r>
            <w:proofErr w:type="spellStart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>Acrobat</w:t>
            </w:r>
            <w:proofErr w:type="spellEnd"/>
            <w:r w:rsidRPr="00166315"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  <w:t xml:space="preserve"> Reader.</w:t>
            </w:r>
          </w:p>
          <w:p w14:paraId="090441AA" w14:textId="77777777" w:rsidR="00B65ABC" w:rsidRDefault="00B65ABC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</w:p>
          <w:p w14:paraId="58A5E099" w14:textId="77777777" w:rsidR="00B65ABC" w:rsidRDefault="00B65ABC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</w:p>
          <w:p w14:paraId="0DBF9BE9" w14:textId="77777777" w:rsidR="00B65ABC" w:rsidRPr="00166315" w:rsidRDefault="00B65ABC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8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CFA16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 New Roman" w:hAnsi="Arial" w:cs="Arial"/>
                <w:kern w:val="8"/>
                <w:sz w:val="18"/>
                <w:szCs w:val="18"/>
                <w:lang w:val="en-US" w:eastAsia="pl-PL" w:bidi="ar-SA"/>
              </w:rPr>
            </w:pPr>
            <w:r w:rsidRPr="00166315"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2D98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2EF0494D" w14:textId="77777777" w:rsidTr="00871944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486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0A895" w14:textId="77777777" w:rsidR="00AB5F01" w:rsidRPr="00166315" w:rsidRDefault="00AB5F01" w:rsidP="006018F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  <w:r w:rsidRPr="00CE193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pl-PL" w:eastAsia="en-US" w:bidi="ar-SA"/>
              </w:rPr>
              <w:t>Pozostałe wymagania:  warunki gwarancji i serwisu, szkolenia</w:t>
            </w:r>
          </w:p>
        </w:tc>
      </w:tr>
      <w:tr w:rsidR="00AB5F01" w:rsidRPr="00166315" w14:paraId="5DA050D4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8DB7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89C41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AC7F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pl-PL" w:eastAsia="en-US" w:bidi="ar-SA"/>
              </w:rPr>
              <w:t>Przeglądy techniczne oraz wszelkie czynności serwisowe w okresie trwania gwarancji</w:t>
            </w: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 w:rsidRPr="00AC7F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pl-PL" w:eastAsia="en-US" w:bidi="ar-SA"/>
              </w:rPr>
              <w:t>na koszt własny Wykonawcy przez autoryzowany serwis</w:t>
            </w: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val="pl-PL" w:eastAsia="en-US" w:bidi="ar-SA"/>
              </w:rPr>
              <w:t>lub ewentualnie inny podmiot upoważniony przez producenta</w:t>
            </w:r>
            <w:r w:rsidRPr="00AC7F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F47A6" w14:textId="068B9B48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C8392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193F559E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9B83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D2911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AC7F4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val="pl-PL" w:eastAsia="en-US" w:bidi="ar-SA"/>
              </w:rPr>
              <w:t>Zalecana przez Producenta częstotliwość wykonywanych przeglądów technicznych w okresie:</w:t>
            </w:r>
            <w:r w:rsidRPr="00AC7F4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val="pl-PL" w:eastAsia="en-US" w:bidi="ar-SA"/>
              </w:rPr>
              <w:br/>
              <w:t>- trwania gwarancji,</w:t>
            </w:r>
            <w:r w:rsidRPr="00AC7F4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val="pl-PL" w:eastAsia="en-US" w:bidi="ar-SA"/>
              </w:rPr>
              <w:br/>
              <w:t>- po gwarancji.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D3A2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Tak, podać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CE738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40E69509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550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FDEF0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AC7F4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val="pl-PL" w:eastAsia="en-US" w:bidi="ar-SA"/>
              </w:rPr>
              <w:t>Instrukcja w języku polskim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889C1" w14:textId="311B62BE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9B8E3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067BF8C2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0596D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39EA9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AC7F44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:lang w:val="pl-PL" w:eastAsia="en-US" w:bidi="ar-SA"/>
              </w:rPr>
              <w:t>Instalacja sprzętu wraz ze szkoleniem pracowników Zamawiającego w cenie oferty.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119" w14:textId="4292999C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FE8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7D91BC4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F148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F49F2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Czas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reakcji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w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okresie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gwarancji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tj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przystąpienia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 do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usunięcia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awarii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od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chwili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jej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zgłoszenia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- </w:t>
            </w:r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max. 2</w:t>
            </w: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dni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robocze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wyłączeniem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świąt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dni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wolnych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od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pracy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4AD3D" w14:textId="41DAF439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705AF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5BB2CDB0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CD7F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B70DB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F329F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F329F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gwarancji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z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serwisem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>gwarancyjnym</w:t>
            </w:r>
            <w:proofErr w:type="spellEnd"/>
            <w:r w:rsidRPr="00F329F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r w:rsidRPr="006018F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– 24 </w:t>
            </w:r>
            <w:proofErr w:type="spellStart"/>
            <w:r w:rsidRPr="006018F1">
              <w:rPr>
                <w:rFonts w:ascii="Calibri" w:eastAsia="Calibri" w:hAnsi="Calibri" w:cs="Times New Roman"/>
                <w:bCs/>
                <w:sz w:val="18"/>
                <w:szCs w:val="18"/>
              </w:rPr>
              <w:t>miesiące</w:t>
            </w:r>
            <w:proofErr w:type="spellEnd"/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554BB" w14:textId="1C7D96EE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0553E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37FEDC66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D28B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F1721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AC7F4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pl-PL" w:eastAsia="pl-PL" w:bidi="ar-SA"/>
              </w:rPr>
              <w:t>Zalecany lub wymagany sposób dezynfekcji sprzętu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37EA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Tak, podać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C733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tr w:rsidR="00AB5F01" w:rsidRPr="00166315" w14:paraId="6177CB43" w14:textId="77777777" w:rsidTr="00FC613C">
        <w:trPr>
          <w:cantSplit/>
          <w:trHeight w:val="357"/>
          <w:jc w:val="center"/>
        </w:trPr>
        <w:tc>
          <w:tcPr>
            <w:tcW w:w="40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A0BF9" w14:textId="77777777" w:rsidR="00AB5F01" w:rsidRPr="00166315" w:rsidRDefault="00AB5F01" w:rsidP="0009455E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line="280" w:lineRule="exact"/>
              <w:ind w:right="-398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6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1DE8" w14:textId="77777777" w:rsidR="00AB5F01" w:rsidRPr="00166315" w:rsidRDefault="00AB5F01" w:rsidP="0009455E">
            <w:pPr>
              <w:keepNext/>
              <w:widowControl/>
              <w:tabs>
                <w:tab w:val="left" w:pos="283"/>
              </w:tabs>
              <w:suppressAutoHyphens w:val="0"/>
              <w:snapToGrid w:val="0"/>
              <w:spacing w:line="240" w:lineRule="auto"/>
              <w:textAlignment w:val="auto"/>
              <w:outlineLvl w:val="1"/>
              <w:rPr>
                <w:rFonts w:ascii="GE Inspira" w:eastAsia="Times" w:hAnsi="GE Inspira" w:cs="Times New Roman"/>
                <w:color w:val="000000"/>
                <w:kern w:val="8"/>
                <w:sz w:val="18"/>
                <w:szCs w:val="18"/>
                <w:lang w:val="pl-PL" w:eastAsia="en-US" w:bidi="ar-SA"/>
              </w:rPr>
            </w:pPr>
            <w:r w:rsidRPr="00323B5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Dane kontaktowe z autoryzowanym </w:t>
            </w:r>
            <w:r w:rsidRPr="00323B51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serwisem</w:t>
            </w:r>
            <w:r w:rsidRPr="00323B5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 w:rsidRPr="00323B51">
              <w:rPr>
                <w:rFonts w:ascii="Arial Narrow" w:eastAsia="Times New Roman" w:hAnsi="Arial Narrow" w:cs="Calibri"/>
                <w:i/>
                <w:color w:val="000000"/>
                <w:kern w:val="0"/>
                <w:sz w:val="18"/>
                <w:szCs w:val="18"/>
                <w:lang w:val="pl-PL" w:eastAsia="pl-PL" w:bidi="ar-SA"/>
              </w:rPr>
              <w:t>lub</w:t>
            </w:r>
            <w:r w:rsidRPr="00323B5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ewentualnie innym podmiotem upoważnionym przez producenta urządzenia do wykonywania serwisu/napraw gwarancyjnych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A2DF1" w14:textId="05FD38A6" w:rsidR="00AB5F01" w:rsidRPr="00166315" w:rsidRDefault="006018F1" w:rsidP="00AB5F01">
            <w:pPr>
              <w:widowControl/>
              <w:suppressAutoHyphens w:val="0"/>
              <w:spacing w:line="280" w:lineRule="exact"/>
              <w:jc w:val="center"/>
              <w:textAlignment w:val="auto"/>
              <w:rPr>
                <w:rFonts w:ascii="Arial" w:eastAsia="Times" w:hAnsi="Arial" w:cs="Arial"/>
                <w:iCs/>
                <w:kern w:val="8"/>
                <w:sz w:val="18"/>
                <w:szCs w:val="18"/>
                <w:lang w:val="en-US" w:eastAsia="en-US" w:bidi="ar-SA"/>
              </w:rPr>
            </w:pPr>
            <w:r w:rsidRPr="00AC7F44">
              <w:rPr>
                <w:rFonts w:ascii="Calibri" w:eastAsia="Calibri" w:hAnsi="Calibri" w:cs="Calibri"/>
                <w:kern w:val="0"/>
                <w:sz w:val="18"/>
                <w:szCs w:val="18"/>
                <w:lang w:val="pl-PL" w:eastAsia="en-US" w:bidi="ar-SA"/>
              </w:rPr>
              <w:t>Tak, podać</w:t>
            </w:r>
          </w:p>
        </w:tc>
        <w:tc>
          <w:tcPr>
            <w:tcW w:w="9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1362B" w14:textId="77777777" w:rsidR="00AB5F01" w:rsidRPr="00166315" w:rsidRDefault="00AB5F01" w:rsidP="00AB5F01">
            <w:pPr>
              <w:widowControl/>
              <w:suppressAutoHyphens w:val="0"/>
              <w:spacing w:line="280" w:lineRule="exact"/>
              <w:ind w:left="360"/>
              <w:jc w:val="center"/>
              <w:textAlignment w:val="auto"/>
              <w:rPr>
                <w:rFonts w:ascii="Arial" w:eastAsia="Times" w:hAnsi="Arial" w:cs="Arial"/>
                <w:kern w:val="8"/>
                <w:sz w:val="18"/>
                <w:szCs w:val="18"/>
                <w:lang w:val="en-US" w:eastAsia="en-US" w:bidi="ar-SA"/>
              </w:rPr>
            </w:pPr>
          </w:p>
        </w:tc>
      </w:tr>
      <w:bookmarkEnd w:id="17"/>
    </w:tbl>
    <w:p w14:paraId="4BBDB9A8" w14:textId="77777777" w:rsidR="00FC613C" w:rsidRDefault="00FC613C" w:rsidP="00FC613C">
      <w:pPr>
        <w:widowControl/>
        <w:suppressAutoHyphens w:val="0"/>
        <w:spacing w:line="240" w:lineRule="auto"/>
        <w:ind w:right="467"/>
        <w:jc w:val="both"/>
        <w:textAlignment w:val="auto"/>
        <w:rPr>
          <w:rFonts w:ascii="Calibri" w:eastAsia="Batang" w:hAnsi="Calibri" w:cs="Calibri"/>
          <w:bCs/>
          <w:kern w:val="0"/>
          <w:sz w:val="16"/>
          <w:szCs w:val="16"/>
          <w:lang w:val="pl-PL" w:eastAsia="pl-PL" w:bidi="ar-SA"/>
        </w:rPr>
      </w:pPr>
    </w:p>
    <w:p w14:paraId="48884696" w14:textId="77777777" w:rsidR="00FC613C" w:rsidRPr="00D10FF1" w:rsidRDefault="00FC613C" w:rsidP="00FC613C">
      <w:pPr>
        <w:widowControl/>
        <w:suppressAutoHyphens w:val="0"/>
        <w:spacing w:line="240" w:lineRule="auto"/>
        <w:ind w:right="467"/>
        <w:jc w:val="both"/>
        <w:textAlignment w:val="auto"/>
        <w:rPr>
          <w:rFonts w:ascii="Calibri" w:eastAsia="Times New Roman" w:hAnsi="Calibri" w:cs="Calibri"/>
          <w:kern w:val="0"/>
          <w:sz w:val="16"/>
          <w:szCs w:val="16"/>
          <w:lang w:val="pl-PL" w:eastAsia="pl-PL" w:bidi="ar-SA"/>
        </w:rPr>
      </w:pPr>
      <w:r w:rsidRPr="00D10FF1">
        <w:rPr>
          <w:rFonts w:ascii="Calibri" w:eastAsia="Batang" w:hAnsi="Calibri" w:cs="Calibri"/>
          <w:bCs/>
          <w:kern w:val="0"/>
          <w:sz w:val="16"/>
          <w:szCs w:val="16"/>
          <w:lang w:val="pl-PL" w:eastAsia="pl-PL" w:bidi="ar-SA"/>
        </w:rPr>
        <w:t>UWAGI:</w:t>
      </w:r>
      <w:r w:rsidRPr="00D10FF1">
        <w:rPr>
          <w:rFonts w:ascii="Calibri" w:eastAsia="Times New Roman" w:hAnsi="Calibri" w:cs="Calibri"/>
          <w:kern w:val="0"/>
          <w:sz w:val="16"/>
          <w:szCs w:val="16"/>
          <w:lang w:val="pl-PL" w:eastAsia="pl-PL" w:bidi="ar-SA"/>
        </w:rPr>
        <w:t xml:space="preserve"> </w:t>
      </w:r>
    </w:p>
    <w:p w14:paraId="2F08B931" w14:textId="77777777" w:rsidR="00FC613C" w:rsidRPr="00323B51" w:rsidRDefault="00FC613C" w:rsidP="00FC613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right="467"/>
        <w:jc w:val="both"/>
        <w:textAlignment w:val="auto"/>
        <w:rPr>
          <w:rFonts w:ascii="Arial Narrow" w:eastAsia="Batang" w:hAnsi="Arial Narrow" w:cs="Arial"/>
          <w:kern w:val="0"/>
          <w:sz w:val="16"/>
          <w:szCs w:val="16"/>
          <w:u w:color="000000"/>
          <w:bdr w:val="nil"/>
          <w:lang w:val="pl-PL" w:eastAsia="pl-PL" w:bidi="ar-SA"/>
        </w:rPr>
      </w:pPr>
      <w:r w:rsidRPr="00D10FF1">
        <w:rPr>
          <w:rFonts w:ascii="Calibri" w:eastAsia="Batang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 xml:space="preserve">1. </w:t>
      </w:r>
      <w:r w:rsidRPr="00F329F7">
        <w:rPr>
          <w:rFonts w:ascii="Calibri" w:eastAsia="Batang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Niespełnienie wymaganych parametrów techniczno-użytkowych oraz wymagań spowoduje odrzucenie oferty</w:t>
      </w:r>
      <w:r w:rsidRPr="00721927">
        <w:rPr>
          <w:rFonts w:ascii="Calibri" w:eastAsia="Batang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.</w:t>
      </w:r>
      <w:r w:rsidRPr="00323B51">
        <w:rPr>
          <w:rFonts w:ascii="Verdana" w:eastAsia="Times New Roman" w:hAnsi="Verdana" w:cs="Calibri"/>
          <w:color w:val="000000"/>
          <w:kern w:val="0"/>
          <w:sz w:val="16"/>
          <w:szCs w:val="16"/>
          <w:lang w:val="pl-PL" w:eastAsia="pl-PL" w:bidi="ar-SA"/>
        </w:rPr>
        <w:t xml:space="preserve"> </w:t>
      </w:r>
      <w:r w:rsidRPr="00323B51">
        <w:rPr>
          <w:rFonts w:ascii="Arial Narrow" w:eastAsia="Times New Roman" w:hAnsi="Arial Narrow" w:cs="Arial"/>
          <w:color w:val="000000"/>
          <w:kern w:val="0"/>
          <w:sz w:val="16"/>
          <w:szCs w:val="16"/>
          <w:lang w:val="pl-PL" w:eastAsia="pl-PL" w:bidi="ar-SA"/>
        </w:rPr>
        <w:t xml:space="preserve">Parametry i warunki </w:t>
      </w:r>
      <w:r w:rsidR="0009455E">
        <w:rPr>
          <w:rFonts w:ascii="Arial Narrow" w:eastAsia="Times New Roman" w:hAnsi="Arial Narrow" w:cs="Arial"/>
          <w:color w:val="000000"/>
          <w:kern w:val="0"/>
          <w:sz w:val="16"/>
          <w:szCs w:val="16"/>
          <w:lang w:val="pl-PL" w:eastAsia="pl-PL" w:bidi="ar-SA"/>
        </w:rPr>
        <w:br/>
      </w:r>
      <w:r w:rsidRPr="00323B51">
        <w:rPr>
          <w:rFonts w:ascii="Arial Narrow" w:eastAsia="Times New Roman" w:hAnsi="Arial Narrow" w:cs="Arial"/>
          <w:color w:val="000000"/>
          <w:kern w:val="0"/>
          <w:sz w:val="16"/>
          <w:szCs w:val="16"/>
          <w:lang w:val="pl-PL" w:eastAsia="pl-PL" w:bidi="ar-SA"/>
        </w:rPr>
        <w:t>w zakresie „</w:t>
      </w:r>
      <w:r w:rsidRPr="00323B51">
        <w:rPr>
          <w:rFonts w:ascii="Arial Narrow" w:eastAsia="Times New Roman" w:hAnsi="Arial Narrow" w:cs="Arial"/>
          <w:i/>
          <w:color w:val="000000"/>
          <w:kern w:val="0"/>
          <w:sz w:val="16"/>
          <w:szCs w:val="16"/>
          <w:lang w:val="pl-PL" w:eastAsia="pl-PL" w:bidi="ar-SA"/>
        </w:rPr>
        <w:t>zalecanych przez producenta przeglądów techn.</w:t>
      </w:r>
      <w:r w:rsidRPr="00323B51">
        <w:rPr>
          <w:rFonts w:ascii="Arial Narrow" w:eastAsia="Times New Roman" w:hAnsi="Arial Narrow" w:cs="Arial"/>
          <w:color w:val="000000"/>
          <w:kern w:val="0"/>
          <w:sz w:val="16"/>
          <w:szCs w:val="16"/>
          <w:lang w:val="pl-PL" w:eastAsia="pl-PL" w:bidi="ar-SA"/>
        </w:rPr>
        <w:t>” oraz „</w:t>
      </w:r>
      <w:r w:rsidRPr="00323B51">
        <w:rPr>
          <w:rFonts w:ascii="Arial Narrow" w:eastAsia="Times New Roman" w:hAnsi="Arial Narrow" w:cs="Arial"/>
          <w:i/>
          <w:color w:val="000000"/>
          <w:kern w:val="0"/>
          <w:sz w:val="16"/>
          <w:szCs w:val="16"/>
          <w:lang w:val="pl-PL" w:eastAsia="pl-PL" w:bidi="ar-SA"/>
        </w:rPr>
        <w:t>zalecanego lub wymaganego sposobu dezynfekcji</w:t>
      </w:r>
      <w:r w:rsidRPr="00323B51">
        <w:rPr>
          <w:rFonts w:ascii="Arial Narrow" w:eastAsia="Times New Roman" w:hAnsi="Arial Narrow" w:cs="Arial"/>
          <w:color w:val="000000"/>
          <w:kern w:val="0"/>
          <w:sz w:val="16"/>
          <w:szCs w:val="16"/>
          <w:lang w:val="pl-PL" w:eastAsia="pl-PL" w:bidi="ar-SA"/>
        </w:rPr>
        <w:t>”  traktowane są jako zalecane.</w:t>
      </w:r>
    </w:p>
    <w:p w14:paraId="7CB55853" w14:textId="77777777" w:rsidR="00FC613C" w:rsidRPr="00D10FF1" w:rsidRDefault="00FC613C" w:rsidP="00FC613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right="467"/>
        <w:jc w:val="both"/>
        <w:textAlignment w:val="auto"/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</w:pPr>
      <w:r w:rsidRPr="00D10FF1"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2. Oświadczam, że oferowany przedmiot zamówienia spełnia wszystkie powyższe wymagania Zamawiającego.</w:t>
      </w:r>
    </w:p>
    <w:p w14:paraId="540A6BF3" w14:textId="77777777" w:rsidR="00FC613C" w:rsidRDefault="00FC613C" w:rsidP="00FC613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spacing w:line="240" w:lineRule="auto"/>
        <w:jc w:val="both"/>
        <w:textAlignment w:val="auto"/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</w:pPr>
      <w:r w:rsidRPr="00D10FF1"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 xml:space="preserve">3. Opis należy załączyć do oferty na etapie składania ofert. </w:t>
      </w:r>
      <w:r w:rsidRPr="00305E65"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Nie</w:t>
      </w:r>
      <w:r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dołączenie do oferty załącznika</w:t>
      </w:r>
      <w:r w:rsidRPr="00305E65"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 xml:space="preserve"> </w:t>
      </w:r>
      <w:r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 xml:space="preserve">z opisem </w:t>
      </w:r>
      <w:r w:rsidRPr="00305E65"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  <w:t>spowoduje odrzucenie oferty.</w:t>
      </w:r>
    </w:p>
    <w:p w14:paraId="2EDC3699" w14:textId="77777777" w:rsidR="0009455E" w:rsidRDefault="0009455E" w:rsidP="00FC613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spacing w:line="240" w:lineRule="auto"/>
        <w:jc w:val="both"/>
        <w:textAlignment w:val="auto"/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</w:pPr>
    </w:p>
    <w:p w14:paraId="7C922962" w14:textId="77777777" w:rsidR="006018F1" w:rsidRPr="00FB2614" w:rsidRDefault="006018F1" w:rsidP="00FC613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spacing w:line="240" w:lineRule="auto"/>
        <w:jc w:val="both"/>
        <w:textAlignment w:val="auto"/>
        <w:rPr>
          <w:rFonts w:ascii="Calibri" w:eastAsia="Arial Unicode MS" w:hAnsi="Calibri" w:cs="Calibri"/>
          <w:kern w:val="0"/>
          <w:sz w:val="16"/>
          <w:szCs w:val="16"/>
          <w:u w:color="000000"/>
          <w:bdr w:val="nil"/>
          <w:lang w:val="pl-PL" w:eastAsia="pl-PL" w:bidi="ar-SA"/>
        </w:rPr>
      </w:pPr>
    </w:p>
    <w:p w14:paraId="512765F2" w14:textId="40A06B62" w:rsidR="00FC613C" w:rsidRPr="00FB62F2" w:rsidRDefault="00FC613C" w:rsidP="00FC613C">
      <w:pPr>
        <w:widowControl/>
        <w:suppressAutoHyphens w:val="0"/>
        <w:spacing w:line="259" w:lineRule="auto"/>
        <w:ind w:right="-35"/>
        <w:textAlignment w:val="auto"/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</w:pP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>...................................</w:t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</w:t>
      </w:r>
      <w:r w:rsidR="0009455E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             </w:t>
      </w:r>
      <w:r w:rsidR="006018F1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                 </w:t>
      </w:r>
      <w:r w:rsidR="0009455E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   </w:t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....................................................</w:t>
      </w:r>
    </w:p>
    <w:p w14:paraId="6F7ED100" w14:textId="46EFBC23" w:rsidR="00FC613C" w:rsidRDefault="00FC613C" w:rsidP="00FC613C">
      <w:pPr>
        <w:widowControl/>
        <w:suppressAutoHyphens w:val="0"/>
        <w:spacing w:line="259" w:lineRule="auto"/>
        <w:textAlignment w:val="auto"/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</w:pP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data </w:t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ab/>
      </w:r>
      <w:r w:rsidR="006018F1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                </w:t>
      </w:r>
      <w:r w:rsidRPr="00FB62F2">
        <w:rPr>
          <w:rFonts w:ascii="Calibri" w:eastAsia="Calibri" w:hAnsi="Calibri" w:cs="Calibri"/>
          <w:kern w:val="0"/>
          <w:sz w:val="16"/>
          <w:szCs w:val="16"/>
          <w:lang w:val="pl-PL" w:eastAsia="en-US" w:bidi="ar-SA"/>
        </w:rPr>
        <w:t xml:space="preserve">     pieczątka i podpis Wykonawcy</w:t>
      </w:r>
    </w:p>
    <w:sectPr w:rsidR="00FC613C" w:rsidSect="00D77C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27B1" w14:textId="77777777" w:rsidR="005F4151" w:rsidRDefault="005F4151" w:rsidP="00D46CF8">
      <w:pPr>
        <w:spacing w:line="240" w:lineRule="auto"/>
      </w:pPr>
      <w:r>
        <w:separator/>
      </w:r>
    </w:p>
  </w:endnote>
  <w:endnote w:type="continuationSeparator" w:id="0">
    <w:p w14:paraId="788CFC37" w14:textId="77777777" w:rsidR="005F4151" w:rsidRDefault="005F4151" w:rsidP="00D46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6047566"/>
      <w:docPartObj>
        <w:docPartGallery w:val="Page Numbers (Bottom of Page)"/>
        <w:docPartUnique/>
      </w:docPartObj>
    </w:sdtPr>
    <w:sdtEndPr/>
    <w:sdtContent>
      <w:p w14:paraId="560E693D" w14:textId="77777777" w:rsidR="00D46CF8" w:rsidRDefault="00D77C56">
        <w:pPr>
          <w:pStyle w:val="Stopka"/>
          <w:jc w:val="center"/>
        </w:pPr>
        <w:r>
          <w:fldChar w:fldCharType="begin"/>
        </w:r>
        <w:r w:rsidR="00D46CF8">
          <w:instrText>PAGE   \* MERGEFORMAT</w:instrText>
        </w:r>
        <w:r>
          <w:fldChar w:fldCharType="separate"/>
        </w:r>
        <w:r w:rsidR="00617C1F" w:rsidRPr="00617C1F">
          <w:rPr>
            <w:noProof/>
            <w:lang w:val="pl-PL"/>
          </w:rPr>
          <w:t>10</w:t>
        </w:r>
        <w:r>
          <w:fldChar w:fldCharType="end"/>
        </w:r>
      </w:p>
    </w:sdtContent>
  </w:sdt>
  <w:p w14:paraId="01E83283" w14:textId="77777777" w:rsidR="00D46CF8" w:rsidRDefault="00D4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C820" w14:textId="77777777" w:rsidR="005F4151" w:rsidRDefault="005F4151" w:rsidP="00D46CF8">
      <w:pPr>
        <w:spacing w:line="240" w:lineRule="auto"/>
      </w:pPr>
      <w:r>
        <w:separator/>
      </w:r>
    </w:p>
  </w:footnote>
  <w:footnote w:type="continuationSeparator" w:id="0">
    <w:p w14:paraId="4386DE48" w14:textId="77777777" w:rsidR="005F4151" w:rsidRDefault="005F4151" w:rsidP="00D46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996C352A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710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537890464">
    <w:abstractNumId w:val="0"/>
  </w:num>
  <w:num w:numId="2" w16cid:durableId="156494538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D1"/>
    <w:rsid w:val="00047CEC"/>
    <w:rsid w:val="0009455E"/>
    <w:rsid w:val="000E2ED1"/>
    <w:rsid w:val="00166315"/>
    <w:rsid w:val="001B0F36"/>
    <w:rsid w:val="00201789"/>
    <w:rsid w:val="002A5E5E"/>
    <w:rsid w:val="003462AF"/>
    <w:rsid w:val="0034699C"/>
    <w:rsid w:val="00351239"/>
    <w:rsid w:val="00484242"/>
    <w:rsid w:val="0049134E"/>
    <w:rsid w:val="004A045B"/>
    <w:rsid w:val="004F4660"/>
    <w:rsid w:val="005C7B24"/>
    <w:rsid w:val="005D41D8"/>
    <w:rsid w:val="005F4151"/>
    <w:rsid w:val="006018F1"/>
    <w:rsid w:val="00617C1F"/>
    <w:rsid w:val="0062230D"/>
    <w:rsid w:val="00684B0D"/>
    <w:rsid w:val="006B751F"/>
    <w:rsid w:val="00744B7D"/>
    <w:rsid w:val="0076464A"/>
    <w:rsid w:val="009C1310"/>
    <w:rsid w:val="009E3560"/>
    <w:rsid w:val="00A84992"/>
    <w:rsid w:val="00AB5F01"/>
    <w:rsid w:val="00B6355C"/>
    <w:rsid w:val="00B65ABC"/>
    <w:rsid w:val="00BA491F"/>
    <w:rsid w:val="00BD0B34"/>
    <w:rsid w:val="00CE6DD5"/>
    <w:rsid w:val="00D44B0A"/>
    <w:rsid w:val="00D46CF8"/>
    <w:rsid w:val="00D77C56"/>
    <w:rsid w:val="00DE4960"/>
    <w:rsid w:val="00E70466"/>
    <w:rsid w:val="00EE5FEF"/>
    <w:rsid w:val="00EF3573"/>
    <w:rsid w:val="00F8792D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F87"/>
  <w15:docId w15:val="{BD4763A4-E603-4D58-8ABC-BC550C5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ED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166315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66315"/>
    <w:pPr>
      <w:keepNext/>
      <w:tabs>
        <w:tab w:val="num" w:pos="576"/>
      </w:tabs>
      <w:ind w:left="576" w:hanging="576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166315"/>
    <w:pPr>
      <w:keepNext/>
      <w:tabs>
        <w:tab w:val="num" w:pos="720"/>
      </w:tabs>
      <w:ind w:left="720" w:hanging="720"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166315"/>
    <w:pPr>
      <w:keepNext/>
      <w:tabs>
        <w:tab w:val="num" w:pos="864"/>
      </w:tabs>
      <w:ind w:right="-35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315"/>
    <w:pPr>
      <w:widowControl/>
      <w:suppressAutoHyphens w:val="0"/>
      <w:spacing w:before="240" w:after="60" w:line="280" w:lineRule="exact"/>
      <w:textAlignment w:val="auto"/>
      <w:outlineLvl w:val="5"/>
    </w:pPr>
    <w:rPr>
      <w:rFonts w:ascii="Calibri" w:eastAsia="Times New Roman" w:hAnsi="Calibri" w:cs="Times New Roman"/>
      <w:b/>
      <w:bCs/>
      <w:kern w:val="8"/>
      <w:sz w:val="22"/>
      <w:szCs w:val="22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315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166315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166315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166315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315"/>
    <w:rPr>
      <w:rFonts w:ascii="Calibri" w:eastAsia="Times New Roman" w:hAnsi="Calibri" w:cs="Times New Roman"/>
      <w:b/>
      <w:bCs/>
      <w:kern w:val="8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166315"/>
  </w:style>
  <w:style w:type="paragraph" w:customStyle="1" w:styleId="Default">
    <w:name w:val="Default"/>
    <w:rsid w:val="0016631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semiHidden/>
    <w:unhideWhenUsed/>
    <w:rsid w:val="00166315"/>
    <w:pPr>
      <w:spacing w:line="240" w:lineRule="auto"/>
      <w:textAlignment w:val="auto"/>
    </w:pPr>
    <w:rPr>
      <w:rFonts w:ascii="Segoe UI" w:eastAsia="SimSun" w:hAnsi="Segoe UI" w:cs="Mangal"/>
      <w:sz w:val="18"/>
      <w:szCs w:val="16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semiHidden/>
    <w:rsid w:val="0016631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qFormat/>
    <w:rsid w:val="00166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166315"/>
  </w:style>
  <w:style w:type="paragraph" w:styleId="Tekstpodstawowy">
    <w:name w:val="Body Text"/>
    <w:basedOn w:val="Normalny"/>
    <w:link w:val="TekstpodstawowyZnak"/>
    <w:rsid w:val="00166315"/>
    <w:pPr>
      <w:spacing w:after="120" w:line="240" w:lineRule="auto"/>
      <w:textAlignment w:val="auto"/>
    </w:pPr>
    <w:rPr>
      <w:rFonts w:eastAsia="SimSun" w:cs="Mang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631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66315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lang w:val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6315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ZnakZnak1">
    <w:name w:val="Znak Znak1"/>
    <w:basedOn w:val="Normalny"/>
    <w:rsid w:val="00166315"/>
    <w:pPr>
      <w:widowControl/>
      <w:suppressAutoHyphens w:val="0"/>
      <w:spacing w:line="240" w:lineRule="auto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numbering" w:customStyle="1" w:styleId="WW8Num16">
    <w:name w:val="WW8Num16"/>
    <w:basedOn w:val="Bezlisty"/>
    <w:rsid w:val="00166315"/>
    <w:pPr>
      <w:numPr>
        <w:numId w:val="1"/>
      </w:numPr>
    </w:pPr>
  </w:style>
  <w:style w:type="numbering" w:customStyle="1" w:styleId="WW8Num167">
    <w:name w:val="WW8Num167"/>
    <w:basedOn w:val="Bezlisty"/>
    <w:rsid w:val="00166315"/>
  </w:style>
  <w:style w:type="paragraph" w:styleId="Nagwek">
    <w:name w:val="header"/>
    <w:basedOn w:val="Normalny"/>
    <w:link w:val="NagwekZnak"/>
    <w:unhideWhenUsed/>
    <w:rsid w:val="00166315"/>
    <w:pPr>
      <w:tabs>
        <w:tab w:val="center" w:pos="4536"/>
        <w:tab w:val="right" w:pos="9072"/>
      </w:tabs>
      <w:spacing w:line="240" w:lineRule="auto"/>
      <w:textAlignment w:val="auto"/>
    </w:pPr>
    <w:rPr>
      <w:rFonts w:eastAsia="SimSun" w:cs="Mangal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rsid w:val="0016631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6315"/>
    <w:pPr>
      <w:tabs>
        <w:tab w:val="center" w:pos="4536"/>
        <w:tab w:val="right" w:pos="9072"/>
      </w:tabs>
      <w:spacing w:line="240" w:lineRule="auto"/>
      <w:textAlignment w:val="auto"/>
    </w:pPr>
    <w:rPr>
      <w:rFonts w:eastAsia="SimSun" w:cs="Mangal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6631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"/>
    <w:basedOn w:val="Normalny"/>
    <w:link w:val="AkapitzlistZnak"/>
    <w:uiPriority w:val="34"/>
    <w:qFormat/>
    <w:rsid w:val="00166315"/>
    <w:pPr>
      <w:widowControl/>
      <w:suppressAutoHyphens w:val="0"/>
      <w:spacing w:after="34" w:line="269" w:lineRule="auto"/>
      <w:ind w:left="720" w:hanging="10"/>
      <w:contextualSpacing/>
      <w:textAlignment w:val="auto"/>
    </w:pPr>
    <w:rPr>
      <w:rFonts w:ascii="Calibri" w:eastAsia="Calibri" w:hAnsi="Calibri" w:cs="Times New Roman"/>
      <w:color w:val="000000"/>
      <w:kern w:val="0"/>
      <w:sz w:val="18"/>
      <w:szCs w:val="22"/>
      <w:lang w:bidi="ar-SA"/>
    </w:rPr>
  </w:style>
  <w:style w:type="character" w:styleId="Hipercze">
    <w:name w:val="Hyperlink"/>
    <w:uiPriority w:val="99"/>
    <w:unhideWhenUsed/>
    <w:rsid w:val="00166315"/>
    <w:rPr>
      <w:color w:val="0563C1"/>
      <w:u w:val="single"/>
    </w:r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"/>
    <w:link w:val="Akapitzlist"/>
    <w:uiPriority w:val="34"/>
    <w:qFormat/>
    <w:locked/>
    <w:rsid w:val="00166315"/>
    <w:rPr>
      <w:rFonts w:ascii="Calibri" w:eastAsia="Calibri" w:hAnsi="Calibri" w:cs="Times New Roman"/>
      <w:color w:val="000000"/>
      <w:kern w:val="0"/>
      <w:sz w:val="18"/>
    </w:rPr>
  </w:style>
  <w:style w:type="paragraph" w:styleId="NormalnyWeb">
    <w:name w:val="Normal (Web)"/>
    <w:basedOn w:val="Normalny"/>
    <w:uiPriority w:val="99"/>
    <w:unhideWhenUsed/>
    <w:rsid w:val="00166315"/>
    <w:pPr>
      <w:spacing w:line="240" w:lineRule="auto"/>
      <w:textAlignment w:val="auto"/>
    </w:pPr>
    <w:rPr>
      <w:rFonts w:eastAsia="SimSun" w:cs="Mangal"/>
      <w:szCs w:val="21"/>
      <w:lang w:val="pl-PL"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315"/>
    <w:pPr>
      <w:spacing w:line="240" w:lineRule="auto"/>
      <w:textAlignment w:val="auto"/>
    </w:pPr>
    <w:rPr>
      <w:rFonts w:eastAsia="SimSun" w:cs="Mangal"/>
      <w:sz w:val="20"/>
      <w:szCs w:val="18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31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66315"/>
    <w:rPr>
      <w:vertAlign w:val="superscript"/>
    </w:rPr>
  </w:style>
  <w:style w:type="numbering" w:customStyle="1" w:styleId="WW8Num1662">
    <w:name w:val="WW8Num1662"/>
    <w:basedOn w:val="Bezlisty"/>
    <w:rsid w:val="00166315"/>
  </w:style>
  <w:style w:type="character" w:styleId="Pogrubienie">
    <w:name w:val="Strong"/>
    <w:uiPriority w:val="22"/>
    <w:qFormat/>
    <w:rsid w:val="00166315"/>
    <w:rPr>
      <w:b/>
      <w:bCs/>
    </w:rPr>
  </w:style>
  <w:style w:type="table" w:styleId="Tabela-Siatka">
    <w:name w:val="Table Grid"/>
    <w:basedOn w:val="Standardowy"/>
    <w:uiPriority w:val="39"/>
    <w:rsid w:val="0016631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66315"/>
  </w:style>
  <w:style w:type="character" w:styleId="Uwydatnienie">
    <w:name w:val="Emphasis"/>
    <w:uiPriority w:val="20"/>
    <w:qFormat/>
    <w:rsid w:val="00166315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166315"/>
  </w:style>
  <w:style w:type="paragraph" w:customStyle="1" w:styleId="GEMarketName">
    <w:name w:val="GE Market Name"/>
    <w:basedOn w:val="Normalny"/>
    <w:rsid w:val="00166315"/>
    <w:pPr>
      <w:widowControl/>
      <w:spacing w:line="340" w:lineRule="exact"/>
      <w:textAlignment w:val="auto"/>
    </w:pPr>
    <w:rPr>
      <w:rFonts w:ascii="GE Inspira" w:eastAsia="Times" w:hAnsi="GE Inspira" w:cs="Times New Roman"/>
      <w:kern w:val="8"/>
      <w:sz w:val="32"/>
      <w:szCs w:val="22"/>
      <w:lang w:val="en-US" w:eastAsia="en-US" w:bidi="ar-SA"/>
    </w:rPr>
  </w:style>
  <w:style w:type="paragraph" w:customStyle="1" w:styleId="GEMarketNamegray">
    <w:name w:val="GE Market Name (gray)"/>
    <w:basedOn w:val="GEMarketName"/>
    <w:rsid w:val="00166315"/>
    <w:rPr>
      <w:color w:val="B3B3B3"/>
    </w:rPr>
  </w:style>
  <w:style w:type="paragraph" w:customStyle="1" w:styleId="GEContact">
    <w:name w:val="GE Contact"/>
    <w:basedOn w:val="Normalny"/>
    <w:rsid w:val="00166315"/>
    <w:pPr>
      <w:widowControl/>
      <w:spacing w:line="200" w:lineRule="exact"/>
      <w:textAlignment w:val="auto"/>
    </w:pPr>
    <w:rPr>
      <w:rFonts w:ascii="GE Inspira" w:eastAsia="Times" w:hAnsi="GE Inspira" w:cs="Times New Roman"/>
      <w:kern w:val="8"/>
      <w:sz w:val="16"/>
      <w:szCs w:val="22"/>
      <w:lang w:val="en-US" w:eastAsia="en-US" w:bidi="ar-SA"/>
    </w:rPr>
  </w:style>
  <w:style w:type="paragraph" w:customStyle="1" w:styleId="GELegal">
    <w:name w:val="GE Legal"/>
    <w:basedOn w:val="Normalny"/>
    <w:rsid w:val="00166315"/>
    <w:pPr>
      <w:widowControl/>
      <w:spacing w:line="140" w:lineRule="exact"/>
      <w:textAlignment w:val="auto"/>
    </w:pPr>
    <w:rPr>
      <w:rFonts w:ascii="GE Inspira" w:eastAsia="Times" w:hAnsi="GE Inspira" w:cs="Times New Roman"/>
      <w:kern w:val="8"/>
      <w:sz w:val="10"/>
      <w:szCs w:val="22"/>
      <w:lang w:val="en-US" w:eastAsia="en-US" w:bidi="ar-SA"/>
    </w:rPr>
  </w:style>
  <w:style w:type="paragraph" w:styleId="Tekstpodstawowywcity2">
    <w:name w:val="Body Text Indent 2"/>
    <w:basedOn w:val="Normalny"/>
    <w:link w:val="Tekstpodstawowywcity2Znak"/>
    <w:semiHidden/>
    <w:rsid w:val="00166315"/>
    <w:pPr>
      <w:widowControl/>
      <w:suppressAutoHyphens w:val="0"/>
      <w:spacing w:line="280" w:lineRule="exact"/>
      <w:ind w:left="360"/>
      <w:textAlignment w:val="auto"/>
    </w:pPr>
    <w:rPr>
      <w:rFonts w:ascii="GE Inspira" w:eastAsia="Times" w:hAnsi="GE Inspira" w:cs="Times New Roman"/>
      <w:kern w:val="8"/>
      <w:sz w:val="22"/>
      <w:szCs w:val="22"/>
      <w:lang w:val="pl-PL"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6315"/>
    <w:rPr>
      <w:rFonts w:ascii="GE Inspira" w:eastAsia="Times" w:hAnsi="GE Inspira" w:cs="Times New Roman"/>
      <w:kern w:val="8"/>
    </w:rPr>
  </w:style>
  <w:style w:type="paragraph" w:styleId="Tekstpodstawowywcity3">
    <w:name w:val="Body Text Indent 3"/>
    <w:basedOn w:val="Normalny"/>
    <w:link w:val="Tekstpodstawowywcity3Znak"/>
    <w:semiHidden/>
    <w:rsid w:val="00166315"/>
    <w:pPr>
      <w:widowControl/>
      <w:suppressAutoHyphens w:val="0"/>
      <w:spacing w:line="280" w:lineRule="exact"/>
      <w:ind w:left="360"/>
      <w:textAlignment w:val="auto"/>
    </w:pPr>
    <w:rPr>
      <w:rFonts w:ascii="GE Inspira" w:eastAsia="Times" w:hAnsi="GE Inspira" w:cs="Times New Roman"/>
      <w:color w:val="FF0000"/>
      <w:kern w:val="8"/>
      <w:sz w:val="22"/>
      <w:szCs w:val="22"/>
      <w:lang w:val="pl-PL" w:eastAsia="en-US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66315"/>
    <w:rPr>
      <w:rFonts w:ascii="GE Inspira" w:eastAsia="Times" w:hAnsi="GE Inspira" w:cs="Times New Roman"/>
      <w:color w:val="FF0000"/>
      <w:kern w:val="8"/>
    </w:rPr>
  </w:style>
  <w:style w:type="character" w:styleId="Numerstrony">
    <w:name w:val="page number"/>
    <w:basedOn w:val="Domylnaczcionkaakapitu"/>
    <w:rsid w:val="00166315"/>
  </w:style>
  <w:style w:type="character" w:styleId="HTML-cytat">
    <w:name w:val="HTML Cite"/>
    <w:semiHidden/>
    <w:rsid w:val="0016631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166315"/>
    <w:pPr>
      <w:widowControl/>
      <w:suppressAutoHyphens w:val="0"/>
      <w:spacing w:line="280" w:lineRule="exact"/>
      <w:textAlignment w:val="auto"/>
    </w:pPr>
    <w:rPr>
      <w:rFonts w:ascii="GE Inspira" w:eastAsia="Times" w:hAnsi="GE Inspira" w:cs="Times New Roman"/>
      <w:i/>
      <w:iCs/>
      <w:kern w:val="8"/>
      <w:sz w:val="22"/>
      <w:szCs w:val="22"/>
      <w:u w:val="single"/>
      <w:lang w:val="pl-PL"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6315"/>
    <w:rPr>
      <w:rFonts w:ascii="GE Inspira" w:eastAsia="Times" w:hAnsi="GE Inspira" w:cs="Times New Roman"/>
      <w:i/>
      <w:iCs/>
      <w:kern w:val="8"/>
      <w:u w:val="single"/>
    </w:rPr>
  </w:style>
  <w:style w:type="paragraph" w:styleId="Lista2">
    <w:name w:val="List 2"/>
    <w:basedOn w:val="Normalny"/>
    <w:semiHidden/>
    <w:rsid w:val="00166315"/>
    <w:pPr>
      <w:widowControl/>
      <w:suppressAutoHyphens w:val="0"/>
      <w:spacing w:line="280" w:lineRule="exact"/>
      <w:ind w:left="566" w:hanging="283"/>
      <w:textAlignment w:val="auto"/>
    </w:pPr>
    <w:rPr>
      <w:rFonts w:ascii="GE Inspira" w:eastAsia="Times" w:hAnsi="GE Inspira" w:cs="Times New Roman"/>
      <w:kern w:val="8"/>
      <w:sz w:val="22"/>
      <w:szCs w:val="22"/>
      <w:lang w:val="en-US" w:eastAsia="en-US" w:bidi="ar-SA"/>
    </w:rPr>
  </w:style>
  <w:style w:type="paragraph" w:styleId="Zwrotgrzecznociowy">
    <w:name w:val="Salutation"/>
    <w:basedOn w:val="Normalny"/>
    <w:next w:val="Normalny"/>
    <w:link w:val="ZwrotgrzecznociowyZnak"/>
    <w:semiHidden/>
    <w:rsid w:val="00166315"/>
    <w:pPr>
      <w:widowControl/>
      <w:suppressAutoHyphens w:val="0"/>
      <w:spacing w:line="280" w:lineRule="exact"/>
      <w:textAlignment w:val="auto"/>
    </w:pPr>
    <w:rPr>
      <w:rFonts w:ascii="GE Inspira" w:eastAsia="Times" w:hAnsi="GE Inspira" w:cs="Times New Roman"/>
      <w:kern w:val="8"/>
      <w:sz w:val="22"/>
      <w:szCs w:val="22"/>
      <w:lang w:val="en-US" w:eastAsia="en-US" w:bidi="ar-SA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166315"/>
    <w:rPr>
      <w:rFonts w:ascii="GE Inspira" w:eastAsia="Times" w:hAnsi="GE Inspira" w:cs="Times New Roman"/>
      <w:kern w:val="8"/>
      <w:lang w:val="en-US"/>
    </w:rPr>
  </w:style>
  <w:style w:type="paragraph" w:styleId="Tytu">
    <w:name w:val="Title"/>
    <w:basedOn w:val="Normalny"/>
    <w:link w:val="TytuZnak"/>
    <w:qFormat/>
    <w:rsid w:val="00166315"/>
    <w:pPr>
      <w:widowControl/>
      <w:suppressAutoHyphens w:val="0"/>
      <w:spacing w:before="240" w:after="60" w:line="280" w:lineRule="exact"/>
      <w:jc w:val="center"/>
      <w:textAlignment w:val="auto"/>
      <w:outlineLvl w:val="0"/>
    </w:pPr>
    <w:rPr>
      <w:rFonts w:ascii="Arial" w:eastAsia="Times" w:hAnsi="Arial" w:cs="Arial"/>
      <w:b/>
      <w:bCs/>
      <w:kern w:val="28"/>
      <w:sz w:val="32"/>
      <w:szCs w:val="32"/>
      <w:lang w:val="en-US" w:eastAsia="en-US" w:bidi="ar-SA"/>
    </w:rPr>
  </w:style>
  <w:style w:type="character" w:customStyle="1" w:styleId="TytuZnak">
    <w:name w:val="Tytuł Znak"/>
    <w:basedOn w:val="Domylnaczcionkaakapitu"/>
    <w:link w:val="Tytu"/>
    <w:rsid w:val="00166315"/>
    <w:rPr>
      <w:rFonts w:ascii="Arial" w:eastAsia="Times" w:hAnsi="Arial" w:cs="Arial"/>
      <w:b/>
      <w:bCs/>
      <w:kern w:val="28"/>
      <w:sz w:val="32"/>
      <w:szCs w:val="32"/>
      <w:lang w:val="en-US"/>
    </w:rPr>
  </w:style>
  <w:style w:type="paragraph" w:styleId="Wcicienormalne">
    <w:name w:val="Normal Indent"/>
    <w:basedOn w:val="Normalny"/>
    <w:semiHidden/>
    <w:rsid w:val="00166315"/>
    <w:pPr>
      <w:widowControl/>
      <w:suppressAutoHyphens w:val="0"/>
      <w:spacing w:line="280" w:lineRule="exact"/>
      <w:ind w:left="720"/>
      <w:textAlignment w:val="auto"/>
    </w:pPr>
    <w:rPr>
      <w:rFonts w:ascii="GE Inspira" w:eastAsia="Times" w:hAnsi="GE Inspira" w:cs="Times New Roman"/>
      <w:kern w:val="8"/>
      <w:sz w:val="22"/>
      <w:szCs w:val="22"/>
      <w:lang w:val="en-US" w:eastAsia="en-US" w:bidi="ar-SA"/>
    </w:rPr>
  </w:style>
  <w:style w:type="character" w:customStyle="1" w:styleId="Nierozpoznanawzmianka1">
    <w:name w:val="Nierozpoznana wzmianka1"/>
    <w:uiPriority w:val="99"/>
    <w:semiHidden/>
    <w:unhideWhenUsed/>
    <w:rsid w:val="00166315"/>
    <w:rPr>
      <w:color w:val="808080"/>
      <w:shd w:val="clear" w:color="auto" w:fill="E6E6E6"/>
    </w:rPr>
  </w:style>
  <w:style w:type="paragraph" w:customStyle="1" w:styleId="redniasiatka21">
    <w:name w:val="Średnia siatka 21"/>
    <w:rsid w:val="00166315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paragraph" w:customStyle="1" w:styleId="Heading81">
    <w:name w:val="Heading 81"/>
    <w:rsid w:val="00166315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166315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character" w:styleId="Odwoaniedokomentarza">
    <w:name w:val="annotation reference"/>
    <w:uiPriority w:val="99"/>
    <w:semiHidden/>
    <w:unhideWhenUsed/>
    <w:rsid w:val="00166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6315"/>
    <w:pPr>
      <w:widowControl/>
      <w:suppressAutoHyphens w:val="0"/>
      <w:spacing w:line="280" w:lineRule="exact"/>
      <w:textAlignment w:val="auto"/>
    </w:pPr>
    <w:rPr>
      <w:rFonts w:ascii="GE Inspira" w:eastAsia="Times" w:hAnsi="GE Inspira" w:cs="Times New Roman"/>
      <w:kern w:val="8"/>
      <w:sz w:val="20"/>
      <w:szCs w:val="20"/>
      <w:lang w:val="en-US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6315"/>
    <w:rPr>
      <w:rFonts w:ascii="GE Inspira" w:eastAsia="Times" w:hAnsi="GE Inspira" w:cs="Times New Roman"/>
      <w:kern w:val="8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315"/>
    <w:rPr>
      <w:rFonts w:ascii="GE Inspira" w:eastAsia="Times" w:hAnsi="GE Inspira" w:cs="Times New Roman"/>
      <w:b/>
      <w:bCs/>
      <w:kern w:val="8"/>
      <w:sz w:val="20"/>
      <w:szCs w:val="20"/>
      <w:lang w:val="en-US"/>
    </w:rPr>
  </w:style>
  <w:style w:type="paragraph" w:customStyle="1" w:styleId="Zwykytekst1">
    <w:name w:val="Zwykły tekst1"/>
    <w:basedOn w:val="Normalny"/>
    <w:uiPriority w:val="99"/>
    <w:rsid w:val="00166315"/>
    <w:pPr>
      <w:widowControl/>
      <w:suppressAutoHyphens w:val="0"/>
      <w:spacing w:line="240" w:lineRule="auto"/>
      <w:textAlignment w:val="auto"/>
    </w:pPr>
    <w:rPr>
      <w:rFonts w:ascii="Courier New" w:eastAsia="Calibri" w:hAnsi="Courier New" w:cs="Courier New"/>
      <w:kern w:val="0"/>
      <w:sz w:val="20"/>
      <w:szCs w:val="20"/>
      <w:lang w:val="pl-PL" w:eastAsia="pl-PL" w:bidi="ar-SA"/>
    </w:rPr>
  </w:style>
  <w:style w:type="paragraph" w:customStyle="1" w:styleId="xmsonormal">
    <w:name w:val="x_msonormal"/>
    <w:basedOn w:val="Normalny"/>
    <w:rsid w:val="00166315"/>
    <w:pPr>
      <w:widowControl/>
      <w:suppressAutoHyphens w:val="0"/>
      <w:spacing w:line="240" w:lineRule="auto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paragraph" w:customStyle="1" w:styleId="xmsolistparagraph">
    <w:name w:val="x_msolistparagraph"/>
    <w:basedOn w:val="Normalny"/>
    <w:rsid w:val="00166315"/>
    <w:pPr>
      <w:widowControl/>
      <w:suppressAutoHyphens w:val="0"/>
      <w:spacing w:line="240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166315"/>
    <w:pPr>
      <w:widowControl/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1"/>
      <w:lang w:val="en-US"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6315"/>
    <w:rPr>
      <w:rFonts w:ascii="Calibri" w:eastAsia="Calibri" w:hAnsi="Calibri" w:cs="Times New Roman"/>
      <w:kern w:val="0"/>
      <w:szCs w:val="21"/>
      <w:lang w:val="en-US"/>
    </w:rPr>
  </w:style>
  <w:style w:type="paragraph" w:customStyle="1" w:styleId="HeaderEmployeeTitle">
    <w:name w:val="Header Employee Title"/>
    <w:basedOn w:val="Nagwek"/>
    <w:next w:val="HeaderCustomerSolution"/>
    <w:qFormat/>
    <w:rsid w:val="00166315"/>
    <w:pPr>
      <w:widowControl/>
      <w:tabs>
        <w:tab w:val="clear" w:pos="4536"/>
        <w:tab w:val="clear" w:pos="9072"/>
        <w:tab w:val="center" w:pos="4680"/>
        <w:tab w:val="left" w:pos="8370"/>
        <w:tab w:val="right" w:pos="9360"/>
      </w:tabs>
      <w:suppressAutoHyphens w:val="0"/>
      <w:spacing w:line="180" w:lineRule="exact"/>
    </w:pPr>
    <w:rPr>
      <w:rFonts w:ascii="Source Sans 3" w:eastAsia="Source Sans Pro" w:hAnsi="Source Sans 3" w:cs="Times New Roman"/>
      <w:color w:val="000000"/>
      <w:kern w:val="0"/>
      <w:sz w:val="14"/>
      <w:szCs w:val="15"/>
      <w:lang w:val="en-US" w:eastAsia="en-US" w:bidi="ar-SA"/>
    </w:rPr>
  </w:style>
  <w:style w:type="paragraph" w:customStyle="1" w:styleId="HeaderName">
    <w:name w:val="Header Name"/>
    <w:basedOn w:val="Nagwek"/>
    <w:next w:val="HeaderEmployeeTitle"/>
    <w:qFormat/>
    <w:rsid w:val="00166315"/>
    <w:pPr>
      <w:widowControl/>
      <w:tabs>
        <w:tab w:val="clear" w:pos="4536"/>
        <w:tab w:val="clear" w:pos="9072"/>
      </w:tabs>
      <w:suppressAutoHyphens w:val="0"/>
      <w:spacing w:line="180" w:lineRule="exact"/>
    </w:pPr>
    <w:rPr>
      <w:rFonts w:ascii="Source Sans Pro Semibold" w:eastAsia="Source Sans Pro" w:hAnsi="Source Sans Pro Semibold" w:cs="Times New Roman"/>
      <w:b/>
      <w:bCs/>
      <w:color w:val="6400A0"/>
      <w:kern w:val="0"/>
      <w:sz w:val="14"/>
      <w:szCs w:val="14"/>
      <w:lang w:val="en-US" w:eastAsia="en-US" w:bidi="ar-SA"/>
    </w:rPr>
  </w:style>
  <w:style w:type="paragraph" w:customStyle="1" w:styleId="HeaderAddress">
    <w:name w:val="Header Address"/>
    <w:basedOn w:val="Nagwek"/>
    <w:qFormat/>
    <w:rsid w:val="00166315"/>
    <w:pPr>
      <w:widowControl/>
      <w:tabs>
        <w:tab w:val="clear" w:pos="4536"/>
        <w:tab w:val="clear" w:pos="9072"/>
        <w:tab w:val="center" w:pos="4680"/>
        <w:tab w:val="center" w:pos="8121"/>
        <w:tab w:val="left" w:pos="8370"/>
      </w:tabs>
      <w:suppressAutoHyphens w:val="0"/>
      <w:spacing w:line="180" w:lineRule="exact"/>
      <w:contextualSpacing/>
    </w:pPr>
    <w:rPr>
      <w:rFonts w:ascii="Source Sans Pro" w:eastAsia="Source Sans Pro" w:hAnsi="Source Sans Pro" w:cs="Times New Roman"/>
      <w:color w:val="000000"/>
      <w:kern w:val="0"/>
      <w:sz w:val="14"/>
      <w:szCs w:val="14"/>
      <w:lang w:val="en-US" w:eastAsia="en-US" w:bidi="ar-SA"/>
    </w:rPr>
  </w:style>
  <w:style w:type="paragraph" w:customStyle="1" w:styleId="HeaderURL">
    <w:name w:val="Header URL"/>
    <w:basedOn w:val="HeaderCustomerSolution"/>
    <w:qFormat/>
    <w:rsid w:val="00166315"/>
  </w:style>
  <w:style w:type="paragraph" w:customStyle="1" w:styleId="HeaderPhoneNumber">
    <w:name w:val="Header Phone Number"/>
    <w:basedOn w:val="Nagwek"/>
    <w:next w:val="HeaderURL"/>
    <w:qFormat/>
    <w:rsid w:val="00166315"/>
    <w:pPr>
      <w:widowControl/>
      <w:tabs>
        <w:tab w:val="clear" w:pos="4536"/>
        <w:tab w:val="clear" w:pos="9072"/>
        <w:tab w:val="center" w:pos="4680"/>
        <w:tab w:val="left" w:pos="8370"/>
        <w:tab w:val="right" w:pos="9360"/>
      </w:tabs>
      <w:suppressAutoHyphens w:val="0"/>
      <w:spacing w:before="120" w:after="120" w:line="180" w:lineRule="exact"/>
      <w:contextualSpacing/>
    </w:pPr>
    <w:rPr>
      <w:rFonts w:ascii="Source Sans 3" w:eastAsia="Source Sans Pro" w:hAnsi="Source Sans 3" w:cs="Times New Roman"/>
      <w:color w:val="000000"/>
      <w:kern w:val="0"/>
      <w:sz w:val="14"/>
      <w:szCs w:val="15"/>
      <w:lang w:val="en-US" w:eastAsia="en-US" w:bidi="ar-SA"/>
    </w:rPr>
  </w:style>
  <w:style w:type="paragraph" w:customStyle="1" w:styleId="HeaderCustomerSolution">
    <w:name w:val="Header Customer Solution"/>
    <w:basedOn w:val="Nagwek"/>
    <w:next w:val="HeaderAddress"/>
    <w:qFormat/>
    <w:rsid w:val="00166315"/>
    <w:pPr>
      <w:widowControl/>
      <w:tabs>
        <w:tab w:val="clear" w:pos="4536"/>
        <w:tab w:val="clear" w:pos="9072"/>
        <w:tab w:val="center" w:pos="4680"/>
        <w:tab w:val="left" w:pos="8370"/>
        <w:tab w:val="right" w:pos="9360"/>
      </w:tabs>
      <w:suppressAutoHyphens w:val="0"/>
      <w:spacing w:before="120" w:after="120" w:line="180" w:lineRule="exact"/>
    </w:pPr>
    <w:rPr>
      <w:rFonts w:ascii="Source Sans 3" w:eastAsia="Source Sans Pro" w:hAnsi="Source Sans 3" w:cs="Times New Roman"/>
      <w:color w:val="000000"/>
      <w:kern w:val="0"/>
      <w:sz w:val="14"/>
      <w:szCs w:val="15"/>
      <w:lang w:val="en-US" w:eastAsia="en-US" w:bidi="ar-SA"/>
    </w:rPr>
  </w:style>
  <w:style w:type="table" w:customStyle="1" w:styleId="Tabela-Siatka1">
    <w:name w:val="Tabela - Siatka1"/>
    <w:basedOn w:val="Standardowy"/>
    <w:next w:val="Tabela-Siatka"/>
    <w:rsid w:val="00166315"/>
    <w:pPr>
      <w:spacing w:after="0" w:line="240" w:lineRule="auto"/>
    </w:pPr>
    <w:rPr>
      <w:rFonts w:ascii="Source Sans Pro" w:eastAsia="Source Sans Pro" w:hAnsi="Source Sans Pro" w:cs="Times New Roman"/>
      <w:kern w:val="0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66315"/>
  </w:style>
  <w:style w:type="paragraph" w:customStyle="1" w:styleId="Skrconyadreszwrotny">
    <w:name w:val="Skrócony adres zwrotny"/>
    <w:basedOn w:val="Normalny"/>
    <w:rsid w:val="00166315"/>
    <w:pPr>
      <w:widowControl/>
      <w:spacing w:line="240" w:lineRule="auto"/>
    </w:pPr>
    <w:rPr>
      <w:rFonts w:eastAsia="Times New Roman" w:cs="Times New Roman"/>
      <w:szCs w:val="20"/>
      <w:lang w:val="pl-PL" w:eastAsia="zh-CN" w:bidi="ar-SA"/>
    </w:rPr>
  </w:style>
  <w:style w:type="character" w:customStyle="1" w:styleId="font241">
    <w:name w:val="font241"/>
    <w:rsid w:val="0016631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xxxxmsonormal">
    <w:name w:val="x_xxxmsonormal"/>
    <w:basedOn w:val="Normalny"/>
    <w:rsid w:val="00166315"/>
    <w:pPr>
      <w:widowControl/>
      <w:suppressAutoHyphens w:val="0"/>
      <w:spacing w:line="240" w:lineRule="auto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3801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Rajkiewicz</dc:creator>
  <cp:keywords/>
  <dc:description/>
  <cp:lastModifiedBy>Krzysztof Rajkiewicz</cp:lastModifiedBy>
  <cp:revision>15</cp:revision>
  <cp:lastPrinted>2024-11-27T06:57:00Z</cp:lastPrinted>
  <dcterms:created xsi:type="dcterms:W3CDTF">2024-11-20T11:07:00Z</dcterms:created>
  <dcterms:modified xsi:type="dcterms:W3CDTF">2024-11-27T06:58:00Z</dcterms:modified>
</cp:coreProperties>
</file>