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4E31" w14:textId="77777777" w:rsidR="000828CF" w:rsidRPr="00B922A1" w:rsidRDefault="000828CF" w:rsidP="000828CF">
      <w:pPr>
        <w:spacing w:after="0" w:line="240" w:lineRule="auto"/>
        <w:rPr>
          <w:rFonts w:ascii="Book Antiqua" w:hAnsi="Book Antiqua"/>
          <w:sz w:val="20"/>
          <w:szCs w:val="20"/>
          <w:lang w:eastAsia="pl-PL"/>
        </w:rPr>
      </w:pPr>
    </w:p>
    <w:tbl>
      <w:tblPr>
        <w:tblpPr w:leftFromText="141" w:rightFromText="141" w:horzAnchor="page" w:tblpX="3294" w:tblpY="-1064"/>
        <w:tblW w:w="535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961"/>
      </w:tblGrid>
      <w:tr w:rsidR="000828CF" w:rsidRPr="00B922A1" w14:paraId="2AAAFDCA" w14:textId="77777777" w:rsidTr="00963551">
        <w:trPr>
          <w:trHeight w:val="877"/>
        </w:trPr>
        <w:tc>
          <w:tcPr>
            <w:tcW w:w="392" w:type="dxa"/>
          </w:tcPr>
          <w:p w14:paraId="26377668" w14:textId="77777777" w:rsidR="000828CF" w:rsidRPr="00B922A1" w:rsidRDefault="000828CF" w:rsidP="00963551">
            <w:pPr>
              <w:tabs>
                <w:tab w:val="left" w:pos="-250"/>
                <w:tab w:val="center" w:pos="4536"/>
                <w:tab w:val="right" w:pos="9072"/>
              </w:tabs>
              <w:spacing w:after="0" w:line="240" w:lineRule="auto"/>
              <w:ind w:left="-360"/>
              <w:rPr>
                <w:rFonts w:ascii="Book Antiqua" w:hAnsi="Book Antiqu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14:paraId="38C64DFF" w14:textId="77777777" w:rsidR="000828CF" w:rsidRPr="00B922A1" w:rsidRDefault="000828CF" w:rsidP="009635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  <w:lang w:eastAsia="pl-PL"/>
              </w:rPr>
            </w:pPr>
          </w:p>
        </w:tc>
      </w:tr>
    </w:tbl>
    <w:p w14:paraId="7CD6F32A" w14:textId="77777777" w:rsidR="000828CF" w:rsidRPr="00B922A1" w:rsidRDefault="000828CF" w:rsidP="000828CF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  <w:r>
        <w:rPr>
          <w:rFonts w:ascii="Book Antiqua" w:eastAsia="Calibri" w:hAnsi="Book Antiqua"/>
          <w:sz w:val="20"/>
          <w:szCs w:val="20"/>
        </w:rPr>
        <w:object w:dxaOrig="1440" w:dyaOrig="1440" w14:anchorId="2784F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;mso-position-horizontal-relative:text;mso-position-vertical-relative:text">
            <v:imagedata r:id="rId4" o:title=""/>
            <w10:wrap type="square" side="right"/>
          </v:shape>
          <o:OLEObject Type="Embed" ProgID="Msxml2.SAXXMLReader.5.0" ShapeID="_x0000_s1026" DrawAspect="Content" ObjectID="_1810639025" r:id="rId5"/>
        </w:object>
      </w:r>
      <w:r w:rsidRPr="00B922A1"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5D3B88B8" w14:textId="77777777" w:rsidR="000828CF" w:rsidRPr="00B922A1" w:rsidRDefault="000828CF" w:rsidP="000828CF">
      <w:pPr>
        <w:widowControl w:val="0"/>
        <w:pBdr>
          <w:bottom w:val="single" w:sz="8" w:space="1" w:color="000000"/>
        </w:pBdr>
        <w:tabs>
          <w:tab w:val="left" w:pos="3119"/>
          <w:tab w:val="left" w:pos="3402"/>
        </w:tabs>
        <w:suppressAutoHyphens/>
        <w:spacing w:after="0" w:line="240" w:lineRule="auto"/>
        <w:jc w:val="center"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  <w:t>W BYDGOSZCZY</w:t>
      </w:r>
    </w:p>
    <w:p w14:paraId="4FF8DB6D" w14:textId="77777777" w:rsidR="000828CF" w:rsidRPr="00B922A1" w:rsidRDefault="000828CF" w:rsidP="000828CF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="Book Antiqua" w:hAnsi="Book Antiqua"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1906C39C" w14:textId="77777777" w:rsidR="000828CF" w:rsidRPr="00B922A1" w:rsidRDefault="000828CF" w:rsidP="000828CF">
      <w:pPr>
        <w:widowControl w:val="0"/>
        <w:suppressAutoHyphens/>
        <w:spacing w:after="0" w:line="240" w:lineRule="auto"/>
        <w:jc w:val="center"/>
        <w:rPr>
          <w:rFonts w:ascii="Book Antiqua" w:hAnsi="Book Antiqua"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kern w:val="2"/>
          <w:sz w:val="20"/>
          <w:szCs w:val="20"/>
          <w:lang w:eastAsia="hi-IN" w:bidi="hi-IN"/>
        </w:rPr>
        <w:t>NIP 5542647568 REGON 340057695</w:t>
      </w:r>
    </w:p>
    <w:p w14:paraId="338AF770" w14:textId="77777777" w:rsidR="000828CF" w:rsidRPr="00B922A1" w:rsidRDefault="000828CF" w:rsidP="000828CF">
      <w:pPr>
        <w:jc w:val="center"/>
        <w:rPr>
          <w:rFonts w:ascii="Book Antiqua" w:hAnsi="Book Antiqua"/>
          <w:color w:val="0000FF"/>
          <w:kern w:val="2"/>
          <w:sz w:val="20"/>
          <w:szCs w:val="20"/>
          <w:u w:val="single"/>
          <w:lang w:eastAsia="hi-IN" w:bidi="hi-IN"/>
        </w:rPr>
      </w:pPr>
      <w:hyperlink r:id="rId6" w:history="1">
        <w:r w:rsidRPr="00B922A1">
          <w:rPr>
            <w:rStyle w:val="Hipercze"/>
            <w:rFonts w:ascii="Book Antiqua" w:hAnsi="Book Antiqua"/>
            <w:kern w:val="2"/>
            <w:sz w:val="20"/>
            <w:szCs w:val="20"/>
            <w:lang w:eastAsia="hi-IN" w:bidi="hi-IN"/>
          </w:rPr>
          <w:t>www.ukw.edu.pl</w:t>
        </w:r>
      </w:hyperlink>
    </w:p>
    <w:p w14:paraId="75434D44" w14:textId="77777777" w:rsidR="000828CF" w:rsidRPr="00B922A1" w:rsidRDefault="000828CF" w:rsidP="000828CF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31F811C8" w14:textId="5C0EE8F6" w:rsidR="000828CF" w:rsidRPr="00B922A1" w:rsidRDefault="000828CF" w:rsidP="000828CF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Bydgoszcz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05.06</w:t>
      </w:r>
      <w:r w:rsidRPr="00B922A1">
        <w:rPr>
          <w:rFonts w:ascii="Book Antiqua" w:hAnsi="Book Antiqua" w:cs="Tahoma"/>
          <w:kern w:val="2"/>
          <w:sz w:val="20"/>
          <w:szCs w:val="20"/>
          <w:lang w:eastAsia="hi-IN" w:bidi="hi-IN"/>
        </w:rPr>
        <w:t>.2025 r.</w:t>
      </w:r>
    </w:p>
    <w:p w14:paraId="14CEE4AD" w14:textId="77777777" w:rsidR="000828CF" w:rsidRPr="00B922A1" w:rsidRDefault="000828CF" w:rsidP="000828CF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60276B1B" w14:textId="77777777" w:rsidR="000828CF" w:rsidRPr="00B922A1" w:rsidRDefault="000828CF" w:rsidP="000828CF">
      <w:pPr>
        <w:widowControl w:val="0"/>
        <w:tabs>
          <w:tab w:val="left" w:pos="0"/>
        </w:tabs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62C8487D" w14:textId="62C8BE3C" w:rsidR="000828CF" w:rsidRDefault="000828CF" w:rsidP="000828CF">
      <w:pPr>
        <w:widowControl w:val="0"/>
        <w:suppressAutoHyphens/>
        <w:spacing w:after="0" w:line="240" w:lineRule="auto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  <w:r w:rsidRPr="000828CF">
        <w:rPr>
          <w:rFonts w:ascii="Book Antiqua" w:hAnsi="Book Antiqua" w:cs="Book Antiqua"/>
          <w:b/>
          <w:bCs/>
          <w:sz w:val="20"/>
          <w:szCs w:val="20"/>
          <w:lang w:eastAsia="pl-PL"/>
        </w:rPr>
        <w:t>UKW/DZP-281-ZO-31/2025</w:t>
      </w:r>
    </w:p>
    <w:p w14:paraId="3891D048" w14:textId="77777777" w:rsidR="000828CF" w:rsidRDefault="000828CF" w:rsidP="000828CF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4CF03113" w14:textId="77777777" w:rsidR="000828CF" w:rsidRDefault="000828CF" w:rsidP="000828CF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</w:p>
    <w:p w14:paraId="3597745A" w14:textId="6FDB514F" w:rsidR="000828CF" w:rsidRPr="00B922A1" w:rsidRDefault="000828CF" w:rsidP="000828CF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kern w:val="2"/>
          <w:sz w:val="20"/>
          <w:szCs w:val="20"/>
          <w:lang w:eastAsia="hi-IN" w:bidi="hi-IN"/>
        </w:rPr>
      </w:pPr>
      <w:r w:rsidRPr="00B922A1">
        <w:rPr>
          <w:rFonts w:ascii="Book Antiqua" w:hAnsi="Book Antiqua"/>
          <w:b/>
          <w:kern w:val="2"/>
          <w:sz w:val="20"/>
          <w:szCs w:val="20"/>
          <w:lang w:eastAsia="hi-IN" w:bidi="hi-IN"/>
        </w:rPr>
        <w:t>Odpowiedź na pytani</w:t>
      </w:r>
      <w:r>
        <w:rPr>
          <w:rFonts w:ascii="Book Antiqua" w:hAnsi="Book Antiqua"/>
          <w:b/>
          <w:kern w:val="2"/>
          <w:sz w:val="20"/>
          <w:szCs w:val="20"/>
          <w:lang w:eastAsia="hi-IN" w:bidi="hi-IN"/>
        </w:rPr>
        <w:t>a</w:t>
      </w:r>
      <w:r w:rsidRPr="00B922A1">
        <w:rPr>
          <w:rFonts w:ascii="Book Antiqua" w:hAnsi="Book Antiqua"/>
          <w:b/>
          <w:kern w:val="2"/>
          <w:sz w:val="20"/>
          <w:szCs w:val="20"/>
          <w:lang w:eastAsia="hi-IN" w:bidi="hi-IN"/>
        </w:rPr>
        <w:t xml:space="preserve"> Wykonawcy</w:t>
      </w:r>
    </w:p>
    <w:p w14:paraId="0E57815B" w14:textId="77777777" w:rsidR="000828CF" w:rsidRPr="00B922A1" w:rsidRDefault="000828CF" w:rsidP="000828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Book Antiqua" w:hAnsi="Book Antiqua"/>
          <w:kern w:val="2"/>
          <w:sz w:val="20"/>
          <w:szCs w:val="20"/>
          <w:lang w:eastAsia="hi-IN" w:bidi="hi-IN"/>
        </w:rPr>
      </w:pPr>
    </w:p>
    <w:p w14:paraId="7A398B7D" w14:textId="5B38F305" w:rsidR="000828CF" w:rsidRPr="00B922A1" w:rsidRDefault="000828CF" w:rsidP="000828CF">
      <w:pPr>
        <w:widowControl w:val="0"/>
        <w:suppressAutoHyphens/>
        <w:autoSpaceDE w:val="0"/>
        <w:spacing w:before="60" w:after="60" w:line="360" w:lineRule="auto"/>
        <w:jc w:val="both"/>
        <w:rPr>
          <w:rFonts w:ascii="Book Antiqua" w:hAnsi="Book Antiqua" w:cs="Book Antiqua"/>
          <w:i/>
          <w:iCs/>
          <w:sz w:val="20"/>
          <w:szCs w:val="20"/>
          <w:lang w:eastAsia="pl-PL"/>
        </w:rPr>
      </w:pPr>
      <w:r w:rsidRPr="00B922A1">
        <w:rPr>
          <w:rFonts w:ascii="Book Antiqua" w:hAnsi="Book Antiqua"/>
          <w:i/>
          <w:color w:val="000000"/>
          <w:kern w:val="2"/>
          <w:sz w:val="20"/>
          <w:szCs w:val="20"/>
          <w:lang w:eastAsia="hi-IN" w:bidi="hi-IN"/>
        </w:rPr>
        <w:t>Dotyczy: Zapytania ofertowego pn. „</w:t>
      </w:r>
      <w:r w:rsidRPr="000828CF">
        <w:rPr>
          <w:rFonts w:ascii="Book Antiqua" w:hAnsi="Book Antiqua" w:cs="Book Antiqua"/>
          <w:sz w:val="20"/>
          <w:szCs w:val="20"/>
          <w:lang w:eastAsia="pl-PL"/>
        </w:rPr>
        <w:t>Dostawa odczynników na potrzeby UKW</w:t>
      </w:r>
      <w:r w:rsidRPr="00B922A1">
        <w:rPr>
          <w:rFonts w:ascii="Book Antiqua" w:hAnsi="Book Antiqua"/>
          <w:i/>
          <w:color w:val="000000"/>
          <w:kern w:val="2"/>
          <w:sz w:val="20"/>
          <w:szCs w:val="20"/>
          <w:lang w:eastAsia="hi-IN" w:bidi="hi-IN"/>
        </w:rPr>
        <w:t>”.</w:t>
      </w:r>
    </w:p>
    <w:p w14:paraId="0CA92ABB" w14:textId="77777777" w:rsidR="000828CF" w:rsidRPr="00B922A1" w:rsidRDefault="000828CF" w:rsidP="000828CF">
      <w:pPr>
        <w:widowControl w:val="0"/>
        <w:suppressAutoHyphens/>
        <w:autoSpaceDE w:val="0"/>
        <w:spacing w:before="60" w:after="60" w:line="360" w:lineRule="auto"/>
        <w:jc w:val="both"/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</w:pPr>
    </w:p>
    <w:p w14:paraId="50D90633" w14:textId="2C93BB06" w:rsidR="000828CF" w:rsidRPr="00B922A1" w:rsidRDefault="000828CF" w:rsidP="000828CF">
      <w:pPr>
        <w:widowControl w:val="0"/>
        <w:suppressAutoHyphens/>
        <w:autoSpaceDE w:val="0"/>
        <w:spacing w:before="60" w:after="60" w:line="360" w:lineRule="auto"/>
        <w:jc w:val="both"/>
        <w:rPr>
          <w:rFonts w:ascii="Book Antiqua" w:hAnsi="Book Antiqua"/>
          <w:sz w:val="20"/>
          <w:szCs w:val="20"/>
        </w:rPr>
      </w:pP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Uniwersytet Kazimierza Wielkiego w Bydgoszczy uprzejmie informuje, 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br/>
        <w:t>że w postępowaniu pn. „</w:t>
      </w:r>
      <w:r w:rsidRPr="000828CF">
        <w:rPr>
          <w:rFonts w:ascii="Book Antiqua" w:hAnsi="Book Antiqua"/>
          <w:sz w:val="20"/>
          <w:szCs w:val="20"/>
        </w:rPr>
        <w:t>Dostawa odczynników na potrzeby UKW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” w dniu 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05.06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.2025 r. wpłynęł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y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 pytani</w:t>
      </w:r>
      <w:r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>a</w:t>
      </w:r>
      <w:r w:rsidRPr="00B922A1">
        <w:rPr>
          <w:rFonts w:ascii="Book Antiqua" w:hAnsi="Book Antiqua"/>
          <w:color w:val="000000"/>
          <w:kern w:val="2"/>
          <w:sz w:val="20"/>
          <w:szCs w:val="20"/>
          <w:lang w:eastAsia="hi-IN" w:bidi="hi-IN"/>
        </w:rPr>
        <w:t xml:space="preserve"> o następującej treści:</w:t>
      </w:r>
    </w:p>
    <w:p w14:paraId="30CFAA32" w14:textId="77777777" w:rsidR="000828CF" w:rsidRPr="00B922A1" w:rsidRDefault="000828CF" w:rsidP="000828CF">
      <w:pPr>
        <w:widowControl w:val="0"/>
        <w:suppressAutoHyphens/>
        <w:autoSpaceDE w:val="0"/>
        <w:spacing w:before="60" w:after="60" w:line="360" w:lineRule="auto"/>
        <w:jc w:val="both"/>
        <w:rPr>
          <w:rFonts w:ascii="Book Antiqua" w:hAnsi="Book Antiqua"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</w:p>
    <w:p w14:paraId="29C10793" w14:textId="77777777" w:rsidR="000828CF" w:rsidRPr="00B922A1" w:rsidRDefault="000828CF" w:rsidP="000828CF">
      <w:pPr>
        <w:widowControl w:val="0"/>
        <w:suppressAutoHyphens/>
        <w:autoSpaceDE w:val="0"/>
        <w:spacing w:after="0" w:line="360" w:lineRule="auto"/>
        <w:jc w:val="both"/>
        <w:rPr>
          <w:rFonts w:ascii="Book Antiqua" w:hAnsi="Book Antiqua"/>
          <w:b/>
          <w:color w:val="000000"/>
          <w:kern w:val="2"/>
          <w:sz w:val="20"/>
          <w:szCs w:val="20"/>
          <w:shd w:val="clear" w:color="auto" w:fill="FFFFFF"/>
          <w:lang w:eastAsia="hi-IN" w:bidi="hi-IN"/>
        </w:rPr>
      </w:pPr>
      <w:r w:rsidRPr="00B922A1">
        <w:rPr>
          <w:rFonts w:ascii="Book Antiqua" w:hAnsi="Book Antiqua"/>
          <w:b/>
          <w:color w:val="000000"/>
          <w:kern w:val="2"/>
          <w:sz w:val="20"/>
          <w:szCs w:val="20"/>
          <w:shd w:val="clear" w:color="auto" w:fill="FFFFFF"/>
          <w:lang w:eastAsia="hi-IN" w:bidi="hi-IN"/>
        </w:rPr>
        <w:t xml:space="preserve">Pytanie 1 </w:t>
      </w:r>
    </w:p>
    <w:p w14:paraId="782F921D" w14:textId="3F9D7EDD" w:rsidR="000828CF" w:rsidRPr="000828CF" w:rsidRDefault="000828CF" w:rsidP="000828CF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>Dotyczy wzoru umowy,  §1 ustęp 2, punkt 4 –  część  1.</w:t>
      </w:r>
    </w:p>
    <w:p w14:paraId="540549EF" w14:textId="77777777" w:rsidR="000828CF" w:rsidRPr="000828CF" w:rsidRDefault="000828CF" w:rsidP="000828CF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>Odczynniki wymienione w części 1 służą tylko i wyłącznie do badań naukowych.</w:t>
      </w:r>
    </w:p>
    <w:p w14:paraId="22B9F38F" w14:textId="04EFC995" w:rsidR="000828CF" w:rsidRPr="00B922A1" w:rsidRDefault="000828CF" w:rsidP="000828CF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Prawo nie nakłada obowiązku posiadania dopuszczenia do obrotu wobec 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>produktów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służących do badań naukowych. Wnosimy o usunięcie w/w warunku w odniesieniu do części 1.</w:t>
      </w:r>
    </w:p>
    <w:p w14:paraId="07553636" w14:textId="77777777" w:rsidR="000828CF" w:rsidRDefault="000828CF" w:rsidP="000828CF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</w:p>
    <w:p w14:paraId="52C173D0" w14:textId="7E15045C" w:rsidR="000828CF" w:rsidRPr="00B922A1" w:rsidRDefault="000828CF" w:rsidP="000828CF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B922A1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 xml:space="preserve">Odp. </w:t>
      </w:r>
    </w:p>
    <w:p w14:paraId="71961EDA" w14:textId="240705E9" w:rsidR="000828CF" w:rsidRDefault="000828CF" w:rsidP="000828CF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Zamawiający nie wyraża zgody na powyższe. 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ab/>
      </w:r>
    </w:p>
    <w:p w14:paraId="6284DB9C" w14:textId="4F8BD8D0" w:rsidR="000828CF" w:rsidRDefault="000828CF" w:rsidP="000828CF">
      <w:pPr>
        <w:widowControl w:val="0"/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§1 ustęp 2, punkt 4 </w:t>
      </w:r>
      <w:r w:rsid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umowy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mówi: 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Wykonawca zobowiązuje się, że rzeczy – elementy składające się na przedmiot umowy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(…)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będą:</w:t>
      </w:r>
    </w:p>
    <w:p w14:paraId="09C149FC" w14:textId="797334B3" w:rsidR="000828CF" w:rsidRDefault="000828CF" w:rsidP="000828CF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>4)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ab/>
        <w:t>dopuszczone do obrotu handlowego na obszarze Polski zgodnie z przepisami powszechnie obowiązującymi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.</w:t>
      </w:r>
    </w:p>
    <w:p w14:paraId="53B99E21" w14:textId="7D9E1921" w:rsidR="000828CF" w:rsidRDefault="000828CF" w:rsidP="000828CF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Oznacza to, że 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jeżeli przepisy wymagają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posiadania 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>pozwolenia na dopuszczenie do obrotu handlowego to pozwolenie jest wymagane, a jeżeli przepisy powszechnie obowiązujące nie nakładają obowiązku posiadania pozwolenia na dopuszczenie do obrotu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,</w:t>
      </w:r>
      <w:r w:rsidRPr="000828CF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to Zamawiający tego nie wymaga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.</w:t>
      </w:r>
    </w:p>
    <w:p w14:paraId="430EF3CF" w14:textId="77777777" w:rsidR="00877BE9" w:rsidRDefault="00877BE9" w:rsidP="000828CF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3537102F" w14:textId="66075867" w:rsidR="00877BE9" w:rsidRDefault="00877BE9" w:rsidP="000828CF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 xml:space="preserve">Pytanie </w:t>
      </w:r>
      <w:r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>2</w:t>
      </w:r>
    </w:p>
    <w:p w14:paraId="54478098" w14:textId="02E667C6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Dotyczy wzoru umowy, §2, ustęp 3 –  część  1.</w:t>
      </w:r>
    </w:p>
    <w:p w14:paraId="561D2EC5" w14:textId="77777777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Prosimy o umożliwienie dostaw do godziny 16:00. Nasze dostawy są realizowane z magazynu centralnego znajdującego się poza granicami kraju. Ich transport odbywa się drogą lotniczą.</w:t>
      </w:r>
    </w:p>
    <w:p w14:paraId="42D7655F" w14:textId="45DEABAA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lastRenderedPageBreak/>
        <w:t xml:space="preserve">Cena produktów nie zawiera kosztów dostaw w określonych godzinach. Aby móc spełnić postawiony przez Zamawiającego warunek musielibyśmy uwzględnić specjalny serwis w cenie co </w:t>
      </w: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wpłynęłoby</w:t>
      </w: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 na cenę końcową oferty.</w:t>
      </w:r>
    </w:p>
    <w:p w14:paraId="0ADE73C6" w14:textId="77777777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</w:p>
    <w:p w14:paraId="3CBB54A6" w14:textId="130C2728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>Odp.</w:t>
      </w:r>
    </w:p>
    <w:p w14:paraId="5446F429" w14:textId="0876AC90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t>Zamawiający nie wyraża zgody na powyższe.</w:t>
      </w:r>
    </w:p>
    <w:p w14:paraId="3B5BED84" w14:textId="407B4089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3F33C47D" w14:textId="7F19D7E3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 xml:space="preserve">Pytanie </w:t>
      </w:r>
      <w:r>
        <w:rPr>
          <w:rFonts w:ascii="Book Antiqua" w:hAnsi="Book Antiqua" w:cs="Tahoma"/>
          <w:b/>
          <w:bCs/>
          <w:kern w:val="2"/>
          <w:sz w:val="20"/>
          <w:szCs w:val="20"/>
          <w:lang w:eastAsia="hi-IN" w:bidi="hi-IN"/>
        </w:rPr>
        <w:t>3</w:t>
      </w:r>
    </w:p>
    <w:p w14:paraId="0C8171CA" w14:textId="0CB2BD37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Dotyczy wzoru umowy,  §2 ustęp 5 –  część  1.</w:t>
      </w:r>
    </w:p>
    <w:p w14:paraId="5CF71644" w14:textId="77777777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Zamawiający zapisał:</w:t>
      </w:r>
    </w:p>
    <w:p w14:paraId="347C28AA" w14:textId="76987B0A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„Zamawiający po przyjęciu dostawy ma obowiązek nie później niż w terminie 7 (siedmiu) dni od dnia dostawy dokonać sprawdzenia dostarczonego przez Wykonawcę przedmiotu umowy pod względem ilościowym oraz rodzajowym, w szczególności poprzez sprawdzenie czy dostarczony towar nie jest uszkodzony i posiada parametry deklarowane w opisie przedmiotu zamówienia, ofercie Wykonawcy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br/>
      </w: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i umowie.“</w:t>
      </w:r>
    </w:p>
    <w:p w14:paraId="1A30D54E" w14:textId="77777777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Prosimy o korektę w/w zapisu tak by brzmiał:</w:t>
      </w:r>
    </w:p>
    <w:p w14:paraId="1D5D2E31" w14:textId="7A63FA2C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„Zamawiający po przyjęciu dostawy ma obowiązek nie później niż w terminie 2 (dw</w:t>
      </w:r>
      <w:r w:rsidR="00830401">
        <w:rPr>
          <w:rFonts w:ascii="Book Antiqua" w:hAnsi="Book Antiqua" w:cs="Tahoma"/>
          <w:kern w:val="2"/>
          <w:sz w:val="20"/>
          <w:szCs w:val="20"/>
          <w:lang w:eastAsia="hi-IN" w:bidi="hi-IN"/>
        </w:rPr>
        <w:t>óch</w:t>
      </w: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 xml:space="preserve">) dni od dnia dostawy dokonać sprawdzenia dostarczonego przez Wykonawcę przedmiotu umowy pod względem ilościowym oraz rodzajowym, w szczególności poprzez sprawdzenie czy dostarczony towar nie jest uszkodzony i posiada parametry deklarowane w opisie przedmiotu zamówienia, ofercie Wykonawcy </w:t>
      </w:r>
      <w:r>
        <w:rPr>
          <w:rFonts w:ascii="Book Antiqua" w:hAnsi="Book Antiqua" w:cs="Tahoma"/>
          <w:kern w:val="2"/>
          <w:sz w:val="20"/>
          <w:szCs w:val="20"/>
          <w:lang w:eastAsia="hi-IN" w:bidi="hi-IN"/>
        </w:rPr>
        <w:br/>
      </w: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i umowie.“</w:t>
      </w:r>
    </w:p>
    <w:p w14:paraId="1D7C1C39" w14:textId="69904E72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Wszelkie informacje dotyczące nieprawidłowości w dostawie powinny być dostarczane niezwłocznie celem ułatwienia analizy reklamacji.</w:t>
      </w:r>
    </w:p>
    <w:p w14:paraId="601E6313" w14:textId="08CBB848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0A69569C" w14:textId="626AF9DD" w:rsid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u w:val="single"/>
          <w:lang w:eastAsia="hi-IN" w:bidi="hi-IN"/>
        </w:rPr>
        <w:t>Odp.</w:t>
      </w:r>
    </w:p>
    <w:p w14:paraId="5367953F" w14:textId="2C2A8762" w:rsidR="00877BE9" w:rsidRPr="00877BE9" w:rsidRDefault="00877BE9" w:rsidP="00877BE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  <w:r w:rsidRPr="00877BE9">
        <w:rPr>
          <w:rFonts w:ascii="Book Antiqua" w:hAnsi="Book Antiqua" w:cs="Tahoma"/>
          <w:kern w:val="2"/>
          <w:sz w:val="20"/>
          <w:szCs w:val="20"/>
          <w:lang w:eastAsia="hi-IN" w:bidi="hi-IN"/>
        </w:rPr>
        <w:t>Zamawiający nie wyraża zgody na powyższe.</w:t>
      </w:r>
    </w:p>
    <w:p w14:paraId="41EBE219" w14:textId="77777777" w:rsidR="00877BE9" w:rsidRPr="00B922A1" w:rsidRDefault="00877BE9" w:rsidP="000828CF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1DE9E2D7" w14:textId="77777777" w:rsidR="000828CF" w:rsidRPr="00B922A1" w:rsidRDefault="000828CF" w:rsidP="000828CF">
      <w:pPr>
        <w:widowControl w:val="0"/>
        <w:suppressAutoHyphens/>
        <w:spacing w:after="0" w:line="240" w:lineRule="auto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</w:p>
    <w:p w14:paraId="30B00C8D" w14:textId="77777777" w:rsidR="000828CF" w:rsidRDefault="000828CF" w:rsidP="000828CF">
      <w:pPr>
        <w:widowControl w:val="0"/>
        <w:suppressAutoHyphens/>
        <w:spacing w:after="0" w:line="240" w:lineRule="auto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6CDE4AC5" w14:textId="77777777" w:rsidR="000828CF" w:rsidRPr="00B922A1" w:rsidRDefault="000828CF" w:rsidP="000828CF">
      <w:pPr>
        <w:widowControl w:val="0"/>
        <w:suppressAutoHyphens/>
        <w:spacing w:after="0" w:line="240" w:lineRule="auto"/>
        <w:rPr>
          <w:rFonts w:ascii="Book Antiqua" w:hAnsi="Book Antiqua" w:cs="Tahoma"/>
          <w:kern w:val="2"/>
          <w:sz w:val="20"/>
          <w:szCs w:val="20"/>
          <w:lang w:eastAsia="hi-IN" w:bidi="hi-IN"/>
        </w:rPr>
      </w:pPr>
    </w:p>
    <w:p w14:paraId="26E767B2" w14:textId="77777777" w:rsidR="000828CF" w:rsidRPr="005D17EA" w:rsidRDefault="000828CF" w:rsidP="000828CF">
      <w:pPr>
        <w:widowControl w:val="0"/>
        <w:suppressAutoHyphens/>
        <w:spacing w:after="0" w:line="240" w:lineRule="auto"/>
        <w:jc w:val="right"/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</w:pPr>
      <w:r w:rsidRPr="005D17EA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Kanclerz UKW</w:t>
      </w:r>
    </w:p>
    <w:p w14:paraId="1681E285" w14:textId="77777777" w:rsidR="000828CF" w:rsidRPr="005D17EA" w:rsidRDefault="000828CF" w:rsidP="000828CF">
      <w:pPr>
        <w:widowControl w:val="0"/>
        <w:suppressAutoHyphens/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5D17EA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t>mgr Monika Matowska</w:t>
      </w:r>
      <w:r w:rsidRPr="005D17EA">
        <w:rPr>
          <w:rFonts w:ascii="Book Antiqua" w:hAnsi="Book Antiqua" w:cs="Tahoma"/>
          <w:b/>
          <w:kern w:val="2"/>
          <w:sz w:val="20"/>
          <w:szCs w:val="20"/>
          <w:lang w:eastAsia="hi-IN" w:bidi="hi-IN"/>
        </w:rPr>
        <w:br/>
      </w:r>
    </w:p>
    <w:p w14:paraId="0FDBCD67" w14:textId="77777777" w:rsidR="000828CF" w:rsidRPr="00A51D0F" w:rsidRDefault="000828CF" w:rsidP="000828CF">
      <w:pPr>
        <w:rPr>
          <w:rFonts w:ascii="Book Antiqua" w:hAnsi="Book Antiqua"/>
          <w:sz w:val="20"/>
          <w:szCs w:val="20"/>
        </w:rPr>
      </w:pPr>
    </w:p>
    <w:p w14:paraId="7E63AE06" w14:textId="77777777" w:rsidR="000828CF" w:rsidRPr="00B922A1" w:rsidRDefault="000828CF" w:rsidP="000828CF">
      <w:pPr>
        <w:rPr>
          <w:rFonts w:ascii="Book Antiqua" w:hAnsi="Book Antiqua"/>
          <w:sz w:val="20"/>
          <w:szCs w:val="20"/>
        </w:rPr>
      </w:pPr>
    </w:p>
    <w:p w14:paraId="51181291" w14:textId="77777777" w:rsidR="000828CF" w:rsidRPr="00B922A1" w:rsidRDefault="000828CF" w:rsidP="000828CF">
      <w:pPr>
        <w:rPr>
          <w:rFonts w:ascii="Book Antiqua" w:hAnsi="Book Antiqua"/>
          <w:sz w:val="20"/>
          <w:szCs w:val="20"/>
        </w:rPr>
      </w:pPr>
    </w:p>
    <w:p w14:paraId="238D1E38" w14:textId="77777777" w:rsidR="000828CF" w:rsidRDefault="000828CF" w:rsidP="000828CF"/>
    <w:p w14:paraId="3FBDF811" w14:textId="77777777" w:rsidR="00D2267B" w:rsidRDefault="00D2267B"/>
    <w:sectPr w:rsidR="00D2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CF"/>
    <w:rsid w:val="000828CF"/>
    <w:rsid w:val="005D17EA"/>
    <w:rsid w:val="00675AD1"/>
    <w:rsid w:val="00830401"/>
    <w:rsid w:val="00877BE9"/>
    <w:rsid w:val="00D2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14B09C"/>
  <w15:chartTrackingRefBased/>
  <w15:docId w15:val="{7B0652CA-D3E7-497F-92EA-F2FED61A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BE9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2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w.edu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cp:lastPrinted>2025-06-05T12:30:00Z</cp:lastPrinted>
  <dcterms:created xsi:type="dcterms:W3CDTF">2025-06-05T11:57:00Z</dcterms:created>
  <dcterms:modified xsi:type="dcterms:W3CDTF">2025-06-05T12:30:00Z</dcterms:modified>
</cp:coreProperties>
</file>