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SZACOWANIE WARTOŚCI ZAMÓWIENIA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Sporządzenie świadectw charakterystyki energetycznej dla wybranych budynków zarządzanych przez ZGM w Lubawce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(t.j. Dz. U. 2022 r, poz. 1710 z późń. zm.) na podstawie art. 2 ust. 1 pkt 1 tej ustawy – przewidywana wartość zamówienia nie przekracza kwoty 130 000 zł.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Sporządzenie i dostarczenie świadectw charakterystyki energetycznej dla wybranych budynków i lokali komunalnych w zarządzenie ZGM w Lubawce.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Świadectwa charakterystyki energetycznej należy sporządzić zgodnie z Ustawą </w:t>
      </w:r>
      <w:r>
        <w:rPr>
          <w:rFonts w:hint="default" w:ascii="Cambria" w:hAnsi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 dnia 29 sierpnia 2014 r</w:t>
      </w:r>
      <w:r>
        <w:rPr>
          <w:rFonts w:hint="default" w:ascii="Cambria" w:hAnsi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charakterystyce energetycznej budynków</w:t>
      </w:r>
      <w:r>
        <w:rPr>
          <w:rFonts w:hint="default" w:ascii="Cambria" w:hAnsi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(t.j. Dz.U. 2021 poz. 497 z późn. zm.).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Dokumentacja musi być wykonana przez osobę (osoby) posiadającą </w:t>
      </w:r>
      <w:r>
        <w:rPr>
          <w:rFonts w:hint="default" w:ascii="Cambria" w:hAnsi="Cambria" w:cs="Arial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stosowne </w:t>
      </w:r>
      <w:r>
        <w:rPr>
          <w:rFonts w:ascii="Cambria" w:hAnsi="Cambria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uprawnienia </w:t>
      </w:r>
      <w:r>
        <w:rPr>
          <w:rFonts w:hint="default" w:ascii="Cambria" w:hAnsi="Cambria" w:cs="Arial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i wpisaną do wykazu </w:t>
      </w: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osób uprawnionych do sporządzania świadectw charakterystyki energetycznej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w </w:t>
      </w: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centralny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rejestr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ze </w:t>
      </w:r>
      <w:r>
        <w:rPr>
          <w:rFonts w:hint="default"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charakterystyki energetycznej budynkó</w:t>
      </w: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w.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Wykaz budynków i lokali objętych zapytaniem zawiera Załącznik nr 5.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Przed złożeniem oferty Wykonawca zobowiązany jest do przeprowadzenia wizji lokalnej na budynku objętym przedmiotem zamówienia.</w:t>
      </w:r>
    </w:p>
    <w:p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Termin wykonania zamówienia:</w:t>
      </w:r>
      <w:r>
        <w:rPr>
          <w:rFonts w:hint="default" w:ascii="Cambria" w:hAnsi="Cambria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>zadeklarowany przez Wykonawcę jednak nie później niż do dnia 30.0</w:t>
      </w:r>
      <w:r>
        <w:rPr>
          <w:rFonts w:hint="default" w:ascii="Cambria" w:hAnsi="Cambria"/>
          <w:b/>
          <w:bCs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4</w:t>
      </w: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>.202</w:t>
      </w:r>
      <w:r>
        <w:rPr>
          <w:rFonts w:hint="default" w:ascii="Cambria" w:hAnsi="Cambria"/>
          <w:b/>
          <w:bCs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ascii="Cambria" w:hAnsi="Cambria"/>
          <w:b/>
          <w:bCs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r.</w:t>
      </w:r>
    </w:p>
    <w:p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Przy ocenie i wyborze najkorzystniejszej oferty Zamawiający weźmie pod uwagę:</w:t>
      </w:r>
    </w:p>
    <w:p>
      <w:pPr>
        <w:pStyle w:val="24"/>
        <w:widowControl w:val="0"/>
        <w:numPr>
          <w:ilvl w:val="0"/>
          <w:numId w:val="4"/>
        </w:numPr>
        <w:ind w:left="851" w:leftChars="0" w:hanging="371" w:firstLineChars="0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cenę brutto – 70 %</w:t>
      </w:r>
    </w:p>
    <w:p>
      <w:pPr>
        <w:pStyle w:val="24"/>
        <w:widowControl w:val="0"/>
        <w:numPr>
          <w:ilvl w:val="0"/>
          <w:numId w:val="4"/>
        </w:numPr>
        <w:ind w:left="851" w:leftChars="0" w:hanging="371" w:firstLineChars="0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termin wykonania – 30 %</w:t>
      </w:r>
    </w:p>
    <w:p>
      <w:pPr>
        <w:widowControl w:val="0"/>
        <w:ind w:firstLine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Każdej ofercie zostanie przyznana ilość punktów obliczona następująco:</w:t>
      </w:r>
    </w:p>
    <w:p>
      <w:pPr>
        <w:widowControl w:val="0"/>
        <w:ind w:firstLine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m:oMathPara>
        <m:oMath>
          <m:r>
            <m:rPr/>
            <w:rPr>
              <w:rFonts w:ascii="Cambria Math" w:hAnsi="Cambria Math"/>
              <w:snapToGrid w:val="0"/>
              <w:color w:val="000000" w:themeColor="text1"/>
              <w14:textFill>
                <w14:solidFill>
                  <w14:schemeClr w14:val="tx1"/>
                </w14:solidFill>
              </w14:textFill>
            </w:rPr>
            <m:t>A=c+t=… pkt</m:t>
          </m:r>
        </m:oMath>
      </m:oMathPara>
    </w:p>
    <w:p>
      <w:pPr>
        <w:widowControl w:val="0"/>
        <w:ind w:firstLine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gdzie:</w:t>
      </w:r>
    </w:p>
    <w:p>
      <w:pPr>
        <w:widowControl w:val="0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m:oMathPara>
        <m:oMath>
          <m:r>
            <m:rPr/>
            <w:rPr>
              <w:rFonts w:ascii="Cambria Math" w:hAnsi="Cambria Math"/>
              <w:snapToGrid w:val="0"/>
              <w:color w:val="000000" w:themeColor="text1"/>
              <w14:textFill>
                <w14:solidFill>
                  <w14:schemeClr w14:val="tx1"/>
                </w14:solidFill>
              </w14:textFill>
            </w:rPr>
            <m:t>c=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m:ctrlPr>
            </m:fPr>
            <m:num>
              <m:r>
                <m:rPr/>
                <w:rPr>
                  <w:rFonts w:ascii="Cambria Math" w:hAnsi="Cambria Math"/>
                  <w:snapToGrid w:val="0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m:t>cena najniższej oferty brutto</m:t>
              </m:r>
              <m:ctrlPr>
                <w:rPr>
                  <w:rFonts w:ascii="Cambria Math" w:hAnsi="Cambria Math"/>
                  <w:i/>
                  <w:snapToGrid w:val="0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m:ctrlPr>
            </m:num>
            <m:den>
              <m:r>
                <m:rPr/>
                <w:rPr>
                  <w:rFonts w:ascii="Cambria Math" w:hAnsi="Cambria Math"/>
                  <w:snapToGrid w:val="0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m:t>cena badanej oferty brutto</m:t>
              </m:r>
              <m:ctrlPr>
                <w:rPr>
                  <w:rFonts w:ascii="Cambria Math" w:hAnsi="Cambria Math"/>
                  <w:i/>
                  <w:snapToGrid w:val="0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m:ctrlPr>
            </m:den>
          </m:f>
          <m:r>
            <m:rPr/>
            <w:rPr>
              <w:rFonts w:ascii="Cambria Math" w:hAnsi="Cambria Math"/>
              <w:snapToGrid w:val="0"/>
              <w:color w:val="000000" w:themeColor="text1"/>
              <w14:textFill>
                <w14:solidFill>
                  <w14:schemeClr w14:val="tx1"/>
                </w14:solidFill>
              </w14:textFill>
            </w:rPr>
            <m:t>×70=… pkt</m:t>
          </m:r>
        </m:oMath>
      </m:oMathPara>
    </w:p>
    <w:p>
      <w:pPr>
        <w:widowControl w:val="0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m:oMathPara>
        <m:oMath>
          <m:r>
            <m:rPr/>
            <w:rPr>
              <w:rFonts w:ascii="Cambria Math" w:hAnsi="Cambria Math"/>
              <w:snapToGrid w:val="0"/>
              <w:color w:val="000000" w:themeColor="text1"/>
              <w14:textFill>
                <w14:solidFill>
                  <w14:schemeClr w14:val="tx1"/>
                </w14:solidFill>
              </w14:textFill>
            </w:rPr>
            <m:t>t=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napToGrid w:val="0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qArrPr>
                <m:e>
                  <m:r>
                    <m:rPr/>
                    <w:rPr>
                      <w:rFonts w:ascii="Cambria Math" w:hAnsi="Cambria Math"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30 pkt−termin wykonania do 21 dni od podpisania umowy</m:t>
                  </m: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20 pkt−termin wykonania do 28 dni od podpisania umowy</m:t>
                  </m: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10 pkt−termin wykonania do 35 dni od podpisania umowy</m:t>
                  </m:r>
                  <m:ctrlPr>
                    <w:rPr>
                      <w:rFonts w:ascii="Cambria Math" w:hAnsi="Cambria Math" w:eastAsia="Cambria Math" w:cs="Cambria Math"/>
                      <w:i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e>
                  <m:r>
                    <m:rPr/>
                    <w:rPr>
                      <w:rFonts w:ascii="Cambria Math" w:hAnsi="Cambria Math"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0 pkt−do dnia 30.0</m:t>
                  </m:r>
                  <m:r>
                    <m:rPr/>
                    <w:rPr>
                      <w:rFonts w:hint="default" w:ascii="Cambria Math" w:hAnsi="Cambria Math"/>
                      <w:snapToGrid w:val="0"/>
                      <w:color w:val="000000" w:themeColor="text1"/>
                      <w:lang w:val="pl-PL"/>
                      <w14:textFill>
                        <w14:solidFill>
                          <w14:schemeClr w14:val="tx1"/>
                        </w14:solidFill>
                      </w14:textFill>
                    </w:rPr>
                    <m:t>4</m:t>
                  </m:r>
                  <m:r>
                    <m:rPr/>
                    <w:rPr>
                      <w:rFonts w:ascii="Cambria Math" w:hAnsi="Cambria Math"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.202</m:t>
                  </m:r>
                  <m:r>
                    <m:rPr/>
                    <w:rPr>
                      <w:rFonts w:hint="default" w:ascii="Cambria Math" w:hAnsi="Cambria Math"/>
                      <w:snapToGrid w:val="0"/>
                      <w:color w:val="000000" w:themeColor="text1"/>
                      <w:lang w:val="pl-PL"/>
                      <w14:textFill>
                        <w14:solidFill>
                          <w14:schemeClr w14:val="tx1"/>
                        </w14:solidFill>
                      </w14:textFill>
                    </w:rPr>
                    <m:t>3</m:t>
                  </m:r>
                  <m:r>
                    <m:rPr/>
                    <w:rPr>
                      <w:rFonts w:ascii="Cambria Math" w:hAnsi="Cambria Math"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 xml:space="preserve"> r                                                                </m:t>
                  </m: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eqArr>
              <m:ctrlPr>
                <w:rPr>
                  <w:rFonts w:ascii="Cambria Math" w:hAnsi="Cambria Math"/>
                  <w:i/>
                  <w:snapToGrid w:val="0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m:ctrlPr>
            </m:e>
          </m:d>
        </m:oMath>
      </m:oMathPara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numPr>
          <w:ilvl w:val="0"/>
          <w:numId w:val="3"/>
        </w:numPr>
        <w:spacing w:line="276" w:lineRule="auto"/>
        <w:ind w:left="426" w:hanging="426"/>
        <w:jc w:val="both"/>
        <w:rPr>
          <w:rStyle w:val="26"/>
          <w:rFonts w:ascii="Cambria" w:hAnsi="Cambr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widowControl/>
        <w:numPr>
          <w:ilvl w:val="0"/>
          <w:numId w:val="3"/>
        </w:numPr>
        <w:spacing w:line="276" w:lineRule="auto"/>
        <w:ind w:left="426" w:hanging="426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pStyle w:val="24"/>
        <w:numPr>
          <w:ilvl w:val="3"/>
          <w:numId w:val="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numPr>
          <w:ilvl w:val="0"/>
          <w:numId w:val="6"/>
        </w:numPr>
        <w:spacing w:line="276" w:lineRule="auto"/>
        <w:ind w:left="720" w:leftChars="0" w:hanging="240" w:firstLineChars="0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numPr>
          <w:ilvl w:val="0"/>
          <w:numId w:val="6"/>
        </w:numPr>
        <w:spacing w:line="276" w:lineRule="auto"/>
        <w:ind w:left="720" w:leftChars="0" w:hanging="240" w:firstLineChars="0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numPr>
          <w:ilvl w:val="0"/>
          <w:numId w:val="6"/>
        </w:numPr>
        <w:spacing w:line="276" w:lineRule="auto"/>
        <w:ind w:left="720" w:leftChars="0" w:hanging="240" w:firstLineChars="0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numPr>
          <w:ilvl w:val="0"/>
          <w:numId w:val="6"/>
        </w:numPr>
        <w:spacing w:line="276" w:lineRule="auto"/>
        <w:ind w:left="720" w:leftChars="0" w:hanging="240" w:firstLineChars="0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pStyle w:val="24"/>
        <w:numPr>
          <w:ilvl w:val="3"/>
          <w:numId w:val="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Wykonawca, składając ofertę za pośrednictwem Platformy Zakupowej Gminy Lubawka, winien przedstawić następujące oświadczenia i dokumenty:</w:t>
      </w:r>
    </w:p>
    <w:p>
      <w:pPr>
        <w:pStyle w:val="24"/>
        <w:numPr>
          <w:ilvl w:val="0"/>
          <w:numId w:val="7"/>
        </w:numPr>
        <w:ind w:left="720" w:leftChars="0" w:hanging="240" w:firstLineChars="0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color w:val="000000" w:themeColor="text1"/>
          <w:u w:val="single"/>
          <w:lang w:val="pl-PL"/>
          <w14:textFill>
            <w14:solidFill>
              <w14:schemeClr w14:val="tx1"/>
            </w14:solidFill>
          </w14:textFill>
        </w:rPr>
        <w:t>z</w:t>
      </w:r>
      <w:r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  <w:t>aświadczenie</w:t>
      </w:r>
      <w:r>
        <w:rPr>
          <w:rFonts w:hint="default" w:ascii="Cambria" w:hAnsi="Cambria"/>
          <w:color w:val="000000" w:themeColor="text1"/>
          <w:u w:val="single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o </w:t>
      </w:r>
      <w:r>
        <w:rPr>
          <w:rFonts w:hint="default" w:ascii="Cambria" w:hAnsi="Cambria"/>
          <w:color w:val="000000" w:themeColor="text1"/>
          <w:u w:val="single"/>
          <w:lang w:val="pl-PL"/>
          <w14:textFill>
            <w14:solidFill>
              <w14:schemeClr w14:val="tx1"/>
            </w14:solidFill>
          </w14:textFill>
        </w:rPr>
        <w:t xml:space="preserve">wpisie do </w:t>
      </w:r>
      <w:r>
        <w:rPr>
          <w:rFonts w:hint="default"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  <w:t>wykazu osób uprawnionych do sporządzania świadectw charakterystyki energetycznej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"https://platformazakupowa.pl/pn/lubawka" </w:instrText>
      </w:r>
      <w:r>
        <w:fldChar w:fldCharType="separate"/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hint="default" w:ascii="Cambria" w:hAnsi="Cambria"/>
          <w:b/>
          <w:color w:val="000000" w:themeColor="text1"/>
          <w:lang w:val="pl-PL"/>
          <w14:textFill>
            <w14:solidFill>
              <w14:schemeClr w14:val="tx1"/>
            </w14:solidFill>
          </w14:textFill>
        </w:rPr>
        <w:t>20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.03.2023 r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do godziny 12:00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fldChar w:fldCharType="begin"/>
      </w:r>
      <w:r>
        <w:instrText xml:space="preserve"> HYPERLINK "mailto:maciej.kosal@zgm.lubawka.eu"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fldChar w:fldCharType="begin"/>
      </w:r>
      <w:r>
        <w:instrText xml:space="preserve"> HYPERLINK "mailto:edyta.gugul@zgm.lubawka.eu"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spacing w:line="276" w:lineRule="auto"/>
        <w:ind w:left="851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10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Wykonawca będzie związany złożoną ofertą przez okres </w:t>
      </w:r>
      <w:r>
        <w:rPr>
          <w:rFonts w:hint="default" w:ascii="Cambria" w:hAnsi="Cambria"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0 dni. Bieg terminu związania ofertą rozpoczyna się wraz z upływem terminu składania ofert.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oświadczenie o spełnianiu warunków udziału w postępowaniu,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wzór umowy,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klauzula informacyjna,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oświadczenie o spełnianiu warunków udziału w postępowaniu – wykluczenie,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b/>
          <w:i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ykaz budynków i lokali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Lubawka, dnia </w:t>
      </w:r>
      <w:r>
        <w:rPr>
          <w:rFonts w:hint="default" w:ascii="Cambria" w:hAnsi="Cambria"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13.03</w:t>
      </w:r>
      <w:bookmarkStart w:id="0" w:name="_GoBack"/>
      <w:bookmarkEnd w:id="0"/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.2023 r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36EB"/>
    <w:multiLevelType w:val="multilevel"/>
    <w:tmpl w:val="214936E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D06A8B"/>
    <w:multiLevelType w:val="multilevel"/>
    <w:tmpl w:val="30D06A8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A78E5"/>
    <w:multiLevelType w:val="multilevel"/>
    <w:tmpl w:val="6E3A78E5"/>
    <w:lvl w:ilvl="0" w:tentative="0">
      <w:start w:val="1"/>
      <w:numFmt w:val="lowerLetter"/>
      <w:lvlText w:val="%1)"/>
      <w:lvlJc w:val="left"/>
      <w:pPr>
        <w:ind w:left="-492" w:hanging="360"/>
      </w:pPr>
    </w:lvl>
    <w:lvl w:ilvl="1" w:tentative="0">
      <w:start w:val="1"/>
      <w:numFmt w:val="lowerLetter"/>
      <w:lvlText w:val="%2."/>
      <w:lvlJc w:val="left"/>
      <w:pPr>
        <w:ind w:left="228" w:hanging="360"/>
      </w:pPr>
    </w:lvl>
    <w:lvl w:ilvl="2" w:tentative="0">
      <w:start w:val="1"/>
      <w:numFmt w:val="lowerRoman"/>
      <w:lvlText w:val="%3."/>
      <w:lvlJc w:val="right"/>
      <w:pPr>
        <w:ind w:left="948" w:hanging="180"/>
      </w:pPr>
    </w:lvl>
    <w:lvl w:ilvl="3" w:tentative="0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2388" w:hanging="360"/>
      </w:pPr>
    </w:lvl>
    <w:lvl w:ilvl="5" w:tentative="0">
      <w:start w:val="1"/>
      <w:numFmt w:val="lowerRoman"/>
      <w:lvlText w:val="%6."/>
      <w:lvlJc w:val="right"/>
      <w:pPr>
        <w:ind w:left="3108" w:hanging="180"/>
      </w:pPr>
    </w:lvl>
    <w:lvl w:ilvl="6" w:tentative="0">
      <w:start w:val="1"/>
      <w:numFmt w:val="decimal"/>
      <w:lvlText w:val="%7."/>
      <w:lvlJc w:val="left"/>
      <w:pPr>
        <w:ind w:left="3828" w:hanging="360"/>
      </w:pPr>
    </w:lvl>
    <w:lvl w:ilvl="7" w:tentative="0">
      <w:start w:val="1"/>
      <w:numFmt w:val="lowerLetter"/>
      <w:lvlText w:val="%8."/>
      <w:lvlJc w:val="left"/>
      <w:pPr>
        <w:ind w:left="4548" w:hanging="360"/>
      </w:pPr>
    </w:lvl>
    <w:lvl w:ilvl="8" w:tentative="0">
      <w:start w:val="1"/>
      <w:numFmt w:val="lowerRoman"/>
      <w:lvlText w:val="%9."/>
      <w:lvlJc w:val="right"/>
      <w:pPr>
        <w:ind w:left="5268" w:hanging="180"/>
      </w:pPr>
    </w:lvl>
  </w:abstractNum>
  <w:abstractNum w:abstractNumId="8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2445A7A"/>
    <w:rsid w:val="02E421D0"/>
    <w:rsid w:val="085D307E"/>
    <w:rsid w:val="0D056211"/>
    <w:rsid w:val="0D482F3D"/>
    <w:rsid w:val="0F530C74"/>
    <w:rsid w:val="1AF776D6"/>
    <w:rsid w:val="214F329D"/>
    <w:rsid w:val="27A24E02"/>
    <w:rsid w:val="2CDA026E"/>
    <w:rsid w:val="2F8D1A70"/>
    <w:rsid w:val="3062519A"/>
    <w:rsid w:val="37C83A2B"/>
    <w:rsid w:val="38B62526"/>
    <w:rsid w:val="45BE2A1A"/>
    <w:rsid w:val="522651DE"/>
    <w:rsid w:val="63E71B40"/>
    <w:rsid w:val="74DF2D5F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1005</Words>
  <Characters>6035</Characters>
  <Lines>50</Lines>
  <Paragraphs>14</Paragraphs>
  <TotalTime>11</TotalTime>
  <ScaleCrop>false</ScaleCrop>
  <LinksUpToDate>false</LinksUpToDate>
  <CharactersWithSpaces>7026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2023-03-13T15:26:09Z</dcterms:modified>
  <dc:title>Z A P Y T A N I E    O F E R T O W E</dc:title>
  <cp:revision>268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1DA32F3642394F81BCC2B938C569AB7C</vt:lpwstr>
  </property>
</Properties>
</file>