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4D01" w14:textId="38E6941C" w:rsidR="005060C4" w:rsidRDefault="008B72C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Obowiązujący w S</w:t>
      </w:r>
      <w:r w:rsidR="00663A82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 xml:space="preserve"> MSWiA z W-M CO w Olsztynie wykaz diet leczniczych:</w:t>
      </w:r>
    </w:p>
    <w:p w14:paraId="42D30DBC" w14:textId="77777777" w:rsidR="005060C4" w:rsidRDefault="005060C4">
      <w:pPr>
        <w:jc w:val="both"/>
        <w:rPr>
          <w:rFonts w:ascii="Arial" w:hAnsi="Arial" w:cs="Arial"/>
          <w:b/>
          <w:u w:val="single"/>
        </w:rPr>
      </w:pPr>
    </w:p>
    <w:p w14:paraId="35C2AE21" w14:textId="77777777" w:rsidR="005060C4" w:rsidRDefault="008B72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(zgodny z zaleceniami Polskiego Towarzystwa Dietetyki oraz publikacją Instytutu Żywności i Żywienia pt. „Zasady prawidłowego żywienia chorych w szpitalach” z 2011 roku, pod red. prof. dr. hab. n. med. Mirosława Jarosza).</w:t>
      </w:r>
    </w:p>
    <w:p w14:paraId="089EF0BF" w14:textId="77777777" w:rsidR="005060C4" w:rsidRDefault="005060C4">
      <w:pPr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1985"/>
        <w:gridCol w:w="5244"/>
        <w:gridCol w:w="1560"/>
        <w:gridCol w:w="1275"/>
        <w:gridCol w:w="1559"/>
        <w:gridCol w:w="1845"/>
      </w:tblGrid>
      <w:tr w:rsidR="005060C4" w14:paraId="1F6DBFE5" w14:textId="77777777">
        <w:trPr>
          <w:trHeight w:val="8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912C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L.p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3141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Dieta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7683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48A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Kaloryczność</w:t>
            </w:r>
          </w:p>
          <w:p w14:paraId="34ECBF9A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Kcal/dba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52BB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Białko</w:t>
            </w:r>
          </w:p>
          <w:p w14:paraId="2495BD5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g/doba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20DA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Tłuszcze</w:t>
            </w:r>
          </w:p>
          <w:p w14:paraId="0431FCCD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g/doba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016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Węglowodany</w:t>
            </w:r>
          </w:p>
          <w:p w14:paraId="238E26A8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g/doba</w:t>
            </w:r>
          </w:p>
        </w:tc>
      </w:tr>
      <w:tr w:rsidR="005060C4" w14:paraId="3AA57547" w14:textId="77777777">
        <w:trPr>
          <w:trHeight w:val="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64E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8194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Podstawowa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E32F" w14:textId="77777777" w:rsidR="005060C4" w:rsidRDefault="00D22F55" w:rsidP="00AC1F74">
            <w:pPr>
              <w:rPr>
                <w:rFonts w:ascii="Arial" w:hAnsi="Arial" w:cs="Arial"/>
                <w:sz w:val="22"/>
                <w:szCs w:val="22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Z</w:t>
            </w:r>
            <w:r w:rsidR="008B72CF">
              <w:rPr>
                <w:rFonts w:ascii="Arial" w:hAnsi="Arial" w:cs="Arial"/>
                <w:sz w:val="22"/>
                <w:szCs w:val="22"/>
                <w:lang w:eastAsia="pl-PL"/>
              </w:rPr>
              <w:t xml:space="preserve">ostała opracowana dla osób bez zaburzeń ze strony przewodu pokarmowego. Dotyczy pacjentów, którzy </w:t>
            </w:r>
            <w:r w:rsidR="008B72CF" w:rsidRPr="00ED45F8">
              <w:rPr>
                <w:rFonts w:ascii="Arial" w:hAnsi="Arial" w:cs="Arial"/>
                <w:sz w:val="22"/>
                <w:szCs w:val="22"/>
                <w:lang w:eastAsia="pl-PL"/>
              </w:rPr>
              <w:t>nie wymagają ograniczeń dietetycznych. Zadaniem diety</w:t>
            </w:r>
            <w:r w:rsidR="008B72CF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spełnienie wszystkich wymogów zasad racjonalnego żywienia osób zdrowych.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4270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2200-2500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9DA7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85-93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D6C7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77-87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523A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314-360</w:t>
            </w:r>
          </w:p>
        </w:tc>
      </w:tr>
      <w:tr w:rsidR="005060C4" w14:paraId="402EE92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0872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ED94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Lekkostrawna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43D3" w14:textId="77777777" w:rsidR="005060C4" w:rsidRDefault="008B72CF">
            <w:pPr>
              <w:rPr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t>Dieta ta stanowi modyfikację żywienia podstawowego. Zalecana jest osobom ze schorzeniami układu pokarmowego, a także w podeszłym wieku. Wskazane jest, aby była to dieta wstępna, przy przyjęciu pacjenta do szpitala, i stosowana aż do momentu ustalenia właściwej dla stanu zdrowia diety przez lekarza lub dietetyka.</w:t>
            </w:r>
          </w:p>
          <w:p w14:paraId="1F86AF46" w14:textId="77777777" w:rsidR="005060C4" w:rsidRDefault="008B72CF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t>Zasadnicza modyfikacja w tej diecie polega na doborze odpowiednich produktów, potraw i technik kulinarnych. O ile nie ma dodatkowych wskazań dietetycznych (np. dotyczących ograniczenia wartości energetycznej diety lub innych ograniczeń dietetycznych wynikających ze wskazań lekarza/dietetyka), powinna dostarczać taką samą ilość energii i składników odżywczych, jak w odniesieniu do populacji osób zdrowych.</w:t>
            </w:r>
          </w:p>
          <w:p w14:paraId="0CFEDE0F" w14:textId="77777777" w:rsidR="005060C4" w:rsidRDefault="008B72CF">
            <w:pPr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t>Dieta lekkostrawna jest podstawą do planowania pozostałych diet w zakładzie leczniczym.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9FD2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2000-2400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01E0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82-93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A5E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64-78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32E1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275-330</w:t>
            </w:r>
          </w:p>
        </w:tc>
      </w:tr>
      <w:tr w:rsidR="005060C4" w14:paraId="017495B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9FE1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7578" w14:textId="77777777" w:rsidR="005060C4" w:rsidRDefault="008B72C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Dieta lekkostrawna z ograniczeniem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substancji pobudzających wydzielanie soku żołądkowego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AA9" w14:textId="77777777" w:rsidR="005060C4" w:rsidRDefault="008B72CF">
            <w:pPr>
              <w:jc w:val="both"/>
              <w:rPr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lastRenderedPageBreak/>
              <w:t xml:space="preserve">Dieta ta z założenia powinna oszczędzać chory narząd. Ma za zadanie neutralizować działanie soku żołądkowego lub redukować wydzielanie kwasu w </w:t>
            </w:r>
            <w:r>
              <w:rPr>
                <w:rFonts w:ascii="Arial" w:hAnsi="Arial" w:cs="Arial"/>
                <w:sz w:val="22"/>
                <w:szCs w:val="20"/>
                <w:lang w:eastAsia="pl-PL"/>
              </w:rPr>
              <w:lastRenderedPageBreak/>
              <w:t>żołądku, nie podrażniać termicznie, mechanicznie i chemicznie. Z diety tej należy wyeliminować te potrawy, które nadmiernie pobudzają wydzielanie soku żołądkowego, m.in. potrawy smażone, sosy, zasmażki, wywary mięsne, galarety mięsne i rybne, potrawy kwaśne i słone, mocną herbatę. Wartość odżywcza diety powinna w pełni pokrywać zapotrzebowanie energetyczne i odżywcze pacjenta.</w:t>
            </w:r>
          </w:p>
          <w:p w14:paraId="31BFCF27" w14:textId="77777777" w:rsidR="005060C4" w:rsidRDefault="008B72CF">
            <w:pPr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sz w:val="22"/>
                <w:szCs w:val="20"/>
                <w:lang w:eastAsia="pl-PL"/>
              </w:rPr>
              <w:t>Dieta ta przeznaczona jest głównie dla chorych z zakażeniem Helicobacter pylori, chorobą wrzodową żołądka i dwunastnicy, przewlekłym nieżytem żołądka oraz w okresie rekonwalescencji. Ze względu na modyfikację konsystencji (dieta przecierana/mielona) znajduje także zastosowanie u osób starszych. Powinna być stosowana po diecie kleikowej oraz po zabiegach chirurgicznych przewodu pokarmowego.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EB61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2200-2400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A468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94-99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FE26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75-77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E5E1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296-333</w:t>
            </w:r>
          </w:p>
        </w:tc>
      </w:tr>
      <w:tr w:rsidR="005060C4" w14:paraId="7A40923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A6E7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2D292" w14:textId="77777777" w:rsidR="005060C4" w:rsidRDefault="008B72C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Dieta  z ograniczeniem węglowodanów łatwo przyswajalnych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0A93" w14:textId="77777777" w:rsidR="005060C4" w:rsidRDefault="008B72CF" w:rsidP="00AC1F74">
            <w:pPr>
              <w:jc w:val="both"/>
              <w:rPr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Dieta ta przeznaczona jest dla osób z cukrzycą oraz innymi zaburzeniami gospodarki węglowodanowej, w celu uzyskania prawidłowego stężenia glukozy we krwi. Ze względu na częste współistnienie powikłań sercowo-naczyniowych, ww. dieta powinna charakteryzować się także właściwym stosunkiem kwasów tłuszczowych oraz ograniczeniem tłuszczów zwierzęcych. Z uwagi na występujące m.in. różnice w farmakoterapii, zapotrzebowanie chorego na energię i składniki pokarmowe (zależne od płci, wieku, stanu fizjologicznego, aktywności </w:t>
            </w:r>
            <w:r w:rsidRPr="001D55D1">
              <w:rPr>
                <w:rFonts w:ascii="Arial" w:hAnsi="Arial" w:cs="Arial"/>
                <w:sz w:val="22"/>
                <w:szCs w:val="22"/>
                <w:lang w:eastAsia="pl-PL"/>
              </w:rPr>
              <w:t>fizycznej i schorzeń współistniejących), powinno być ustalane indywidualnie dla każdego pacjenta.</w:t>
            </w:r>
            <w:r w:rsidR="001D55D1" w:rsidRPr="001D55D1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1D55D1">
              <w:rPr>
                <w:rFonts w:ascii="Arial" w:hAnsi="Arial" w:cs="Arial"/>
                <w:sz w:val="22"/>
                <w:szCs w:val="22"/>
                <w:lang w:eastAsia="pl-PL"/>
              </w:rPr>
              <w:t>Planując ww. dietę należy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także uwzględnić pacjentów, którzy ze względu na rodzaj leczenia (np. intensywna insulinoterapia) wymagają dodatkowego posiłku przed snem (dostarczającego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1-2 WW-wg indywidualnych wskazań). Dotyczy to głównie pacjentów z cukrzycą typu I oraz tych, u których występuje często hipoglikemia.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7395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2000-2200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EE3A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82-90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EB68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61-75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C16F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275-305</w:t>
            </w:r>
          </w:p>
        </w:tc>
      </w:tr>
      <w:tr w:rsidR="005060C4" w14:paraId="48D8ACB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5DF6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5919" w14:textId="77777777" w:rsidR="005060C4" w:rsidRDefault="008B72C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Dieta lekkostrawna z ograniczeniem tłuszczu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C66F" w14:textId="77777777" w:rsidR="005060C4" w:rsidRDefault="008B72CF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Dieta łatwo strawna z ograniczeniem tłuszczu wskazana jest w przewlekłym zapaleniu i kamicy pęcherzyka żółciowego oraz dróg żółciowych, w chorobach miąższu wątroby (przewlekłym zapaleniu i marskości wątroby), w przewlekłym zapaleniu trzustki, we wrzodziejącym zapaleniu jelita grubego (w okresie zaostrzenia choroby) oraz w zaburzeniach lipidowych. Celem tej diety jest ochrona w/w narządów poprzez zmniejszenie ich aktywności wydzielniczej. Jest ona modyfikacją diety łatwo strawnej. Modyfikacja ta polega na zmniejszeniu produktów będących źródłem tłuszczu zwierzęcego oraz obfitujących w cholesterol.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6C90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9ACA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80-85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2659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30-50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24FC" w14:textId="77777777" w:rsidR="005060C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296-333</w:t>
            </w:r>
          </w:p>
        </w:tc>
      </w:tr>
      <w:tr w:rsidR="005060C4" w:rsidRPr="00463124" w14:paraId="073D771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BCA8" w14:textId="77777777" w:rsidR="005060C4" w:rsidRPr="0046312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4563" w14:textId="77777777" w:rsidR="005060C4" w:rsidRPr="00463124" w:rsidRDefault="008B72CF">
            <w:pPr>
              <w:rPr>
                <w:szCs w:val="20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0"/>
                <w:lang w:eastAsia="pl-PL"/>
              </w:rPr>
              <w:t>Dieta lekkostrawna o zmienionej konsystencji (papka, sonda</w:t>
            </w:r>
            <w:r w:rsidRPr="00463124">
              <w:rPr>
                <w:rFonts w:ascii="Arial" w:hAnsi="Arial" w:cs="Arial"/>
                <w:b/>
                <w:sz w:val="22"/>
                <w:szCs w:val="20"/>
                <w:u w:val="single"/>
                <w:lang w:eastAsia="pl-PL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9DF7" w14:textId="77777777" w:rsidR="005060C4" w:rsidRPr="00463124" w:rsidRDefault="008B72CF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Sonda – dieta o konsystencji płynnej.</w:t>
            </w:r>
          </w:p>
          <w:p w14:paraId="5387CCA5" w14:textId="77777777" w:rsidR="005060C4" w:rsidRPr="00463124" w:rsidRDefault="008B72CF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Papka – posiłki przetarte przez sito lub zmiksowane o konsystencji gęstej papki.</w:t>
            </w:r>
          </w:p>
          <w:p w14:paraId="1BC2AD76" w14:textId="77777777" w:rsidR="005060C4" w:rsidRPr="00463124" w:rsidRDefault="008B72CF">
            <w:pPr>
              <w:jc w:val="both"/>
              <w:rPr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Wartość odżywcza ww. diety powinna pokrywać indywidualne zapotrzebowanie chorego. Stosowana może być m.in. u pacjentów ze schorzeniami jamy ustnej i przełyku, u rekonwalescentów po zabiegach operacyjnych i urazach twarzoszczęki, po oparzeniach przełyku i żołądka, a także w przypadku nowotworów przewodu pokarmowego, gdzie występują trudności w przyjmowaniu produktów stałych.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4157" w14:textId="77777777" w:rsidR="005060C4" w:rsidRPr="0046312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2000-2400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664C" w14:textId="77777777" w:rsidR="005060C4" w:rsidRPr="0046312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82-93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3438" w14:textId="77777777" w:rsidR="005060C4" w:rsidRPr="0046312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64-78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348A" w14:textId="77777777" w:rsidR="005060C4" w:rsidRPr="00463124" w:rsidRDefault="008B72C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63124">
              <w:rPr>
                <w:rFonts w:ascii="Arial" w:hAnsi="Arial" w:cs="Arial"/>
                <w:sz w:val="22"/>
                <w:szCs w:val="22"/>
                <w:lang w:eastAsia="pl-PL"/>
              </w:rPr>
              <w:t>275-330</w:t>
            </w:r>
          </w:p>
        </w:tc>
      </w:tr>
    </w:tbl>
    <w:p w14:paraId="5C0D6E10" w14:textId="77777777" w:rsidR="00CA669D" w:rsidRDefault="00CA669D" w:rsidP="00BC74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444012" w14:textId="77777777" w:rsidR="00CA669D" w:rsidRDefault="00CA669D" w:rsidP="00BC74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5AA75C" w14:textId="77777777" w:rsidR="00CA669D" w:rsidRDefault="00CA669D" w:rsidP="00BC74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D376CB" w14:textId="77777777" w:rsidR="00CA669D" w:rsidRDefault="00CA669D" w:rsidP="00BC74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40694B" w14:textId="288D540E" w:rsidR="00001225" w:rsidRPr="00001225" w:rsidRDefault="00001225" w:rsidP="00001225">
      <w:pPr>
        <w:suppressAutoHyphens w:val="0"/>
        <w:spacing w:after="160" w:line="25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b/>
          <w:bCs/>
          <w:sz w:val="28"/>
          <w:szCs w:val="28"/>
          <w:lang w:eastAsia="en-US" w:bidi="ar-SA"/>
          <w14:ligatures w14:val="standardContextual"/>
        </w:rPr>
        <w:lastRenderedPageBreak/>
        <w:t>Wykaz diet leczniczych stosowanych w szpitalu:</w:t>
      </w:r>
    </w:p>
    <w:p w14:paraId="69144B38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 Dieta podstawowa</w:t>
      </w:r>
    </w:p>
    <w:p w14:paraId="4A968F8A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II Dieta lekkostrawna</w:t>
      </w:r>
    </w:p>
    <w:p w14:paraId="0D0D8611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III Dieta niskobiałkowa</w:t>
      </w:r>
    </w:p>
    <w:p w14:paraId="5ADCE0FD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III a Dieta wysokobiałkowa</w:t>
      </w:r>
    </w:p>
    <w:p w14:paraId="66B02732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IV Dieta niskotłuszczowa (wątrobowa, żołądkowa, trzustkowa)</w:t>
      </w:r>
    </w:p>
    <w:p w14:paraId="0EDC887A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IV a Dieta niskotłuszczowa bezmleczna</w:t>
      </w:r>
    </w:p>
    <w:p w14:paraId="3D6C6598" w14:textId="50DE653E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 Dieta z ograniczeniem łatwo</w:t>
      </w:r>
      <w:r>
        <w:rPr>
          <w:rFonts w:ascii="Calibri" w:eastAsia="Calibri" w:hAnsi="Calibri"/>
          <w:lang w:eastAsia="en-US" w:bidi="ar-SA"/>
          <w14:ligatures w14:val="standardContextual"/>
        </w:rPr>
        <w:t xml:space="preserve"> </w:t>
      </w:r>
      <w:r w:rsidRPr="00001225">
        <w:rPr>
          <w:rFonts w:ascii="Calibri" w:eastAsia="Calibri" w:hAnsi="Calibri"/>
          <w:lang w:eastAsia="en-US" w:bidi="ar-SA"/>
          <w14:ligatures w14:val="standardContextual"/>
        </w:rPr>
        <w:t>przyswajalnych węglowodanów</w:t>
      </w:r>
    </w:p>
    <w:p w14:paraId="028257AE" w14:textId="7EDED249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 a Dieta z ograniczeniem łatwo</w:t>
      </w:r>
      <w:r>
        <w:rPr>
          <w:rFonts w:ascii="Calibri" w:eastAsia="Calibri" w:hAnsi="Calibri"/>
          <w:lang w:eastAsia="en-US" w:bidi="ar-SA"/>
          <w14:ligatures w14:val="standardContextual"/>
        </w:rPr>
        <w:t xml:space="preserve"> </w:t>
      </w:r>
      <w:r w:rsidRPr="00001225">
        <w:rPr>
          <w:rFonts w:ascii="Calibri" w:eastAsia="Calibri" w:hAnsi="Calibri"/>
          <w:lang w:eastAsia="en-US" w:bidi="ar-SA"/>
          <w14:ligatures w14:val="standardContextual"/>
        </w:rPr>
        <w:t>przyswajalnych węglowodanów bezmleczna</w:t>
      </w:r>
    </w:p>
    <w:p w14:paraId="5D6A716C" w14:textId="453647C2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 b Dieta z ograniczeniem łatwo</w:t>
      </w:r>
      <w:r>
        <w:rPr>
          <w:rFonts w:ascii="Calibri" w:eastAsia="Calibri" w:hAnsi="Calibri"/>
          <w:lang w:eastAsia="en-US" w:bidi="ar-SA"/>
          <w14:ligatures w14:val="standardContextual"/>
        </w:rPr>
        <w:t xml:space="preserve"> </w:t>
      </w:r>
      <w:r w:rsidRPr="00001225">
        <w:rPr>
          <w:rFonts w:ascii="Calibri" w:eastAsia="Calibri" w:hAnsi="Calibri"/>
          <w:lang w:eastAsia="en-US" w:bidi="ar-SA"/>
          <w14:ligatures w14:val="standardContextual"/>
        </w:rPr>
        <w:t>przyswajalnych węglowodanów bezmleczna lekkostrawna</w:t>
      </w:r>
    </w:p>
    <w:p w14:paraId="578E1374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VI Dieta niskokaloryczna</w:t>
      </w:r>
    </w:p>
    <w:p w14:paraId="008D241C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VI a Dieta wysokokaloryczna</w:t>
      </w:r>
    </w:p>
    <w:p w14:paraId="41AEE6EA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VII Dieta bezmleczna</w:t>
      </w:r>
    </w:p>
    <w:p w14:paraId="6DDD874F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VIII Dieta niskosodowa</w:t>
      </w:r>
    </w:p>
    <w:p w14:paraId="669CC102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IX Diety o zmienionej konsystencji:</w:t>
      </w:r>
    </w:p>
    <w:p w14:paraId="26A5455E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IX a Sonda</w:t>
      </w:r>
    </w:p>
    <w:p w14:paraId="2D62E03F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IX b Papka</w:t>
      </w:r>
    </w:p>
    <w:p w14:paraId="45419419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IX c Rozdrobniona</w:t>
      </w:r>
    </w:p>
    <w:p w14:paraId="7FDB5A4C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IX d Rozdrobniona cukrzycowa</w:t>
      </w:r>
    </w:p>
    <w:p w14:paraId="1D23FFEF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lastRenderedPageBreak/>
        <w:t>X Dieta neutropeniczna</w:t>
      </w:r>
    </w:p>
    <w:p w14:paraId="091E4413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XI Dieta płynna (zupa niskotłuszczowa)</w:t>
      </w:r>
    </w:p>
    <w:p w14:paraId="692654FB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XII Dieta bezglutenowa</w:t>
      </w:r>
    </w:p>
    <w:p w14:paraId="7E971758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XIII Dieta wegetariańska</w:t>
      </w:r>
    </w:p>
    <w:p w14:paraId="056775F8" w14:textId="77777777" w:rsidR="00001225" w:rsidRPr="00001225" w:rsidRDefault="00001225" w:rsidP="00001225">
      <w:pPr>
        <w:suppressAutoHyphens w:val="0"/>
        <w:spacing w:after="160" w:line="256" w:lineRule="auto"/>
        <w:rPr>
          <w:rFonts w:ascii="Calibri" w:eastAsia="Calibri" w:hAnsi="Calibri"/>
          <w:lang w:eastAsia="en-US" w:bidi="ar-SA"/>
          <w14:ligatures w14:val="standardContextual"/>
        </w:rPr>
      </w:pPr>
      <w:r w:rsidRPr="00001225">
        <w:rPr>
          <w:rFonts w:ascii="Calibri" w:eastAsia="Calibri" w:hAnsi="Calibri"/>
          <w:lang w:eastAsia="en-US" w:bidi="ar-SA"/>
          <w14:ligatures w14:val="standardContextual"/>
        </w:rPr>
        <w:t>XIV Dieta specjalna (indywidualne żywienie)</w:t>
      </w:r>
    </w:p>
    <w:p w14:paraId="7F38D861" w14:textId="77777777" w:rsidR="00BC7452" w:rsidRPr="00BC7452" w:rsidRDefault="00BC7452" w:rsidP="00BC7452">
      <w:pPr>
        <w:spacing w:line="360" w:lineRule="auto"/>
        <w:rPr>
          <w:rFonts w:ascii="Arial" w:hAnsi="Arial" w:cs="Arial"/>
          <w:sz w:val="22"/>
          <w:szCs w:val="22"/>
        </w:rPr>
      </w:pPr>
    </w:p>
    <w:p w14:paraId="42D1F48E" w14:textId="3469F21B" w:rsidR="00BC7452" w:rsidRPr="00BC7452" w:rsidRDefault="00BC7452" w:rsidP="00BC7452">
      <w:pPr>
        <w:pStyle w:val="Tekstpodstawowy"/>
        <w:spacing w:line="360" w:lineRule="auto"/>
        <w:jc w:val="both"/>
        <w:rPr>
          <w:rFonts w:ascii="Arial" w:hAnsi="Arial"/>
          <w:sz w:val="22"/>
          <w:szCs w:val="22"/>
        </w:rPr>
      </w:pPr>
      <w:r w:rsidRPr="00BC7452">
        <w:rPr>
          <w:rFonts w:ascii="Arial" w:hAnsi="Arial" w:cs="Arial"/>
          <w:b/>
          <w:sz w:val="22"/>
          <w:szCs w:val="22"/>
        </w:rPr>
        <w:t>W/w diety są dietami najczęściej zlecanymi w  S</w:t>
      </w:r>
      <w:r w:rsidR="00663A82">
        <w:rPr>
          <w:rFonts w:ascii="Arial" w:hAnsi="Arial" w:cs="Arial"/>
          <w:b/>
          <w:sz w:val="22"/>
          <w:szCs w:val="22"/>
        </w:rPr>
        <w:t xml:space="preserve">K </w:t>
      </w:r>
      <w:r w:rsidRPr="00BC7452">
        <w:rPr>
          <w:rFonts w:ascii="Arial" w:hAnsi="Arial" w:cs="Arial"/>
          <w:b/>
          <w:sz w:val="22"/>
          <w:szCs w:val="22"/>
        </w:rPr>
        <w:t>MSWiA z W-MCO w Olsztynie.</w:t>
      </w:r>
    </w:p>
    <w:p w14:paraId="0B9FB40C" w14:textId="77777777" w:rsidR="00BC7452" w:rsidRPr="00BC7452" w:rsidRDefault="00BC7452" w:rsidP="00BC7452">
      <w:pPr>
        <w:widowControl w:val="0"/>
        <w:shd w:val="clear" w:color="auto" w:fill="FFFFFF"/>
        <w:tabs>
          <w:tab w:val="left" w:pos="567"/>
          <w:tab w:val="left" w:pos="14760"/>
        </w:tabs>
        <w:spacing w:before="60" w:after="60" w:line="360" w:lineRule="auto"/>
        <w:ind w:left="567" w:right="46" w:hanging="567"/>
        <w:jc w:val="both"/>
        <w:rPr>
          <w:rFonts w:ascii="Arial" w:hAnsi="Arial" w:cs="Arial"/>
          <w:sz w:val="22"/>
          <w:szCs w:val="22"/>
        </w:rPr>
      </w:pPr>
      <w:r w:rsidRPr="00BC7452">
        <w:rPr>
          <w:rFonts w:ascii="Arial" w:hAnsi="Arial" w:cs="Arial"/>
          <w:sz w:val="22"/>
          <w:szCs w:val="22"/>
        </w:rPr>
        <w:t>Wszelkie odstępstwa muszą zostać zaakceptowane przez Zamawiającego.</w:t>
      </w:r>
    </w:p>
    <w:p w14:paraId="08CAD647" w14:textId="77777777" w:rsidR="005060C4" w:rsidRDefault="005060C4">
      <w:pPr>
        <w:spacing w:line="360" w:lineRule="auto"/>
        <w:rPr>
          <w:rFonts w:ascii="Arial" w:hAnsi="Arial"/>
          <w:sz w:val="22"/>
          <w:szCs w:val="22"/>
        </w:rPr>
      </w:pPr>
    </w:p>
    <w:sectPr w:rsidR="005060C4" w:rsidSect="005060C4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BC10" w14:textId="77777777" w:rsidR="007B0D16" w:rsidRDefault="007B0D16" w:rsidP="005060C4">
      <w:r>
        <w:separator/>
      </w:r>
    </w:p>
  </w:endnote>
  <w:endnote w:type="continuationSeparator" w:id="0">
    <w:p w14:paraId="4F867118" w14:textId="77777777" w:rsidR="007B0D16" w:rsidRDefault="007B0D16" w:rsidP="005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8907"/>
      <w:docPartObj>
        <w:docPartGallery w:val="Page Numbers (Bottom of Page)"/>
        <w:docPartUnique/>
      </w:docPartObj>
    </w:sdtPr>
    <w:sdtEndPr/>
    <w:sdtContent>
      <w:p w14:paraId="48CC91DC" w14:textId="77777777" w:rsidR="003E3006" w:rsidRDefault="00A579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B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B046F19" w14:textId="77777777" w:rsidR="003E3006" w:rsidRDefault="003E3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11D2" w14:textId="77777777" w:rsidR="007B0D16" w:rsidRDefault="007B0D16" w:rsidP="005060C4">
      <w:r>
        <w:separator/>
      </w:r>
    </w:p>
  </w:footnote>
  <w:footnote w:type="continuationSeparator" w:id="0">
    <w:p w14:paraId="00902A15" w14:textId="77777777" w:rsidR="007B0D16" w:rsidRDefault="007B0D16" w:rsidP="005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CD5A" w14:textId="42AECA16" w:rsidR="005060C4" w:rsidRPr="00BA7ADE" w:rsidRDefault="00500B51">
    <w:pPr>
      <w:widowControl w:val="0"/>
      <w:jc w:val="right"/>
      <w:rPr>
        <w:rFonts w:ascii="Arial" w:hAnsi="Arial"/>
        <w:bCs/>
        <w:sz w:val="22"/>
        <w:szCs w:val="22"/>
      </w:rPr>
    </w:pPr>
    <w:r w:rsidRPr="00BA7ADE">
      <w:rPr>
        <w:rFonts w:ascii="Arial" w:hAnsi="Arial"/>
        <w:bCs/>
        <w:sz w:val="22"/>
        <w:szCs w:val="22"/>
      </w:rPr>
      <w:t>ZPZ-</w:t>
    </w:r>
    <w:r w:rsidR="00BA7ADE" w:rsidRPr="00BA7ADE">
      <w:rPr>
        <w:rFonts w:ascii="Arial" w:hAnsi="Arial"/>
        <w:bCs/>
        <w:sz w:val="22"/>
        <w:szCs w:val="22"/>
      </w:rPr>
      <w:t>67/10/23</w:t>
    </w:r>
    <w:r w:rsidR="008B72CF" w:rsidRPr="00BA7ADE">
      <w:rPr>
        <w:rFonts w:ascii="Arial" w:hAnsi="Arial"/>
        <w:bCs/>
        <w:sz w:val="22"/>
        <w:szCs w:val="22"/>
      </w:rPr>
      <w:t xml:space="preserve">                                                                                                             </w:t>
    </w:r>
    <w:r w:rsidRPr="00BA7ADE">
      <w:rPr>
        <w:rFonts w:ascii="Arial" w:hAnsi="Arial"/>
        <w:bCs/>
        <w:sz w:val="22"/>
        <w:szCs w:val="22"/>
      </w:rPr>
      <w:t xml:space="preserve">                  Załącznik nr 2</w:t>
    </w:r>
    <w:r w:rsidR="008B72CF" w:rsidRPr="00BA7ADE">
      <w:rPr>
        <w:rFonts w:ascii="Arial" w:hAnsi="Arial"/>
        <w:bCs/>
        <w:sz w:val="22"/>
        <w:szCs w:val="22"/>
      </w:rPr>
      <w:t xml:space="preserve"> do SWZ / Załącznik nr </w:t>
    </w:r>
    <w:r w:rsidRPr="00BA7ADE">
      <w:rPr>
        <w:rFonts w:ascii="Arial" w:hAnsi="Arial"/>
        <w:bCs/>
        <w:sz w:val="22"/>
        <w:szCs w:val="22"/>
      </w:rPr>
      <w:t>3</w:t>
    </w:r>
    <w:r w:rsidR="008B72CF" w:rsidRPr="00BA7ADE">
      <w:rPr>
        <w:rFonts w:ascii="Arial" w:hAnsi="Arial"/>
        <w:bCs/>
        <w:sz w:val="22"/>
        <w:szCs w:val="22"/>
      </w:rPr>
      <w:t xml:space="preserve"> do umowy </w:t>
    </w:r>
  </w:p>
  <w:p w14:paraId="7616F24C" w14:textId="77777777" w:rsidR="005060C4" w:rsidRPr="00BA7ADE" w:rsidRDefault="005060C4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C4"/>
    <w:rsid w:val="00001225"/>
    <w:rsid w:val="00180EB8"/>
    <w:rsid w:val="001D55D1"/>
    <w:rsid w:val="00231F5B"/>
    <w:rsid w:val="002D25FA"/>
    <w:rsid w:val="0031698D"/>
    <w:rsid w:val="00322F27"/>
    <w:rsid w:val="0033271E"/>
    <w:rsid w:val="00332956"/>
    <w:rsid w:val="00353791"/>
    <w:rsid w:val="003E3006"/>
    <w:rsid w:val="003F4996"/>
    <w:rsid w:val="00463124"/>
    <w:rsid w:val="004F637B"/>
    <w:rsid w:val="00500B51"/>
    <w:rsid w:val="005060C4"/>
    <w:rsid w:val="00570515"/>
    <w:rsid w:val="00663A82"/>
    <w:rsid w:val="00691046"/>
    <w:rsid w:val="007819E3"/>
    <w:rsid w:val="007B0D16"/>
    <w:rsid w:val="008762B8"/>
    <w:rsid w:val="0088160B"/>
    <w:rsid w:val="008B72CF"/>
    <w:rsid w:val="00A5792C"/>
    <w:rsid w:val="00AC1F74"/>
    <w:rsid w:val="00B02781"/>
    <w:rsid w:val="00BA7ADE"/>
    <w:rsid w:val="00BC7452"/>
    <w:rsid w:val="00CA669D"/>
    <w:rsid w:val="00D22F55"/>
    <w:rsid w:val="00E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D6AB"/>
  <w15:docId w15:val="{D8DCDE82-C1FD-473B-93F5-3049739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C4"/>
    <w:pPr>
      <w:suppressAutoHyphens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5060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qFormat/>
    <w:rsid w:val="005060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qFormat/>
    <w:rsid w:val="005060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rsid w:val="005060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060C4"/>
    <w:pPr>
      <w:spacing w:after="120"/>
    </w:pPr>
  </w:style>
  <w:style w:type="paragraph" w:styleId="Lista">
    <w:name w:val="List"/>
    <w:basedOn w:val="Tekstpodstawowy"/>
    <w:rsid w:val="005060C4"/>
    <w:rPr>
      <w:rFonts w:cs="Arial"/>
    </w:rPr>
  </w:style>
  <w:style w:type="paragraph" w:customStyle="1" w:styleId="Legenda1">
    <w:name w:val="Legenda1"/>
    <w:basedOn w:val="Normalny"/>
    <w:qFormat/>
    <w:rsid w:val="005060C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060C4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5060C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5060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060C4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8762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762B8"/>
    <w:rPr>
      <w:rFonts w:ascii="Times New Roman" w:eastAsia="Times New Roman" w:hAnsi="Times New Roman" w:cs="Mangal"/>
      <w:sz w:val="24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jacek.maj</dc:creator>
  <cp:lastModifiedBy>Małgorzata Mikulewicz</cp:lastModifiedBy>
  <cp:revision>7</cp:revision>
  <dcterms:created xsi:type="dcterms:W3CDTF">2023-08-09T10:24:00Z</dcterms:created>
  <dcterms:modified xsi:type="dcterms:W3CDTF">2023-10-13T11:55:00Z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