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37EB9" w14:textId="77777777" w:rsidR="00686214" w:rsidRPr="00686214" w:rsidRDefault="00686214" w:rsidP="006862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bookmarkStart w:id="0" w:name="_Toc22892323"/>
      <w:bookmarkStart w:id="1" w:name="_Hlk163634772"/>
      <w:r w:rsidRPr="0068621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DZP.281.9A.2024</w:t>
      </w:r>
      <w:r w:rsidRPr="0068621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ab/>
      </w:r>
      <w:r w:rsidRPr="0068621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ab/>
      </w:r>
      <w:r w:rsidRPr="0068621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ab/>
      </w:r>
      <w:r w:rsidRPr="0068621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ab/>
      </w:r>
      <w:r w:rsidRPr="0068621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ab/>
      </w:r>
      <w:r w:rsidRPr="0068621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ab/>
      </w:r>
      <w:r w:rsidRPr="0068621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ab/>
      </w:r>
      <w:r w:rsidRPr="00686214"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ab/>
      </w:r>
      <w:r w:rsidRPr="0068621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Załącznik nr 7</w:t>
      </w:r>
    </w:p>
    <w:p w14:paraId="7E2126FE" w14:textId="14F9138F" w:rsidR="00686214" w:rsidRPr="00E61414" w:rsidRDefault="00E61414" w:rsidP="00E61414">
      <w:pPr>
        <w:pStyle w:val="Bezodstpw"/>
        <w:ind w:left="4956" w:firstLine="708"/>
        <w:jc w:val="center"/>
        <w:rPr>
          <w:rFonts w:ascii="Times New Roman" w:eastAsia="Calibri" w:hAnsi="Times New Roman" w:cs="Times New Roman"/>
          <w:bCs/>
          <w:i/>
          <w:iCs/>
          <w:sz w:val="20"/>
          <w:szCs w:val="20"/>
          <w:lang w:eastAsia="ar-SA"/>
        </w:rPr>
      </w:pPr>
      <w:r w:rsidRPr="00E61414">
        <w:rPr>
          <w:rFonts w:ascii="Times New Roman" w:eastAsia="Calibri" w:hAnsi="Times New Roman" w:cs="Times New Roman"/>
          <w:bCs/>
          <w:i/>
          <w:iCs/>
          <w:sz w:val="20"/>
          <w:szCs w:val="20"/>
          <w:lang w:eastAsia="ar-SA"/>
        </w:rPr>
        <w:t>(załącznik nr 2 do umowy)</w:t>
      </w:r>
    </w:p>
    <w:p w14:paraId="58E1C96C" w14:textId="77777777" w:rsidR="00686214" w:rsidRPr="00686214" w:rsidRDefault="00686214" w:rsidP="00686214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97859BA" w14:textId="77777777" w:rsidR="00651F87" w:rsidRPr="00686214" w:rsidRDefault="00651F87" w:rsidP="007476BC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4CA9E62" w14:textId="3E12FCC8" w:rsidR="00C97C60" w:rsidRPr="00686214" w:rsidRDefault="00031A8C" w:rsidP="007476BC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86214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p w14:paraId="09532803" w14:textId="6CC7683C" w:rsidR="005A751D" w:rsidRPr="00686214" w:rsidRDefault="005A751D" w:rsidP="005A751D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2" w:name="_Hlk98907765"/>
      <w:r w:rsidRPr="00686214">
        <w:rPr>
          <w:rFonts w:ascii="Times New Roman" w:hAnsi="Times New Roman" w:cs="Times New Roman"/>
          <w:sz w:val="20"/>
          <w:szCs w:val="20"/>
        </w:rPr>
        <w:t>(dalej w treści OPZ)</w:t>
      </w:r>
    </w:p>
    <w:bookmarkEnd w:id="2"/>
    <w:p w14:paraId="12BE0094" w14:textId="77777777" w:rsidR="001E3109" w:rsidRPr="00686214" w:rsidRDefault="001E3109" w:rsidP="002F7613">
      <w:pPr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8621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Dostawa oprogramowania na potrzeby obsługi badań klinicznych </w:t>
      </w:r>
    </w:p>
    <w:p w14:paraId="7CF87474" w14:textId="0936B4AD" w:rsidR="002F7613" w:rsidRPr="00686214" w:rsidRDefault="002F7613" w:rsidP="002F7613">
      <w:pPr>
        <w:jc w:val="both"/>
        <w:rPr>
          <w:rFonts w:ascii="Times New Roman" w:hAnsi="Times New Roman" w:cs="Times New Roman"/>
          <w:sz w:val="20"/>
          <w:szCs w:val="20"/>
        </w:rPr>
      </w:pPr>
      <w:r w:rsidRPr="00686214">
        <w:rPr>
          <w:rFonts w:ascii="Times New Roman" w:hAnsi="Times New Roman" w:cs="Times New Roman"/>
          <w:sz w:val="20"/>
          <w:szCs w:val="20"/>
        </w:rPr>
        <w:t>W poniższej tabeli przedstawiono typy oraz liczbę zamawian</w:t>
      </w:r>
      <w:r w:rsidR="00C97C60" w:rsidRPr="00686214">
        <w:rPr>
          <w:rFonts w:ascii="Times New Roman" w:hAnsi="Times New Roman" w:cs="Times New Roman"/>
          <w:sz w:val="20"/>
          <w:szCs w:val="20"/>
        </w:rPr>
        <w:t>ych usług</w:t>
      </w:r>
      <w:r w:rsidR="00412EC1" w:rsidRPr="00686214">
        <w:rPr>
          <w:rFonts w:ascii="Times New Roman" w:hAnsi="Times New Roman" w:cs="Times New Roman"/>
          <w:sz w:val="20"/>
          <w:szCs w:val="20"/>
        </w:rPr>
        <w:t>, licencji</w:t>
      </w:r>
      <w:r w:rsidR="00C97C60" w:rsidRPr="00686214">
        <w:rPr>
          <w:rFonts w:ascii="Times New Roman" w:hAnsi="Times New Roman" w:cs="Times New Roman"/>
          <w:sz w:val="20"/>
          <w:szCs w:val="20"/>
        </w:rPr>
        <w:t xml:space="preserve"> oraz</w:t>
      </w:r>
      <w:r w:rsidRPr="00686214">
        <w:rPr>
          <w:rFonts w:ascii="Times New Roman" w:hAnsi="Times New Roman" w:cs="Times New Roman"/>
          <w:sz w:val="20"/>
          <w:szCs w:val="20"/>
        </w:rPr>
        <w:t xml:space="preserve"> infrastruktury teleinformatycznej.</w:t>
      </w:r>
    </w:p>
    <w:p w14:paraId="2E82538A" w14:textId="669122E1" w:rsidR="002F7613" w:rsidRPr="00686214" w:rsidRDefault="002F7613" w:rsidP="002F7613">
      <w:pPr>
        <w:pStyle w:val="Legenda"/>
        <w:keepNext/>
        <w:rPr>
          <w:rFonts w:ascii="Times New Roman" w:hAnsi="Times New Roman" w:cs="Times New Roman"/>
          <w:b/>
          <w:i w:val="0"/>
          <w:sz w:val="20"/>
          <w:szCs w:val="20"/>
        </w:rPr>
      </w:pPr>
      <w:r w:rsidRPr="00686214">
        <w:rPr>
          <w:rFonts w:ascii="Times New Roman" w:hAnsi="Times New Roman" w:cs="Times New Roman"/>
          <w:b/>
          <w:i w:val="0"/>
          <w:sz w:val="20"/>
          <w:szCs w:val="20"/>
        </w:rPr>
        <w:t>Typy oraz liczba zamawian</w:t>
      </w:r>
      <w:r w:rsidR="00C97C60" w:rsidRPr="00686214">
        <w:rPr>
          <w:rFonts w:ascii="Times New Roman" w:hAnsi="Times New Roman" w:cs="Times New Roman"/>
          <w:b/>
          <w:i w:val="0"/>
          <w:sz w:val="20"/>
          <w:szCs w:val="20"/>
        </w:rPr>
        <w:t>ych usług</w:t>
      </w:r>
      <w:r w:rsidR="00412EC1" w:rsidRPr="00686214">
        <w:rPr>
          <w:rFonts w:ascii="Times New Roman" w:hAnsi="Times New Roman" w:cs="Times New Roman"/>
          <w:b/>
          <w:i w:val="0"/>
          <w:sz w:val="20"/>
          <w:szCs w:val="20"/>
        </w:rPr>
        <w:t xml:space="preserve">, licencji </w:t>
      </w:r>
      <w:r w:rsidR="00C97C60" w:rsidRPr="00686214">
        <w:rPr>
          <w:rFonts w:ascii="Times New Roman" w:hAnsi="Times New Roman" w:cs="Times New Roman"/>
          <w:b/>
          <w:i w:val="0"/>
          <w:sz w:val="20"/>
          <w:szCs w:val="20"/>
        </w:rPr>
        <w:t>oraz</w:t>
      </w:r>
      <w:r w:rsidRPr="00686214">
        <w:rPr>
          <w:rFonts w:ascii="Times New Roman" w:hAnsi="Times New Roman" w:cs="Times New Roman"/>
          <w:b/>
          <w:i w:val="0"/>
          <w:sz w:val="20"/>
          <w:szCs w:val="20"/>
        </w:rPr>
        <w:t xml:space="preserve"> infrastruktury teleinformatycznej.</w:t>
      </w:r>
    </w:p>
    <w:tbl>
      <w:tblPr>
        <w:tblStyle w:val="Tabela-Siatka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7938"/>
        <w:gridCol w:w="1559"/>
      </w:tblGrid>
      <w:tr w:rsidR="00200577" w:rsidRPr="00686214" w14:paraId="2CC9A3E7" w14:textId="77777777" w:rsidTr="006E5E54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51E6981" w14:textId="77777777" w:rsidR="0060536E" w:rsidRPr="00686214" w:rsidRDefault="0060536E" w:rsidP="000C294C">
            <w:pPr>
              <w:spacing w:before="6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02F8DD6" w14:textId="0337F77F" w:rsidR="00DE2DB6" w:rsidRPr="00686214" w:rsidRDefault="00DE2DB6" w:rsidP="000C294C">
            <w:pPr>
              <w:spacing w:before="6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0DD36E37" w14:textId="77777777" w:rsidR="0060536E" w:rsidRPr="00686214" w:rsidRDefault="0060536E" w:rsidP="00DE2DB6">
            <w:pPr>
              <w:spacing w:before="6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B61385D" w14:textId="588BFF71" w:rsidR="00DE2DB6" w:rsidRPr="00686214" w:rsidRDefault="00DE2DB6" w:rsidP="00DE2DB6">
            <w:pPr>
              <w:spacing w:before="6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PRZEDMIO</w:t>
            </w:r>
            <w:r w:rsidR="00DA17B9" w:rsidRPr="006862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  <w:r w:rsidRPr="006862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483CF136" w14:textId="77777777" w:rsidR="00DA17B9" w:rsidRPr="00686214" w:rsidRDefault="00DA17B9" w:rsidP="000C294C">
            <w:pPr>
              <w:spacing w:before="6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9E479FE" w14:textId="5F34052D" w:rsidR="00DE2DB6" w:rsidRPr="00686214" w:rsidRDefault="00DA17B9" w:rsidP="000C294C">
            <w:pPr>
              <w:spacing w:before="6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Ilość </w:t>
            </w:r>
          </w:p>
        </w:tc>
      </w:tr>
      <w:tr w:rsidR="00B07916" w:rsidRPr="00686214" w14:paraId="4B708339" w14:textId="77777777" w:rsidTr="00FA000E">
        <w:trPr>
          <w:trHeight w:val="4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19308" w14:textId="77777777" w:rsidR="00B07916" w:rsidRPr="00686214" w:rsidRDefault="00B07916" w:rsidP="003E239F">
            <w:pPr>
              <w:pStyle w:val="Akapitzlist"/>
              <w:numPr>
                <w:ilvl w:val="0"/>
                <w:numId w:val="2"/>
              </w:numPr>
              <w:autoSpaceDN w:val="0"/>
              <w:spacing w:before="60" w:line="276" w:lineRule="auto"/>
              <w:contextualSpacing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bookmarkStart w:id="3" w:name="_Hlk98908116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3367F" w14:textId="768CE291" w:rsidR="0040462E" w:rsidRPr="00686214" w:rsidRDefault="00EC05AC" w:rsidP="000C294C">
            <w:pPr>
              <w:spacing w:before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bookmarkStart w:id="4" w:name="_Hlk58236271"/>
            <w:bookmarkStart w:id="5" w:name="_Hlk158367662"/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Dostawa</w:t>
            </w:r>
            <w:r w:rsidR="00B9321C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licencji na dedykowany</w:t>
            </w:r>
            <w:r w:rsidR="00431AAC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B9321C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13852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2E2BA3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integrowany </w:t>
            </w:r>
            <w:r w:rsidR="00313852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="00B07916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ystem </w:t>
            </w:r>
            <w:r w:rsidR="00313852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07916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nformatyczny wspomagający proces Zarządzania Badaniami </w:t>
            </w:r>
            <w:r w:rsidR="001911EB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K</w:t>
            </w:r>
            <w:r w:rsidR="00B07916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linicznymi </w:t>
            </w:r>
            <w:bookmarkEnd w:id="4"/>
            <w:r w:rsidR="00D63F71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wraz z </w:t>
            </w:r>
            <w:r w:rsidR="00B9321C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wdrożeniem</w:t>
            </w:r>
            <w:r w:rsidR="0040462E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kodami źródłowymi, </w:t>
            </w:r>
            <w:r w:rsidR="00325BC0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gwarancj</w:t>
            </w:r>
            <w:r w:rsidR="000B71B0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ą</w:t>
            </w:r>
            <w:r w:rsidR="0040462E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816E16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wsparciem technicznym </w:t>
            </w:r>
          </w:p>
          <w:bookmarkEnd w:id="5"/>
          <w:p w14:paraId="27928A00" w14:textId="67F9346E" w:rsidR="00B07916" w:rsidRPr="00686214" w:rsidRDefault="00B07916" w:rsidP="000C294C">
            <w:pPr>
              <w:spacing w:before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4F1A6" w14:textId="38AA851A" w:rsidR="00B07916" w:rsidRPr="00686214" w:rsidRDefault="00D63F71" w:rsidP="000C294C">
            <w:pPr>
              <w:spacing w:before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64FA3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komplet</w:t>
            </w:r>
          </w:p>
        </w:tc>
      </w:tr>
      <w:tr w:rsidR="00DE2DB6" w:rsidRPr="00686214" w14:paraId="588D5400" w14:textId="77777777" w:rsidTr="00FA000E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000B" w14:textId="77777777" w:rsidR="00DE2DB6" w:rsidRPr="00686214" w:rsidRDefault="00DE2DB6" w:rsidP="003E239F">
            <w:pPr>
              <w:pStyle w:val="Akapitzlist"/>
              <w:numPr>
                <w:ilvl w:val="0"/>
                <w:numId w:val="2"/>
              </w:numPr>
              <w:autoSpaceDN w:val="0"/>
              <w:spacing w:before="60" w:line="276" w:lineRule="auto"/>
              <w:contextualSpacing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73C6" w14:textId="34209834" w:rsidR="00DE2DB6" w:rsidRPr="00686214" w:rsidRDefault="00D63F71" w:rsidP="00293F96">
            <w:pPr>
              <w:spacing w:before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Udostępnienie dostarczonego systemu</w:t>
            </w:r>
            <w:r w:rsidR="006D1D40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 chmurze</w:t>
            </w:r>
            <w:r w:rsidR="007476BC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prywatnej </w:t>
            </w:r>
            <w:r w:rsidR="00FB04E4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na okres gwarancji</w:t>
            </w:r>
            <w:r w:rsidR="00293F9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8237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3B3C" w14:textId="2ADE316D" w:rsidR="00DE2DB6" w:rsidRPr="00686214" w:rsidRDefault="00D63F71" w:rsidP="000C294C">
            <w:pPr>
              <w:spacing w:before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64FA3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komplet </w:t>
            </w:r>
          </w:p>
        </w:tc>
      </w:tr>
      <w:tr w:rsidR="00DE2DB6" w:rsidRPr="00686214" w14:paraId="7D96EA9C" w14:textId="77777777" w:rsidTr="00FA000E">
        <w:trPr>
          <w:trHeight w:val="628"/>
        </w:trPr>
        <w:tc>
          <w:tcPr>
            <w:tcW w:w="568" w:type="dxa"/>
          </w:tcPr>
          <w:p w14:paraId="3F95C718" w14:textId="77777777" w:rsidR="00DE2DB6" w:rsidRPr="00686214" w:rsidRDefault="00DE2DB6" w:rsidP="003E239F">
            <w:pPr>
              <w:pStyle w:val="Akapitzlist"/>
              <w:numPr>
                <w:ilvl w:val="0"/>
                <w:numId w:val="2"/>
              </w:numPr>
              <w:autoSpaceDN w:val="0"/>
              <w:spacing w:before="60" w:line="276" w:lineRule="auto"/>
              <w:contextualSpacing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8" w:type="dxa"/>
          </w:tcPr>
          <w:p w14:paraId="7003B277" w14:textId="1CE72922" w:rsidR="00DE2DB6" w:rsidRPr="00686214" w:rsidRDefault="00DE2DB6" w:rsidP="000C294C">
            <w:pPr>
              <w:spacing w:before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bookmarkStart w:id="6" w:name="_Hlk58244236"/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Usługa instalacji</w:t>
            </w:r>
            <w:r w:rsidR="00B9321C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E9331F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uruchomienia,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konfiguracji środowiska</w:t>
            </w:r>
            <w:bookmarkEnd w:id="6"/>
            <w:r w:rsidR="00B9321C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oraz integracji z posiadanym system</w:t>
            </w:r>
            <w:r w:rsidR="00E9331F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em</w:t>
            </w:r>
            <w:r w:rsidR="005A751D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opisanym w OPZ</w:t>
            </w:r>
            <w:r w:rsidR="00B9321C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1559" w:type="dxa"/>
          </w:tcPr>
          <w:p w14:paraId="58E27BC3" w14:textId="6C26734A" w:rsidR="00DE2DB6" w:rsidRPr="00686214" w:rsidRDefault="00DE2DB6" w:rsidP="002F7613">
            <w:pPr>
              <w:tabs>
                <w:tab w:val="center" w:pos="672"/>
              </w:tabs>
              <w:spacing w:before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64FA3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komplet</w:t>
            </w:r>
          </w:p>
        </w:tc>
      </w:tr>
      <w:tr w:rsidR="00064FA3" w:rsidRPr="00686214" w14:paraId="171C0DBF" w14:textId="77777777" w:rsidTr="00FA000E">
        <w:trPr>
          <w:trHeight w:val="628"/>
        </w:trPr>
        <w:tc>
          <w:tcPr>
            <w:tcW w:w="568" w:type="dxa"/>
          </w:tcPr>
          <w:p w14:paraId="607B88E4" w14:textId="77777777" w:rsidR="00064FA3" w:rsidRPr="00686214" w:rsidRDefault="00064FA3" w:rsidP="003E239F">
            <w:pPr>
              <w:pStyle w:val="Akapitzlist"/>
              <w:numPr>
                <w:ilvl w:val="0"/>
                <w:numId w:val="2"/>
              </w:numPr>
              <w:autoSpaceDN w:val="0"/>
              <w:spacing w:before="60" w:line="276" w:lineRule="auto"/>
              <w:contextualSpacing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8" w:type="dxa"/>
          </w:tcPr>
          <w:p w14:paraId="7E3F8B16" w14:textId="0E828B89" w:rsidR="00064FA3" w:rsidRPr="00686214" w:rsidRDefault="00064FA3" w:rsidP="000C294C">
            <w:pPr>
              <w:spacing w:before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Przeprowadzenie instruktażu personelu wskazanego przez Zamawiającego</w:t>
            </w:r>
          </w:p>
        </w:tc>
        <w:tc>
          <w:tcPr>
            <w:tcW w:w="1559" w:type="dxa"/>
          </w:tcPr>
          <w:p w14:paraId="66C7B949" w14:textId="1A539F76" w:rsidR="00064FA3" w:rsidRPr="00686214" w:rsidRDefault="00064FA3" w:rsidP="002F7613">
            <w:pPr>
              <w:tabs>
                <w:tab w:val="center" w:pos="672"/>
              </w:tabs>
              <w:spacing w:before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1 komplet </w:t>
            </w:r>
          </w:p>
        </w:tc>
      </w:tr>
      <w:bookmarkEnd w:id="3"/>
    </w:tbl>
    <w:p w14:paraId="79B1DF5C" w14:textId="2DBC0DF7" w:rsidR="002F7613" w:rsidRPr="00686214" w:rsidRDefault="002F7613" w:rsidP="00076CDE">
      <w:pPr>
        <w:pStyle w:val="Akapitzlist"/>
        <w:ind w:left="0"/>
        <w:rPr>
          <w:rFonts w:ascii="Times New Roman" w:hAnsi="Times New Roman" w:cs="Times New Roman"/>
          <w:color w:val="000000"/>
          <w:sz w:val="20"/>
          <w:szCs w:val="20"/>
        </w:rPr>
      </w:pPr>
    </w:p>
    <w:p w14:paraId="137F3789" w14:textId="77777777" w:rsidR="00D84FEC" w:rsidRPr="00686214" w:rsidRDefault="00D84FEC" w:rsidP="00076CDE">
      <w:pPr>
        <w:pStyle w:val="Akapitzlist"/>
        <w:ind w:left="0"/>
        <w:rPr>
          <w:rFonts w:ascii="Times New Roman" w:hAnsi="Times New Roman" w:cs="Times New Roman"/>
          <w:color w:val="000000"/>
          <w:sz w:val="20"/>
          <w:szCs w:val="20"/>
        </w:rPr>
      </w:pPr>
    </w:p>
    <w:p w14:paraId="1A6BC0C5" w14:textId="3B9BA412" w:rsidR="00D84FEC" w:rsidRPr="009A102E" w:rsidRDefault="00D84FEC" w:rsidP="009A102E">
      <w:pPr>
        <w:widowControl w:val="0"/>
        <w:spacing w:after="0" w:line="240" w:lineRule="auto"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9A102E">
        <w:rPr>
          <w:rFonts w:ascii="Times New Roman" w:eastAsia="MS Mincho" w:hAnsi="Times New Roman" w:cs="Times New Roman"/>
          <w:sz w:val="20"/>
          <w:szCs w:val="20"/>
        </w:rPr>
        <w:t>Wykonawca zobowiązuje się w terminie do</w:t>
      </w:r>
      <w:r w:rsidRPr="009A102E">
        <w:rPr>
          <w:rFonts w:ascii="Times New Roman" w:eastAsia="MS Mincho" w:hAnsi="Times New Roman" w:cs="Times New Roman"/>
          <w:b/>
          <w:sz w:val="20"/>
          <w:szCs w:val="20"/>
        </w:rPr>
        <w:t xml:space="preserve"> maksymalnie 6  miesięcy </w:t>
      </w:r>
      <w:r w:rsidRPr="009A102E">
        <w:rPr>
          <w:rFonts w:ascii="Times New Roman" w:eastAsia="MS Mincho" w:hAnsi="Times New Roman" w:cs="Times New Roman"/>
          <w:b/>
          <w:i/>
          <w:iCs/>
          <w:sz w:val="20"/>
          <w:szCs w:val="20"/>
        </w:rPr>
        <w:t>(kryterium oceny ofert)</w:t>
      </w:r>
      <w:r w:rsidRPr="009A102E">
        <w:rPr>
          <w:rFonts w:ascii="Times New Roman" w:eastAsia="MS Mincho" w:hAnsi="Times New Roman" w:cs="Times New Roman"/>
          <w:b/>
          <w:sz w:val="20"/>
          <w:szCs w:val="20"/>
        </w:rPr>
        <w:t xml:space="preserve"> </w:t>
      </w:r>
      <w:r w:rsidRPr="009A102E">
        <w:rPr>
          <w:rFonts w:ascii="Times New Roman" w:eastAsia="MS Mincho" w:hAnsi="Times New Roman" w:cs="Times New Roman"/>
          <w:sz w:val="20"/>
          <w:szCs w:val="20"/>
        </w:rPr>
        <w:t>od dnia zawarcia umowy:</w:t>
      </w:r>
    </w:p>
    <w:p w14:paraId="32CF1105" w14:textId="77777777" w:rsidR="00D84FEC" w:rsidRPr="00686214" w:rsidRDefault="00D84FEC" w:rsidP="0081494D">
      <w:pPr>
        <w:pStyle w:val="Akapitzlist"/>
        <w:widowControl w:val="0"/>
        <w:numPr>
          <w:ilvl w:val="1"/>
          <w:numId w:val="41"/>
        </w:numPr>
        <w:spacing w:after="0" w:line="240" w:lineRule="auto"/>
        <w:ind w:left="851"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686214">
        <w:rPr>
          <w:rFonts w:ascii="Times New Roman" w:eastAsia="MS Mincho" w:hAnsi="Times New Roman" w:cs="Times New Roman"/>
          <w:sz w:val="20"/>
          <w:szCs w:val="20"/>
        </w:rPr>
        <w:t>zrealizować dostawę licencji na dedykowany, Zintegrowany System Informatyczny wspomagający proces Zarządzania Badaniami Klinicznymi wraz z wdrożeniem, kodami źródłowymi,</w:t>
      </w:r>
    </w:p>
    <w:p w14:paraId="4CCCC348" w14:textId="77777777" w:rsidR="00D84FEC" w:rsidRPr="00686214" w:rsidRDefault="00D84FEC" w:rsidP="0081494D">
      <w:pPr>
        <w:pStyle w:val="Akapitzlist"/>
        <w:widowControl w:val="0"/>
        <w:numPr>
          <w:ilvl w:val="1"/>
          <w:numId w:val="41"/>
        </w:numPr>
        <w:spacing w:after="0" w:line="240" w:lineRule="auto"/>
        <w:ind w:left="851"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686214">
        <w:rPr>
          <w:rFonts w:ascii="Times New Roman" w:eastAsia="MS Mincho" w:hAnsi="Times New Roman" w:cs="Times New Roman"/>
          <w:sz w:val="20"/>
          <w:szCs w:val="20"/>
        </w:rPr>
        <w:t>udostępnić dostarczony system w chmurze prywatnej,</w:t>
      </w:r>
    </w:p>
    <w:p w14:paraId="666C9285" w14:textId="5E60D6FA" w:rsidR="00D84FEC" w:rsidRPr="00686214" w:rsidRDefault="00D84FEC" w:rsidP="0081494D">
      <w:pPr>
        <w:pStyle w:val="Akapitzlist"/>
        <w:widowControl w:val="0"/>
        <w:numPr>
          <w:ilvl w:val="1"/>
          <w:numId w:val="41"/>
        </w:numPr>
        <w:spacing w:after="0" w:line="240" w:lineRule="auto"/>
        <w:ind w:left="851"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686214">
        <w:rPr>
          <w:rFonts w:ascii="Times New Roman" w:eastAsia="MS Mincho" w:hAnsi="Times New Roman" w:cs="Times New Roman"/>
          <w:sz w:val="20"/>
          <w:szCs w:val="20"/>
        </w:rPr>
        <w:t>zainstalować, uruchomić i skonfigurować  środowisko oraz zintegrować z posiadanym systemem opisanym w OPZ,</w:t>
      </w:r>
    </w:p>
    <w:p w14:paraId="6E3DF1B3" w14:textId="77777777" w:rsidR="00D84FEC" w:rsidRPr="00686214" w:rsidRDefault="00D84FEC" w:rsidP="0081494D">
      <w:pPr>
        <w:pStyle w:val="Akapitzlist"/>
        <w:widowControl w:val="0"/>
        <w:numPr>
          <w:ilvl w:val="1"/>
          <w:numId w:val="41"/>
        </w:numPr>
        <w:spacing w:after="0" w:line="240" w:lineRule="auto"/>
        <w:ind w:left="851"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686214">
        <w:rPr>
          <w:rFonts w:ascii="Times New Roman" w:eastAsia="MS Mincho" w:hAnsi="Times New Roman" w:cs="Times New Roman"/>
          <w:sz w:val="20"/>
          <w:szCs w:val="20"/>
        </w:rPr>
        <w:t>przeprowadzić instruktaż personelu wskazanego przez Zamawiającego,</w:t>
      </w:r>
    </w:p>
    <w:p w14:paraId="1CF8F2B3" w14:textId="77777777" w:rsidR="00D84FEC" w:rsidRPr="00686214" w:rsidRDefault="00D84FEC" w:rsidP="00076CDE">
      <w:pPr>
        <w:pStyle w:val="Akapitzlist"/>
        <w:ind w:left="0"/>
        <w:rPr>
          <w:rFonts w:ascii="Times New Roman" w:hAnsi="Times New Roman" w:cs="Times New Roman"/>
          <w:color w:val="000000"/>
          <w:sz w:val="20"/>
          <w:szCs w:val="20"/>
        </w:rPr>
      </w:pPr>
    </w:p>
    <w:p w14:paraId="50C72AC4" w14:textId="77777777" w:rsidR="00D84FEC" w:rsidRPr="00686214" w:rsidRDefault="00D84FEC" w:rsidP="00076CDE">
      <w:pPr>
        <w:pStyle w:val="Akapitzlist"/>
        <w:ind w:left="0"/>
        <w:rPr>
          <w:rFonts w:ascii="Times New Roman" w:hAnsi="Times New Roman" w:cs="Times New Roman"/>
          <w:color w:val="000000"/>
          <w:sz w:val="20"/>
          <w:szCs w:val="20"/>
        </w:rPr>
      </w:pPr>
    </w:p>
    <w:p w14:paraId="309E87EF" w14:textId="397D7BD2" w:rsidR="00BC2788" w:rsidRPr="00686214" w:rsidRDefault="00926602" w:rsidP="009208D7">
      <w:pPr>
        <w:pStyle w:val="Akapitzlist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86214">
        <w:rPr>
          <w:rFonts w:ascii="Times New Roman" w:hAnsi="Times New Roman" w:cs="Times New Roman"/>
          <w:b/>
          <w:sz w:val="20"/>
          <w:szCs w:val="20"/>
          <w:u w:val="single"/>
        </w:rPr>
        <w:t>Dedykowany</w:t>
      </w:r>
      <w:r w:rsidR="00431AAC" w:rsidRPr="00686214">
        <w:rPr>
          <w:rFonts w:ascii="Times New Roman" w:hAnsi="Times New Roman" w:cs="Times New Roman"/>
          <w:b/>
          <w:sz w:val="20"/>
          <w:szCs w:val="20"/>
          <w:u w:val="single"/>
        </w:rPr>
        <w:t>,</w:t>
      </w:r>
      <w:r w:rsidR="008B51C2" w:rsidRPr="00686214">
        <w:rPr>
          <w:rFonts w:ascii="Times New Roman" w:hAnsi="Times New Roman" w:cs="Times New Roman"/>
          <w:b/>
          <w:sz w:val="20"/>
          <w:szCs w:val="20"/>
          <w:u w:val="single"/>
        </w:rPr>
        <w:t xml:space="preserve"> Z</w:t>
      </w:r>
      <w:r w:rsidR="00431AAC" w:rsidRPr="00686214">
        <w:rPr>
          <w:rFonts w:ascii="Times New Roman" w:hAnsi="Times New Roman" w:cs="Times New Roman"/>
          <w:b/>
          <w:sz w:val="20"/>
          <w:szCs w:val="20"/>
          <w:u w:val="single"/>
        </w:rPr>
        <w:t>integrowany</w:t>
      </w:r>
      <w:r w:rsidRPr="00686214">
        <w:rPr>
          <w:rFonts w:ascii="Times New Roman" w:hAnsi="Times New Roman" w:cs="Times New Roman"/>
          <w:b/>
          <w:sz w:val="20"/>
          <w:szCs w:val="20"/>
          <w:u w:val="single"/>
        </w:rPr>
        <w:t xml:space="preserve"> System Informatyczny Wspomagający proces Zarządzania Badaniami Klinicznymi </w:t>
      </w:r>
      <w:r w:rsidR="001911EB" w:rsidRPr="00686214">
        <w:rPr>
          <w:rFonts w:ascii="Times New Roman" w:hAnsi="Times New Roman" w:cs="Times New Roman"/>
          <w:b/>
          <w:sz w:val="20"/>
          <w:szCs w:val="20"/>
          <w:u w:val="single"/>
        </w:rPr>
        <w:t xml:space="preserve">(zwany w dalszej części: </w:t>
      </w:r>
      <w:r w:rsidR="00A45CC7" w:rsidRPr="0068621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640CC0" w:rsidRPr="00686214">
        <w:rPr>
          <w:rFonts w:ascii="Times New Roman" w:hAnsi="Times New Roman" w:cs="Times New Roman"/>
          <w:b/>
          <w:sz w:val="20"/>
          <w:szCs w:val="20"/>
          <w:u w:val="single"/>
        </w:rPr>
        <w:t xml:space="preserve">Systemem </w:t>
      </w:r>
      <w:r w:rsidR="001911EB" w:rsidRPr="00686214">
        <w:rPr>
          <w:rFonts w:ascii="Times New Roman" w:hAnsi="Times New Roman" w:cs="Times New Roman"/>
          <w:b/>
          <w:sz w:val="20"/>
          <w:szCs w:val="20"/>
          <w:u w:val="single"/>
        </w:rPr>
        <w:t>)</w:t>
      </w:r>
    </w:p>
    <w:tbl>
      <w:tblPr>
        <w:tblW w:w="4985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8"/>
        <w:gridCol w:w="9480"/>
      </w:tblGrid>
      <w:tr w:rsidR="008D3C00" w:rsidRPr="00686214" w14:paraId="14691385" w14:textId="77777777" w:rsidTr="00A16B9F">
        <w:trPr>
          <w:cantSplit/>
          <w:trHeight w:val="300"/>
        </w:trPr>
        <w:tc>
          <w:tcPr>
            <w:tcW w:w="5000" w:type="pct"/>
            <w:gridSpan w:val="3"/>
            <w:shd w:val="clear" w:color="auto" w:fill="00B0F0"/>
            <w:noWrap/>
            <w:vAlign w:val="center"/>
            <w:hideMark/>
          </w:tcPr>
          <w:p w14:paraId="2127F184" w14:textId="545590AB" w:rsidR="008D3C00" w:rsidRPr="00686214" w:rsidRDefault="008D3C00" w:rsidP="000C294C">
            <w:pPr>
              <w:spacing w:before="60"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minimalne  </w:t>
            </w:r>
          </w:p>
        </w:tc>
      </w:tr>
      <w:tr w:rsidR="00E71984" w:rsidRPr="00686214" w14:paraId="184C9910" w14:textId="77777777" w:rsidTr="00A16B9F">
        <w:trPr>
          <w:cantSplit/>
          <w:trHeight w:val="103"/>
        </w:trPr>
        <w:tc>
          <w:tcPr>
            <w:tcW w:w="5000" w:type="pct"/>
            <w:gridSpan w:val="3"/>
            <w:shd w:val="clear" w:color="auto" w:fill="00B0F0"/>
            <w:noWrap/>
          </w:tcPr>
          <w:p w14:paraId="1E1EA27F" w14:textId="3C1F3244" w:rsidR="00EF73F5" w:rsidRPr="00686214" w:rsidRDefault="00DA17B9" w:rsidP="000C294C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System </w:t>
            </w:r>
            <w:r w:rsidR="00A45CC7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00577" w:rsidRPr="00686214" w14:paraId="68AC38FE" w14:textId="77777777" w:rsidTr="00A16B9F">
        <w:trPr>
          <w:cantSplit/>
          <w:trHeight w:val="1370"/>
        </w:trPr>
        <w:tc>
          <w:tcPr>
            <w:tcW w:w="5000" w:type="pct"/>
            <w:gridSpan w:val="3"/>
            <w:noWrap/>
          </w:tcPr>
          <w:p w14:paraId="3FCFF11F" w14:textId="43FC29C2" w:rsidR="0040462E" w:rsidRPr="00686214" w:rsidRDefault="0040462E" w:rsidP="0031385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B45685" w14:textId="437A2450" w:rsidR="00313852" w:rsidRPr="00686214" w:rsidRDefault="00313852" w:rsidP="0031385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 obowiązków Wykonawcy w ramach niniejszego zadania należy m.in.:</w:t>
            </w:r>
          </w:p>
          <w:p w14:paraId="22FEF13B" w14:textId="5F2A9A62" w:rsidR="00313852" w:rsidRPr="00686214" w:rsidRDefault="00313852" w:rsidP="0031385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-  dostawa licencji na system,</w:t>
            </w:r>
          </w:p>
          <w:p w14:paraId="56D441BF" w14:textId="1FF4E90E" w:rsidR="00313852" w:rsidRPr="00686214" w:rsidRDefault="00313852" w:rsidP="0031385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- wdrożenie</w:t>
            </w:r>
            <w:r w:rsidR="0040462E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w/w systemu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02470E9" w14:textId="3F261625" w:rsidR="00313852" w:rsidRPr="00686214" w:rsidRDefault="00313852" w:rsidP="0031385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- udostepnienie kodów źródłowych</w:t>
            </w:r>
            <w:r w:rsidR="0040462E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na w/w system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9A5C46B" w14:textId="332C6E8F" w:rsidR="00313852" w:rsidRPr="00686214" w:rsidRDefault="00313852" w:rsidP="0031385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- gwarancja</w:t>
            </w:r>
            <w:r w:rsidR="0040462E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na w/w system</w:t>
            </w:r>
            <w:r w:rsidR="0040462E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przez okres </w:t>
            </w:r>
            <w:r w:rsidR="001E3109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  <w:r w:rsidR="00293F96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miesięcy</w:t>
            </w:r>
            <w:r w:rsidR="00446659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bookmarkStart w:id="7" w:name="_Hlk122080991"/>
          </w:p>
          <w:p w14:paraId="18B3C3A2" w14:textId="312D5D94" w:rsidR="00313852" w:rsidRPr="00686214" w:rsidRDefault="00313852" w:rsidP="0031385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58363164"/>
            <w:bookmarkEnd w:id="7"/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2450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wsparcie techniczne </w:t>
            </w:r>
            <w:r w:rsidR="0040462E" w:rsidRPr="00686214">
              <w:rPr>
                <w:rFonts w:ascii="Times New Roman" w:hAnsi="Times New Roman" w:cs="Times New Roman"/>
                <w:sz w:val="20"/>
                <w:szCs w:val="20"/>
              </w:rPr>
              <w:t>nad w/w systemem</w:t>
            </w:r>
            <w:r w:rsidR="00640CC0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7BA0" w:rsidRPr="00686214">
              <w:rPr>
                <w:rFonts w:ascii="Times New Roman" w:hAnsi="Times New Roman" w:cs="Times New Roman"/>
                <w:sz w:val="20"/>
                <w:szCs w:val="20"/>
              </w:rPr>
              <w:t>na okres zgodny z okresem gwarancji</w:t>
            </w:r>
            <w:r w:rsidR="00446659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bookmarkEnd w:id="8"/>
          <w:p w14:paraId="0DC9E701" w14:textId="5A3ACCBE" w:rsidR="0040462E" w:rsidRPr="00686214" w:rsidRDefault="0040462E" w:rsidP="00B9321C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Gwarancja</w:t>
            </w:r>
            <w:r w:rsidR="002A7BA0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będzie liczona od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daty podpisan</w:t>
            </w:r>
            <w:r w:rsidR="00307E23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ia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protokołu </w:t>
            </w:r>
            <w:r w:rsidR="00660FE3"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końcowego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odbioru.</w:t>
            </w:r>
          </w:p>
          <w:p w14:paraId="7634F51C" w14:textId="2F4C46D0" w:rsidR="00313852" w:rsidRPr="00686214" w:rsidRDefault="0040462E" w:rsidP="0040462E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Systemem winien spełniać minimalne wymagania funkcjonalne określone poniżej.</w:t>
            </w:r>
          </w:p>
        </w:tc>
      </w:tr>
      <w:tr w:rsidR="00B9321C" w:rsidRPr="00686214" w14:paraId="368BC55F" w14:textId="77777777" w:rsidTr="00A16B9F">
        <w:trPr>
          <w:cantSplit/>
          <w:trHeight w:val="103"/>
        </w:trPr>
        <w:tc>
          <w:tcPr>
            <w:tcW w:w="5000" w:type="pct"/>
            <w:gridSpan w:val="3"/>
            <w:noWrap/>
          </w:tcPr>
          <w:p w14:paraId="211ED2DA" w14:textId="147CB3E0" w:rsidR="00B9321C" w:rsidRPr="00686214" w:rsidRDefault="00B9321C" w:rsidP="00B9321C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Wymaganie ogólne:</w:t>
            </w:r>
          </w:p>
        </w:tc>
      </w:tr>
      <w:tr w:rsidR="00B9321C" w:rsidRPr="00686214" w14:paraId="7268C528" w14:textId="77777777" w:rsidTr="00686214">
        <w:trPr>
          <w:trHeight w:val="103"/>
        </w:trPr>
        <w:tc>
          <w:tcPr>
            <w:tcW w:w="282" w:type="pct"/>
            <w:noWrap/>
          </w:tcPr>
          <w:p w14:paraId="577E686B" w14:textId="386079EE" w:rsidR="00B9321C" w:rsidRPr="00686214" w:rsidRDefault="00B9321C" w:rsidP="000C294C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18" w:type="pct"/>
            <w:gridSpan w:val="2"/>
            <w:noWrap/>
          </w:tcPr>
          <w:p w14:paraId="1B3E2223" w14:textId="42801732" w:rsidR="00B9321C" w:rsidRPr="00686214" w:rsidRDefault="00B9321C" w:rsidP="003F4F4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System będzie użytkowany przez trzy podmioty: </w:t>
            </w:r>
          </w:p>
          <w:p w14:paraId="6CAC7E01" w14:textId="31822573" w:rsidR="00B9321C" w:rsidRPr="00686214" w:rsidRDefault="00B9321C" w:rsidP="00F80F07">
            <w:pPr>
              <w:pStyle w:val="Akapitzlist"/>
              <w:numPr>
                <w:ilvl w:val="0"/>
                <w:numId w:val="5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Śląski Uniwersytet Medyczny w Katowicach </w:t>
            </w:r>
            <w:r w:rsidR="0024222B" w:rsidRPr="00686214">
              <w:rPr>
                <w:rFonts w:ascii="Times New Roman" w:hAnsi="Times New Roman" w:cs="Times New Roman"/>
                <w:sz w:val="20"/>
                <w:szCs w:val="20"/>
              </w:rPr>
              <w:t>(SUM)</w:t>
            </w:r>
            <w:r w:rsidR="00446659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D3902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06AE839" w14:textId="21BAB5B9" w:rsidR="00B9321C" w:rsidRPr="00686214" w:rsidRDefault="00B9321C" w:rsidP="00F80F07">
            <w:pPr>
              <w:pStyle w:val="Akapitzlist"/>
              <w:numPr>
                <w:ilvl w:val="0"/>
                <w:numId w:val="5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Górnośląskie Centrum Medycznym im. prof. Leszka Gieca Śląskiego Uniwersytetu Medycznego w Katowicach</w:t>
            </w:r>
            <w:r w:rsidR="0024222B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(GCM)</w:t>
            </w:r>
            <w:r w:rsidR="00446659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5EB594" w14:textId="5ABC0CC3" w:rsidR="00B9321C" w:rsidRPr="00686214" w:rsidRDefault="00B9321C" w:rsidP="003F4F44">
            <w:pPr>
              <w:pStyle w:val="Akapitzlist"/>
              <w:numPr>
                <w:ilvl w:val="0"/>
                <w:numId w:val="5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Uniwersyteckie Centrum Klinicznym im. prof. K. Gibińskiego Śląskiego Uniwersytetu Medycznego w Katowicach</w:t>
            </w:r>
            <w:r w:rsidR="0024222B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(UCK)</w:t>
            </w:r>
            <w:r w:rsidR="00446659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321C" w:rsidRPr="00686214" w14:paraId="72BB0E72" w14:textId="77777777" w:rsidTr="00686214">
        <w:trPr>
          <w:trHeight w:val="103"/>
        </w:trPr>
        <w:tc>
          <w:tcPr>
            <w:tcW w:w="282" w:type="pct"/>
            <w:noWrap/>
          </w:tcPr>
          <w:p w14:paraId="235B1ECA" w14:textId="3EC52FA9" w:rsidR="00B9321C" w:rsidRPr="00686214" w:rsidRDefault="00B9321C" w:rsidP="000C294C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4718" w:type="pct"/>
            <w:gridSpan w:val="2"/>
            <w:noWrap/>
          </w:tcPr>
          <w:p w14:paraId="44365080" w14:textId="346BC96A" w:rsidR="00B9321C" w:rsidRPr="00686214" w:rsidRDefault="00B9321C" w:rsidP="0081494D">
            <w:pPr>
              <w:pStyle w:val="Akapitzlist"/>
              <w:numPr>
                <w:ilvl w:val="0"/>
                <w:numId w:val="34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98840841"/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Udzielona licencja na system nie może posiadać żadnych ograniczeń </w:t>
            </w:r>
            <w:r w:rsidR="005B0D69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terytorialnych, bez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0D69" w:rsidRPr="00686214">
              <w:rPr>
                <w:rFonts w:ascii="Times New Roman" w:hAnsi="Times New Roman" w:cs="Times New Roman"/>
                <w:sz w:val="20"/>
                <w:szCs w:val="20"/>
              </w:rPr>
              <w:t>ograniczenia co do licz</w:t>
            </w:r>
            <w:r w:rsidR="00660FE3" w:rsidRPr="00686214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5B0D69" w:rsidRPr="00686214">
              <w:rPr>
                <w:rFonts w:ascii="Times New Roman" w:hAnsi="Times New Roman" w:cs="Times New Roman"/>
                <w:sz w:val="20"/>
                <w:szCs w:val="20"/>
              </w:rPr>
              <w:t>y użytkowników</w:t>
            </w:r>
            <w:r w:rsidR="00400124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powinna pozwalać na wykorzystanie  w dowolnej jednostce organizacyjnej Zamawiającego i w/w podmiot</w:t>
            </w:r>
            <w:r w:rsidR="00F7758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ach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tworzących Centrum Badań Klinicznych</w:t>
            </w:r>
            <w:r w:rsidR="00400124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5CC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( zwane dalej CWBK) </w:t>
            </w:r>
            <w:r w:rsidR="00400124" w:rsidRPr="00686214">
              <w:rPr>
                <w:rFonts w:ascii="Times New Roman" w:hAnsi="Times New Roman" w:cs="Times New Roman"/>
                <w:sz w:val="20"/>
                <w:szCs w:val="20"/>
              </w:rPr>
              <w:t>oraz przez inne podmioty, które w przyszłości będą przyłączać się do CWBK</w:t>
            </w:r>
            <w:r w:rsidR="00446659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9"/>
          </w:p>
        </w:tc>
      </w:tr>
      <w:tr w:rsidR="00B9321C" w:rsidRPr="00686214" w14:paraId="3DFC201F" w14:textId="77777777" w:rsidTr="00686214">
        <w:trPr>
          <w:trHeight w:val="103"/>
        </w:trPr>
        <w:tc>
          <w:tcPr>
            <w:tcW w:w="282" w:type="pct"/>
            <w:noWrap/>
          </w:tcPr>
          <w:p w14:paraId="7469CF1B" w14:textId="6EF1DC2B" w:rsidR="00B9321C" w:rsidRPr="00686214" w:rsidRDefault="00776E9E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718" w:type="pct"/>
            <w:gridSpan w:val="2"/>
            <w:noWrap/>
          </w:tcPr>
          <w:p w14:paraId="7853A06E" w14:textId="77777777" w:rsidR="0072227B" w:rsidRPr="00686214" w:rsidRDefault="0072227B" w:rsidP="0081494D">
            <w:pPr>
              <w:pStyle w:val="Akapitzlist"/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Dostarczone w ramach postępowania  licencje mają pozwalać na korzystanie z systemu przez wszystkie 3 podmioty tworzące Centrum Wsparcia Badań Klinicznych Śląskiego Uniwersytetu Medycznego w Katowicach tj.:</w:t>
            </w:r>
          </w:p>
          <w:p w14:paraId="3B3E9B1D" w14:textId="77777777" w:rsidR="0072227B" w:rsidRPr="00686214" w:rsidRDefault="0072227B" w:rsidP="0081494D">
            <w:pPr>
              <w:pStyle w:val="Akapitzlist"/>
              <w:numPr>
                <w:ilvl w:val="3"/>
                <w:numId w:val="44"/>
              </w:numPr>
              <w:spacing w:before="6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Zamawiającego,</w:t>
            </w:r>
          </w:p>
          <w:p w14:paraId="6BD18AD0" w14:textId="77777777" w:rsidR="0072227B" w:rsidRPr="00686214" w:rsidRDefault="0072227B" w:rsidP="0081494D">
            <w:pPr>
              <w:pStyle w:val="Akapitzlist"/>
              <w:numPr>
                <w:ilvl w:val="3"/>
                <w:numId w:val="44"/>
              </w:numPr>
              <w:spacing w:before="6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Śląski Uniwersytet Medyczny w Katowicach oraz</w:t>
            </w:r>
          </w:p>
          <w:p w14:paraId="60C74140" w14:textId="77777777" w:rsidR="0072227B" w:rsidRPr="00686214" w:rsidRDefault="0072227B" w:rsidP="0081494D">
            <w:pPr>
              <w:pStyle w:val="Akapitzlist"/>
              <w:numPr>
                <w:ilvl w:val="3"/>
                <w:numId w:val="44"/>
              </w:numPr>
              <w:spacing w:before="6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Górnośląskie Centrum Medyczne im. prof. L. Gieca Śląskiego Uniwersytetu Medycznego w Katowicach.</w:t>
            </w:r>
          </w:p>
          <w:p w14:paraId="571F1F79" w14:textId="77777777" w:rsidR="0072227B" w:rsidRPr="00686214" w:rsidRDefault="0072227B" w:rsidP="0081494D">
            <w:pPr>
              <w:pStyle w:val="Akapitzlist"/>
              <w:numPr>
                <w:ilvl w:val="0"/>
                <w:numId w:val="43"/>
              </w:numPr>
              <w:spacing w:before="6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Wykonawca udzieli Zamawiającemu oraz podmiotom wskazanym w pkt 1 b) i c)  nieograniczonej terytorialnie, niewyłącznej licencji pozwalającej na pełne korzystanie z systemu w całości lub we fragmentach bez ograniczeń co do liczby użytkowników oraz co do lokalizacji, z możliwością korzystania z wchodzących w skład systemu utworów niebędących oprogramowaniem, z prawami do modyfikacji systemu oraz możliwością powierzenia jego modyfikacji osobie trzeciej. </w:t>
            </w:r>
          </w:p>
          <w:p w14:paraId="60073C06" w14:textId="77777777" w:rsidR="0072227B" w:rsidRPr="00686214" w:rsidRDefault="0072227B" w:rsidP="0081494D">
            <w:pPr>
              <w:pStyle w:val="Akapitzlist"/>
              <w:numPr>
                <w:ilvl w:val="0"/>
                <w:numId w:val="43"/>
              </w:numPr>
              <w:spacing w:before="6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Licencje na system zostają udzielone na czas nieokreślony, nie krótszy jednak niż 50 lat od dnia podpisania Protokołu Odbioru</w:t>
            </w:r>
          </w:p>
          <w:p w14:paraId="10968E92" w14:textId="77777777" w:rsidR="0072227B" w:rsidRPr="00686214" w:rsidRDefault="0072227B" w:rsidP="0081494D">
            <w:pPr>
              <w:pStyle w:val="Akapitzlist"/>
              <w:numPr>
                <w:ilvl w:val="0"/>
                <w:numId w:val="43"/>
              </w:numPr>
              <w:spacing w:before="6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Umowa w zakresie udzielonych licencji na korzystanie z systemu nie może zostać wypowiedziana w okresie 5 lat od dnia podpisania Protokołu Odbioru z wyjątkiem przypadku, o którym mowa w pkt. 5 poniżej.</w:t>
            </w:r>
          </w:p>
          <w:p w14:paraId="7AE82917" w14:textId="77777777" w:rsidR="0072227B" w:rsidRPr="00686214" w:rsidRDefault="0072227B" w:rsidP="0081494D">
            <w:pPr>
              <w:pStyle w:val="Akapitzlist"/>
              <w:numPr>
                <w:ilvl w:val="0"/>
                <w:numId w:val="43"/>
              </w:numPr>
              <w:spacing w:before="6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Umowa w zakresie udzielonych licencji na korzystanie z systemu może zostać wypowiedziana w każdym czasie w przypadku rażącego naruszenia postanowień umowy przez którąkolwiek ze stron lub przez podmioty wskazane w pkt  1 pkt b) i c) powyżej.</w:t>
            </w:r>
          </w:p>
          <w:p w14:paraId="377D3E15" w14:textId="77777777" w:rsidR="0072227B" w:rsidRPr="00686214" w:rsidRDefault="0072227B" w:rsidP="0081494D">
            <w:pPr>
              <w:pStyle w:val="Akapitzlist"/>
              <w:numPr>
                <w:ilvl w:val="0"/>
                <w:numId w:val="43"/>
              </w:numPr>
              <w:spacing w:before="6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Wykonawca  po upływie okresu 5 lat od dnia podpisania Protokołu Odbioru nie może dokonać wypowiedzenia umowy w zakresie udzielonych licencji na korzystanie z systemu z innych przyczyn, niż wskazane w pkt 5 powyżej. Powyższe zobowiązanie obowiązuje przez okres kolejnych 45 lat po upływie okresu, o którym mowa w pkt . 4 powyżej. </w:t>
            </w:r>
          </w:p>
          <w:p w14:paraId="5AC386AA" w14:textId="77777777" w:rsidR="0072227B" w:rsidRPr="00686214" w:rsidRDefault="0072227B" w:rsidP="0081494D">
            <w:pPr>
              <w:pStyle w:val="Akapitzlist"/>
              <w:numPr>
                <w:ilvl w:val="0"/>
                <w:numId w:val="43"/>
              </w:numPr>
              <w:spacing w:before="6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 upływie 5-letniego okresu, o którym mowa w pkt 4 okres wypowiedzenia licencji wynosi 5 lat, ze skutkiem na koniec roku kalendarzowego, z zastrzeżeniem zapisów punktu  6 powyżej. </w:t>
            </w:r>
          </w:p>
          <w:p w14:paraId="3BB25221" w14:textId="07616294" w:rsidR="00EE54CE" w:rsidRPr="00686214" w:rsidRDefault="00770B6A" w:rsidP="0081494D">
            <w:pPr>
              <w:pStyle w:val="Akapitzlist"/>
              <w:numPr>
                <w:ilvl w:val="0"/>
                <w:numId w:val="43"/>
              </w:numPr>
              <w:spacing w:before="6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Licencje dostarczone Zamawiającemu w ramach zamówienia uprawniają Zamawiającego do integracji </w:t>
            </w:r>
            <w:r w:rsidR="002A7BA0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ystemu</w:t>
            </w:r>
            <w:r w:rsidR="00176CB6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dowolnym oprogramowaniem bez ograniczeń i dodatkowych kosztów</w:t>
            </w:r>
            <w:r w:rsidR="00446659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479A5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6035B08" w14:textId="105ED17C" w:rsidR="00B479A5" w:rsidRPr="00686214" w:rsidRDefault="00715661" w:rsidP="0081494D">
            <w:pPr>
              <w:pStyle w:val="Akapitzlist"/>
              <w:numPr>
                <w:ilvl w:val="0"/>
                <w:numId w:val="43"/>
              </w:numPr>
              <w:spacing w:before="6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Wykonawca nie może żądać dodatkowego wynagrodzenia z tytułu ewentualnych przyszłych integracji przy czym ewentualny koszt prac związanych z przyszłą integracją nie jest przedmiotem niniejszego zamówienia</w:t>
            </w:r>
            <w:r w:rsidR="00446659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31371065" w14:textId="3A261F53" w:rsidR="00B479A5" w:rsidRPr="00686214" w:rsidRDefault="00EE54CE" w:rsidP="0081494D">
            <w:pPr>
              <w:pStyle w:val="Akapitzlist"/>
              <w:numPr>
                <w:ilvl w:val="0"/>
                <w:numId w:val="43"/>
              </w:numPr>
              <w:spacing w:before="6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Licencje nie będą zawierać ograniczeń polegających na tym, że dany Utwór może być używany wyłącznie z innym oprogramowaniem lub może być wdrażany, serwisowany, eksploatowany itp. wyłącznie przez określony podmiot lub grupę podmiotów. Licencje nie mogą również ograniczać możliwości integracji Utworu z innym oprogramowaniem</w:t>
            </w:r>
            <w:r w:rsidR="00446659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4E2BE486" w14:textId="3E04A81E" w:rsidR="00715661" w:rsidRPr="00686214" w:rsidRDefault="00715661" w:rsidP="0081494D">
            <w:pPr>
              <w:pStyle w:val="Akapitzlist"/>
              <w:numPr>
                <w:ilvl w:val="0"/>
                <w:numId w:val="43"/>
              </w:numPr>
              <w:spacing w:before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Wykonawca wraz z przedmiotem zamówienia dostarczy Zamawiającemu k</w:t>
            </w:r>
            <w:r w:rsidR="00206598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ody źródłowe do całego systemu najpóźniej w dniu podpisania protokołu </w:t>
            </w:r>
            <w:r w:rsidR="0072227B" w:rsidRPr="00686214">
              <w:rPr>
                <w:rFonts w:ascii="Times New Roman" w:hAnsi="Times New Roman" w:cs="Times New Roman"/>
                <w:sz w:val="20"/>
                <w:szCs w:val="20"/>
              </w:rPr>
              <w:t>odbioru</w:t>
            </w:r>
            <w:r w:rsidR="00446659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9045863" w14:textId="2A8BFA85" w:rsidR="00206598" w:rsidRPr="00686214" w:rsidRDefault="00715661" w:rsidP="0081494D">
            <w:pPr>
              <w:pStyle w:val="Akapitzlist"/>
              <w:numPr>
                <w:ilvl w:val="0"/>
                <w:numId w:val="43"/>
              </w:numPr>
              <w:spacing w:before="6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Kody źródłowe o których mowa powyżej </w:t>
            </w:r>
            <w:r w:rsidR="00206598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będą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obejmować</w:t>
            </w:r>
            <w:r w:rsidR="00206598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3FDE23D" w14:textId="3741B1E5" w:rsidR="00206598" w:rsidRPr="00686214" w:rsidRDefault="00206598" w:rsidP="0081494D">
            <w:pPr>
              <w:pStyle w:val="Akapitzlist"/>
              <w:numPr>
                <w:ilvl w:val="0"/>
                <w:numId w:val="35"/>
              </w:numPr>
              <w:spacing w:before="60" w:after="0" w:line="276" w:lineRule="auto"/>
              <w:ind w:left="501" w:hanging="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opis struktur katalogów kodów źródłowych,</w:t>
            </w:r>
          </w:p>
          <w:p w14:paraId="0DDCFC6E" w14:textId="7DFC7B7B" w:rsidR="00206598" w:rsidRPr="00686214" w:rsidRDefault="00206598" w:rsidP="0081494D">
            <w:pPr>
              <w:pStyle w:val="Akapitzlist"/>
              <w:numPr>
                <w:ilvl w:val="0"/>
                <w:numId w:val="35"/>
              </w:numPr>
              <w:spacing w:before="60" w:after="0" w:line="276" w:lineRule="auto"/>
              <w:ind w:left="501" w:hanging="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opis standardu nazewnictwa plików źródłowych i wynikowych,</w:t>
            </w:r>
          </w:p>
          <w:p w14:paraId="71CCB943" w14:textId="514DDD84" w:rsidR="00206598" w:rsidRPr="00686214" w:rsidRDefault="00206598" w:rsidP="0081494D">
            <w:pPr>
              <w:pStyle w:val="Akapitzlist"/>
              <w:numPr>
                <w:ilvl w:val="0"/>
                <w:numId w:val="35"/>
              </w:numPr>
              <w:spacing w:before="60" w:after="0" w:line="276" w:lineRule="auto"/>
              <w:ind w:left="501" w:hanging="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instrukcja generacji kodu wynikowego,</w:t>
            </w:r>
          </w:p>
          <w:p w14:paraId="55EC2D1C" w14:textId="22FC6651" w:rsidR="00206598" w:rsidRPr="00686214" w:rsidRDefault="00206598" w:rsidP="0081494D">
            <w:pPr>
              <w:pStyle w:val="Akapitzlist"/>
              <w:numPr>
                <w:ilvl w:val="0"/>
                <w:numId w:val="35"/>
              </w:numPr>
              <w:spacing w:before="60" w:after="0" w:line="276" w:lineRule="auto"/>
              <w:ind w:left="501" w:hanging="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instrukcja tworzenia wersji instalacyjnej z wersji wynikowej (skompilowanej),</w:t>
            </w:r>
          </w:p>
          <w:p w14:paraId="608B690E" w14:textId="7108BF9A" w:rsidR="00206598" w:rsidRPr="00686214" w:rsidRDefault="00206598" w:rsidP="0081494D">
            <w:pPr>
              <w:pStyle w:val="Akapitzlist"/>
              <w:numPr>
                <w:ilvl w:val="0"/>
                <w:numId w:val="35"/>
              </w:numPr>
              <w:spacing w:before="60" w:after="0" w:line="276" w:lineRule="auto"/>
              <w:ind w:left="501" w:hanging="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instrukcja konfiguracji środowiska do wygenerowania kodów wynikowych,</w:t>
            </w:r>
          </w:p>
          <w:p w14:paraId="5F4A2EC7" w14:textId="69D74A80" w:rsidR="00206598" w:rsidRPr="00686214" w:rsidRDefault="00206598" w:rsidP="0081494D">
            <w:pPr>
              <w:pStyle w:val="Akapitzlist"/>
              <w:numPr>
                <w:ilvl w:val="0"/>
                <w:numId w:val="35"/>
              </w:numPr>
              <w:spacing w:before="60" w:after="0" w:line="276" w:lineRule="auto"/>
              <w:ind w:left="501" w:hanging="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specyfikacja środowiska sprzętowo-systemowego wymaganego do przeprowadzenia </w:t>
            </w:r>
          </w:p>
          <w:p w14:paraId="3BF16953" w14:textId="77777777" w:rsidR="00206598" w:rsidRPr="00686214" w:rsidRDefault="00206598" w:rsidP="002A7BA0">
            <w:pPr>
              <w:pStyle w:val="Akapitzlist"/>
              <w:spacing w:before="60" w:after="0" w:line="276" w:lineRule="auto"/>
              <w:ind w:left="50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procedury generacji kodu wynikowego,</w:t>
            </w:r>
          </w:p>
          <w:p w14:paraId="3762779C" w14:textId="601B0EC7" w:rsidR="00206598" w:rsidRPr="00686214" w:rsidRDefault="00206598" w:rsidP="0081494D">
            <w:pPr>
              <w:pStyle w:val="Akapitzlist"/>
              <w:numPr>
                <w:ilvl w:val="0"/>
                <w:numId w:val="35"/>
              </w:numPr>
              <w:spacing w:before="60" w:after="0" w:line="276" w:lineRule="auto"/>
              <w:ind w:left="501" w:hanging="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narzędzia do przygotowywania wersji instalacyjnych wytworzonego oprogramowania </w:t>
            </w:r>
          </w:p>
          <w:p w14:paraId="3071DDE1" w14:textId="42BA0D6A" w:rsidR="00206598" w:rsidRPr="00686214" w:rsidRDefault="00206598" w:rsidP="002A7BA0">
            <w:pPr>
              <w:pStyle w:val="Akapitzlist"/>
              <w:spacing w:before="60" w:after="0" w:line="276" w:lineRule="auto"/>
              <w:ind w:left="50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(wersji pełnej, aktualizacji, łat) wraz z dokumentacją użytkowania i licencjami, o ile są wymagane,</w:t>
            </w:r>
          </w:p>
          <w:p w14:paraId="1B59DD81" w14:textId="415140A2" w:rsidR="00206598" w:rsidRPr="00686214" w:rsidRDefault="00206598" w:rsidP="0081494D">
            <w:pPr>
              <w:pStyle w:val="Akapitzlist"/>
              <w:numPr>
                <w:ilvl w:val="0"/>
                <w:numId w:val="35"/>
              </w:numPr>
              <w:spacing w:before="60" w:after="0" w:line="276" w:lineRule="auto"/>
              <w:ind w:left="501" w:hanging="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narzędzia do instalacji wytworzonego oprogramowania wraz z dokumentacją instalacji i </w:t>
            </w:r>
          </w:p>
          <w:p w14:paraId="61934C64" w14:textId="77777777" w:rsidR="00206598" w:rsidRPr="00686214" w:rsidRDefault="00206598" w:rsidP="002A7BA0">
            <w:pPr>
              <w:pStyle w:val="Akapitzlist"/>
              <w:spacing w:before="60" w:after="0" w:line="276" w:lineRule="auto"/>
              <w:ind w:left="50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licencjami, o ile są wymagane,</w:t>
            </w:r>
          </w:p>
          <w:p w14:paraId="6AE690CF" w14:textId="73775701" w:rsidR="00206598" w:rsidRPr="00686214" w:rsidRDefault="00206598" w:rsidP="0081494D">
            <w:pPr>
              <w:pStyle w:val="Akapitzlist"/>
              <w:numPr>
                <w:ilvl w:val="0"/>
                <w:numId w:val="35"/>
              </w:numPr>
              <w:spacing w:before="60" w:after="0" w:line="276" w:lineRule="auto"/>
              <w:ind w:left="501" w:hanging="14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oświadczenie Wykonawcy, że dostarczone przez niego kody źródłowe oprogramowania są </w:t>
            </w:r>
          </w:p>
          <w:p w14:paraId="2A4E5866" w14:textId="7A816985" w:rsidR="00206598" w:rsidRPr="00686214" w:rsidRDefault="00206598" w:rsidP="002A7BA0">
            <w:pPr>
              <w:pStyle w:val="Akapitzlist"/>
              <w:spacing w:before="60" w:after="0" w:line="276" w:lineRule="auto"/>
              <w:ind w:left="50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kompletne tj. wszystkie, które zostały wykorzystane do dokonania zmiany w </w:t>
            </w:r>
            <w:r w:rsidR="0024222B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ystemie</w:t>
            </w:r>
            <w:r w:rsidR="0024222B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oraz, </w:t>
            </w:r>
          </w:p>
          <w:p w14:paraId="1AA21CFF" w14:textId="77777777" w:rsidR="00206598" w:rsidRPr="00686214" w:rsidRDefault="00206598" w:rsidP="002A7BA0">
            <w:pPr>
              <w:pStyle w:val="Akapitzlist"/>
              <w:spacing w:before="60" w:after="0" w:line="276" w:lineRule="auto"/>
              <w:ind w:left="50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że są to kody źródłowe, których użył do skompilowania, czyli do utworzenia </w:t>
            </w:r>
          </w:p>
          <w:p w14:paraId="6EA7FF5A" w14:textId="13181E58" w:rsidR="00206598" w:rsidRPr="00686214" w:rsidRDefault="00206598" w:rsidP="002A7BA0">
            <w:pPr>
              <w:pStyle w:val="Akapitzlist"/>
              <w:spacing w:before="60" w:after="0" w:line="276" w:lineRule="auto"/>
              <w:ind w:left="50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oprogramowania wykonalnego</w:t>
            </w:r>
            <w:r w:rsidR="00C343F5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B9321C" w:rsidRPr="00686214" w14:paraId="3150FDF5" w14:textId="77777777" w:rsidTr="00A16B9F">
        <w:trPr>
          <w:cantSplit/>
          <w:trHeight w:val="103"/>
        </w:trPr>
        <w:tc>
          <w:tcPr>
            <w:tcW w:w="282" w:type="pct"/>
            <w:noWrap/>
          </w:tcPr>
          <w:p w14:paraId="1E0BD334" w14:textId="20FBC056" w:rsidR="00B9321C" w:rsidRPr="00686214" w:rsidRDefault="00776E9E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4718" w:type="pct"/>
            <w:gridSpan w:val="2"/>
            <w:noWrap/>
          </w:tcPr>
          <w:p w14:paraId="3F300C34" w14:textId="00F8F9D6" w:rsidR="00B9321C" w:rsidRPr="00686214" w:rsidRDefault="00B9321C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 dzień złożenia oferty oferowany system powinien mieć określoną przez producenta minimum pięcioletnią ścieżkę rozwoju</w:t>
            </w:r>
            <w:r w:rsidR="00446659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9321C" w:rsidRPr="00686214" w14:paraId="391D519C" w14:textId="77777777" w:rsidTr="00A16B9F">
        <w:trPr>
          <w:cantSplit/>
          <w:trHeight w:val="103"/>
        </w:trPr>
        <w:tc>
          <w:tcPr>
            <w:tcW w:w="282" w:type="pct"/>
            <w:noWrap/>
          </w:tcPr>
          <w:p w14:paraId="411ABB62" w14:textId="4F3F4457" w:rsidR="00B9321C" w:rsidRPr="00686214" w:rsidRDefault="00776E9E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718" w:type="pct"/>
            <w:gridSpan w:val="2"/>
            <w:noWrap/>
          </w:tcPr>
          <w:p w14:paraId="3C5DF451" w14:textId="409C0F7A" w:rsidR="00B9321C" w:rsidRPr="00686214" w:rsidRDefault="00B9321C" w:rsidP="0013489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Dostarczony system należy zintegrować z posiadanym przez </w:t>
            </w:r>
            <w:r w:rsidR="00660FE3" w:rsidRPr="00686214">
              <w:rPr>
                <w:rFonts w:ascii="Times New Roman" w:hAnsi="Times New Roman" w:cs="Times New Roman"/>
                <w:sz w:val="20"/>
                <w:szCs w:val="20"/>
              </w:rPr>
              <w:t>Śląski Uniwersytet Medyczn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="000F7A89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systemem URPM </w:t>
            </w:r>
            <w:r w:rsidR="00B90DE8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poprzez linkowanie </w:t>
            </w:r>
            <w:r w:rsidR="00D22129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(czyli wywołanie URPM bezpośrednio z poziomu systemu) </w:t>
            </w:r>
            <w:r w:rsidR="00B90DE8" w:rsidRPr="00686214">
              <w:rPr>
                <w:rFonts w:ascii="Times New Roman" w:hAnsi="Times New Roman" w:cs="Times New Roman"/>
                <w:sz w:val="20"/>
                <w:szCs w:val="20"/>
              </w:rPr>
              <w:t>do modułu wyszukiwania przypadków medycznych</w:t>
            </w:r>
            <w:r w:rsidR="00AA4B87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2A481C" w14:textId="37F8808C" w:rsidR="00974E52" w:rsidRPr="00686214" w:rsidRDefault="00AA4B87" w:rsidP="00660FE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Poprzez system URPM należy rozumieć Uniwersyteckie Repozytorium Przypadków Medycznych</w:t>
            </w:r>
            <w:r w:rsidR="0062451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będące dedykowanym dla Śląskiego Uniwersytetu Medycznego w Katowicach systemem bazodanowym, agregującym pseudonimizowane dane medyczne pacjentów podmiotów leczniczych GCM, UCK i GCZD, którego zadaniem jest dostarczanie zestawów danych (wyszukiwanych przez użytkownika poprzez dedykowany interfejs) do celów analityczno-statystycznych na potrzeby dydaktyczne i badań naukowych.</w:t>
            </w:r>
          </w:p>
        </w:tc>
      </w:tr>
      <w:tr w:rsidR="00B9321C" w:rsidRPr="00686214" w14:paraId="1ECE28AD" w14:textId="77777777" w:rsidTr="00A16B9F">
        <w:trPr>
          <w:cantSplit/>
          <w:trHeight w:val="103"/>
        </w:trPr>
        <w:tc>
          <w:tcPr>
            <w:tcW w:w="282" w:type="pct"/>
            <w:noWrap/>
          </w:tcPr>
          <w:p w14:paraId="3A6044A1" w14:textId="6FF9249E" w:rsidR="00B9321C" w:rsidRPr="00686214" w:rsidRDefault="00776E9E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718" w:type="pct"/>
            <w:gridSpan w:val="2"/>
            <w:noWrap/>
          </w:tcPr>
          <w:p w14:paraId="18DAD947" w14:textId="5368481C" w:rsidR="00B9321C" w:rsidRPr="00686214" w:rsidRDefault="00B9321C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Usługa </w:t>
            </w:r>
            <w:r w:rsidR="0012450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wsparcia technicznego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dla dostarczonego systemu musi obejmować aktualizacje do najnowszych wersji udostępnionych przez producenta systemu przez okres </w:t>
            </w:r>
            <w:r w:rsidR="0024222B" w:rsidRPr="00686214">
              <w:rPr>
                <w:rFonts w:ascii="Times New Roman" w:hAnsi="Times New Roman" w:cs="Times New Roman"/>
                <w:sz w:val="20"/>
                <w:szCs w:val="20"/>
              </w:rPr>
              <w:t>zgodny z okresem gwarancji</w:t>
            </w:r>
            <w:r w:rsidR="00727AD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321C" w:rsidRPr="00686214" w14:paraId="2A33B2DF" w14:textId="77777777" w:rsidTr="00A16B9F">
        <w:trPr>
          <w:cantSplit/>
          <w:trHeight w:val="103"/>
        </w:trPr>
        <w:tc>
          <w:tcPr>
            <w:tcW w:w="282" w:type="pct"/>
            <w:noWrap/>
          </w:tcPr>
          <w:p w14:paraId="4AEC97AA" w14:textId="0549F0AA" w:rsidR="00B9321C" w:rsidRPr="00686214" w:rsidRDefault="00776E9E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718" w:type="pct"/>
            <w:gridSpan w:val="2"/>
            <w:noWrap/>
          </w:tcPr>
          <w:p w14:paraId="44DBC517" w14:textId="2F4A6FF2" w:rsidR="00B9321C" w:rsidRPr="00686214" w:rsidRDefault="00B9321C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Wykonawca będzie zobowiązany wraz z licencjami dostarczyć następujące dokumenty</w:t>
            </w:r>
            <w:r w:rsidR="00C960E5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oraz dane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E461BC0" w14:textId="45309EB3" w:rsidR="00B9321C" w:rsidRPr="00686214" w:rsidRDefault="00B9321C" w:rsidP="007B0056">
            <w:pPr>
              <w:pStyle w:val="Akapitzlist"/>
              <w:numPr>
                <w:ilvl w:val="0"/>
                <w:numId w:val="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Instrukcja obsługi systemu</w:t>
            </w:r>
            <w:r w:rsidR="00727AD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dla użytkownika oraz administratora</w:t>
            </w:r>
            <w:r w:rsidR="00C343F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A01966" w14:textId="792C4D39" w:rsidR="00B9321C" w:rsidRPr="00686214" w:rsidRDefault="00B9321C" w:rsidP="007B0056">
            <w:pPr>
              <w:pStyle w:val="Akapitzlist"/>
              <w:numPr>
                <w:ilvl w:val="0"/>
                <w:numId w:val="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Dokumentacja techniczna ze wskazaniem poszczególnych wymaganych funkcjonalności (z dokładnością do punktu, strony w dokumentacji)</w:t>
            </w:r>
            <w:r w:rsidR="00C343F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25DB975" w14:textId="01C784B6" w:rsidR="00B9321C" w:rsidRPr="00686214" w:rsidRDefault="00B9321C" w:rsidP="007B0056">
            <w:pPr>
              <w:pStyle w:val="Akapitzlist"/>
              <w:numPr>
                <w:ilvl w:val="0"/>
                <w:numId w:val="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Dokumentacja dla administratora systemu</w:t>
            </w:r>
            <w:r w:rsidR="00176CB6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obejmująca między innymi  procedurę sprawdzenia poprawności działania systemu, procedurę wykonania kopii zapasowej, odtwarzania i testowania kopii zapasowej, </w:t>
            </w:r>
          </w:p>
          <w:p w14:paraId="472C392B" w14:textId="5AF1C64D" w:rsidR="00B9321C" w:rsidRPr="00686214" w:rsidRDefault="00B9321C" w:rsidP="007B0056">
            <w:pPr>
              <w:pStyle w:val="Akapitzlist"/>
              <w:numPr>
                <w:ilvl w:val="0"/>
                <w:numId w:val="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Materiały instruktażowe dla użytkownika końcowego w formie plików wideo wraz z narracją osoby prowadzącej szkolenie lub tekstem zastępującym narrację</w:t>
            </w:r>
            <w:r w:rsidR="00C343F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F8B4993" w14:textId="1501BA2C" w:rsidR="009B18D5" w:rsidRPr="00686214" w:rsidRDefault="009B18D5" w:rsidP="007B0056">
            <w:pPr>
              <w:pStyle w:val="Akapitzlist"/>
              <w:numPr>
                <w:ilvl w:val="0"/>
                <w:numId w:val="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Dokumentacja opisująca procedurę walidacji systemu</w:t>
            </w:r>
            <w:r w:rsidR="00727AD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i nadzoru nad bezpieczeństwem </w:t>
            </w:r>
            <w:r w:rsidR="00727AD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w/w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</w:p>
          <w:p w14:paraId="2D06CA09" w14:textId="2E0CF2D1" w:rsidR="00C960E5" w:rsidRPr="00686214" w:rsidRDefault="009B18D5" w:rsidP="007B0056">
            <w:pPr>
              <w:pStyle w:val="Akapitzlist"/>
              <w:numPr>
                <w:ilvl w:val="0"/>
                <w:numId w:val="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Dokumentacja walidacyjna z wykonanych testów zgodnie z metodologią np. GAMP5 lub równoważną (Plan walidacji, Raporty z kwalifikacji DQ, IQ, OQ, PQ)</w:t>
            </w:r>
            <w:r w:rsidR="00C343F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4F2462" w14:textId="2B9EB6C9" w:rsidR="009B18D5" w:rsidRPr="00686214" w:rsidRDefault="00C960E5" w:rsidP="007B0056">
            <w:pPr>
              <w:pStyle w:val="Akapitzlist"/>
              <w:numPr>
                <w:ilvl w:val="0"/>
                <w:numId w:val="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Kody źródłowe do </w:t>
            </w:r>
            <w:r w:rsidR="00727ADA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ystemu użytkowane przez Zamawiającego  na potrzeby świadczenia usługi </w:t>
            </w:r>
            <w:r w:rsidR="0012450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wsparcia technicznego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przez podmiot trzeci po ustaniu </w:t>
            </w:r>
            <w:r w:rsidR="00727AD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okresu gwarancji </w:t>
            </w:r>
            <w:r w:rsidR="005A4AB5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z obowiązkiem ich aktualizacji każdorazowo po wykonanej modyfikacji</w:t>
            </w:r>
            <w:r w:rsidR="009B18D5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B9321C" w:rsidRPr="00686214" w14:paraId="0EC8A8EC" w14:textId="77777777" w:rsidTr="00A16B9F">
        <w:trPr>
          <w:cantSplit/>
          <w:trHeight w:val="103"/>
        </w:trPr>
        <w:tc>
          <w:tcPr>
            <w:tcW w:w="282" w:type="pct"/>
            <w:noWrap/>
          </w:tcPr>
          <w:p w14:paraId="6CE920E0" w14:textId="665953FC" w:rsidR="00B9321C" w:rsidRPr="00686214" w:rsidRDefault="00776E9E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718" w:type="pct"/>
            <w:gridSpan w:val="2"/>
            <w:noWrap/>
          </w:tcPr>
          <w:p w14:paraId="5428C9D2" w14:textId="6C906260" w:rsidR="009B18D5" w:rsidRPr="00686214" w:rsidRDefault="009B18D5" w:rsidP="009B18D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Tryb pracy z dokumentami w systemie :</w:t>
            </w:r>
          </w:p>
          <w:p w14:paraId="5DF80C35" w14:textId="77777777" w:rsidR="009B18D5" w:rsidRPr="00686214" w:rsidRDefault="009B18D5" w:rsidP="0081494D">
            <w:pPr>
              <w:pStyle w:val="Bezodstpw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Tryb pracy z dokumentami (tworzenie, złożenie, rewizja, odrzucenie, modyfikacje, zatwierdzenie, podpisanie)</w:t>
            </w:r>
          </w:p>
          <w:p w14:paraId="2D54F647" w14:textId="057DB746" w:rsidR="009B18D5" w:rsidRPr="00686214" w:rsidRDefault="009B18D5" w:rsidP="0081494D">
            <w:pPr>
              <w:pStyle w:val="Bezodstpw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tworzenia raportów/zestawień/listingów (tworzenie, filtrowanie, eksportowanie) wg bieżących potrzeb użytkownika</w:t>
            </w:r>
            <w:r w:rsidR="00C343F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050DE0F" w14:textId="799A8389" w:rsidR="009B18D5" w:rsidRPr="00686214" w:rsidRDefault="009B18D5" w:rsidP="0081494D">
            <w:pPr>
              <w:pStyle w:val="Bezodstpw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Możliwość eksportu i importu danych </w:t>
            </w:r>
            <w:r w:rsidR="005F77A7" w:rsidRPr="0068621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plików </w:t>
            </w:r>
            <w:r w:rsidR="005F77A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Ms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Excel, CSV, pdf</w:t>
            </w:r>
            <w:r w:rsidR="00C343F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A20BA43" w14:textId="66C74680" w:rsidR="00B9321C" w:rsidRPr="00686214" w:rsidRDefault="009B18D5" w:rsidP="0081494D">
            <w:pPr>
              <w:pStyle w:val="Bezodstpw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wydruku danych, raportów w formacie Ms Word oraz PDF</w:t>
            </w:r>
            <w:r w:rsidR="00C343F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 w:rsidDel="009B18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DAB56C" w14:textId="780BC4EF" w:rsidR="00776E9E" w:rsidRPr="00686214" w:rsidRDefault="00776E9E" w:rsidP="0081494D">
            <w:pPr>
              <w:pStyle w:val="Bezodstpw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mechanizm autouzupełniania danych, tzn. dynamicznego dopasowywania często wykorzystywanych wyrazów lub całych fraz w trakcie ich wpisywania przez użytkownika.</w:t>
            </w:r>
          </w:p>
          <w:p w14:paraId="0F823627" w14:textId="7A1AE446" w:rsidR="00B9321C" w:rsidRPr="00686214" w:rsidRDefault="00B9321C" w:rsidP="009B18D5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Podczas definiowania wszelkich raportów, formularzy itp. </w:t>
            </w:r>
            <w:r w:rsidR="0009784D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ystem </w:t>
            </w:r>
            <w:r w:rsidR="00A45CC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7AD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musi walidować obecność danych osobowych uczestnika, tak  aby zawierały one informacje nie pozwalające na ustalanie tożsamości uczestnika przez osobę która otrzyma np. taki raport a nie jest uprawniona do posiadania klucza do odwrócenia pseudonimizacji tożsamości uczestnika.</w:t>
            </w:r>
          </w:p>
          <w:p w14:paraId="6213058C" w14:textId="4433CA4E" w:rsidR="00974E52" w:rsidRPr="00686214" w:rsidRDefault="00974E52" w:rsidP="009B18D5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Możliwość importowania danych i sposób pozyskiwania danych źródłowych zostanie ustalony razem z Wykonawcą w ramach analizy Przedwdrożeniowej. </w:t>
            </w:r>
          </w:p>
        </w:tc>
      </w:tr>
      <w:tr w:rsidR="00C9672E" w:rsidRPr="00686214" w14:paraId="06D4A8F7" w14:textId="77777777" w:rsidTr="00A16B9F">
        <w:trPr>
          <w:cantSplit/>
          <w:trHeight w:val="103"/>
        </w:trPr>
        <w:tc>
          <w:tcPr>
            <w:tcW w:w="282" w:type="pct"/>
            <w:noWrap/>
          </w:tcPr>
          <w:p w14:paraId="06113E14" w14:textId="77777777" w:rsidR="00C9672E" w:rsidRPr="00686214" w:rsidRDefault="00C9672E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18" w:type="pct"/>
            <w:gridSpan w:val="2"/>
            <w:noWrap/>
          </w:tcPr>
          <w:p w14:paraId="5E8747A7" w14:textId="3998CDE1" w:rsidR="00C9672E" w:rsidRPr="00686214" w:rsidRDefault="0094649A" w:rsidP="009B18D5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Wykonawca zobowiązany jest do wykonania dokładnej analizy przedwdrożeniowej po  podpisaniu umowy w odniesieniu do każdej wymaganej funkcjonalności </w:t>
            </w:r>
          </w:p>
        </w:tc>
      </w:tr>
      <w:tr w:rsidR="00592C23" w:rsidRPr="00686214" w14:paraId="48F94D9A" w14:textId="77777777" w:rsidTr="00A16B9F">
        <w:trPr>
          <w:cantSplit/>
          <w:trHeight w:val="103"/>
        </w:trPr>
        <w:tc>
          <w:tcPr>
            <w:tcW w:w="5000" w:type="pct"/>
            <w:gridSpan w:val="3"/>
            <w:shd w:val="clear" w:color="auto" w:fill="00B0F0"/>
            <w:noWrap/>
          </w:tcPr>
          <w:p w14:paraId="714D9926" w14:textId="5030EFBF" w:rsidR="00592C23" w:rsidRPr="00686214" w:rsidRDefault="00592C23" w:rsidP="00592C23">
            <w:pPr>
              <w:spacing w:before="60"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Dedykowany</w:t>
            </w:r>
            <w:r w:rsidR="00431AAC"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B51C2"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431AAC"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integrowany</w:t>
            </w: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System informatyczny wspomagający proces Zarządzania Badaniami Klinicznymi wymagania funkcjonalne</w:t>
            </w:r>
          </w:p>
        </w:tc>
      </w:tr>
      <w:tr w:rsidR="00E23792" w:rsidRPr="00686214" w14:paraId="3F6AC7D1" w14:textId="77777777" w:rsidTr="00A16B9F">
        <w:trPr>
          <w:cantSplit/>
          <w:trHeight w:val="103"/>
        </w:trPr>
        <w:tc>
          <w:tcPr>
            <w:tcW w:w="282" w:type="pct"/>
            <w:shd w:val="clear" w:color="auto" w:fill="D0CECE" w:themeFill="background2" w:themeFillShade="E6"/>
            <w:noWrap/>
          </w:tcPr>
          <w:p w14:paraId="2B6C00FE" w14:textId="5D4C1EA5" w:rsidR="00E23792" w:rsidRPr="00686214" w:rsidRDefault="00E23792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4718" w:type="pct"/>
            <w:gridSpan w:val="2"/>
            <w:shd w:val="clear" w:color="auto" w:fill="D0CECE" w:themeFill="background2" w:themeFillShade="E6"/>
            <w:noWrap/>
          </w:tcPr>
          <w:p w14:paraId="46F2E067" w14:textId="27252895" w:rsidR="00E23792" w:rsidRPr="00686214" w:rsidRDefault="00E23792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System powinien mieć budowę modułową, zawierać </w:t>
            </w:r>
            <w:r w:rsidR="005F77A7"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szczególności </w:t>
            </w: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następujące moduły:</w:t>
            </w:r>
          </w:p>
          <w:p w14:paraId="7D0638BE" w14:textId="3B1AFC04" w:rsidR="00E23792" w:rsidRPr="00686214" w:rsidRDefault="00E23792" w:rsidP="007B0056">
            <w:pPr>
              <w:pStyle w:val="Akapitzlist"/>
              <w:numPr>
                <w:ilvl w:val="0"/>
                <w:numId w:val="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Centralny Rejestr Badań Klinicznych </w:t>
            </w:r>
          </w:p>
          <w:p w14:paraId="6F27963C" w14:textId="3B3FC55C" w:rsidR="00E23792" w:rsidRPr="00686214" w:rsidRDefault="00E23792" w:rsidP="007B0056">
            <w:pPr>
              <w:pStyle w:val="Akapitzlist"/>
              <w:numPr>
                <w:ilvl w:val="0"/>
                <w:numId w:val="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Terminarz</w:t>
            </w:r>
          </w:p>
          <w:p w14:paraId="4EACF273" w14:textId="77777777" w:rsidR="00E23792" w:rsidRPr="00686214" w:rsidRDefault="00E23792" w:rsidP="007B0056">
            <w:pPr>
              <w:pStyle w:val="Akapitzlist"/>
              <w:numPr>
                <w:ilvl w:val="0"/>
                <w:numId w:val="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prowadzonych badań klinicznych</w:t>
            </w:r>
          </w:p>
          <w:p w14:paraId="71EC4964" w14:textId="77777777" w:rsidR="00E23792" w:rsidRPr="00686214" w:rsidRDefault="00E23792" w:rsidP="007B0056">
            <w:pPr>
              <w:pStyle w:val="Akapitzlist"/>
              <w:numPr>
                <w:ilvl w:val="0"/>
                <w:numId w:val="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Statystyka i Raporty</w:t>
            </w:r>
          </w:p>
          <w:p w14:paraId="788279E4" w14:textId="77777777" w:rsidR="00E23792" w:rsidRPr="00686214" w:rsidRDefault="00E23792" w:rsidP="007B0056">
            <w:pPr>
              <w:pStyle w:val="Akapitzlist"/>
              <w:numPr>
                <w:ilvl w:val="0"/>
                <w:numId w:val="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Finansowy</w:t>
            </w:r>
          </w:p>
          <w:p w14:paraId="29DAD717" w14:textId="3FF61BE1" w:rsidR="00206118" w:rsidRPr="00686214" w:rsidRDefault="00E23792" w:rsidP="007B0056">
            <w:pPr>
              <w:pStyle w:val="Akapitzlist"/>
              <w:numPr>
                <w:ilvl w:val="0"/>
                <w:numId w:val="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eCRF</w:t>
            </w:r>
          </w:p>
          <w:p w14:paraId="6ED94637" w14:textId="666B70BE" w:rsidR="00E23792" w:rsidRPr="00686214" w:rsidRDefault="00206118" w:rsidP="007B0056">
            <w:pPr>
              <w:pStyle w:val="Akapitzlist"/>
              <w:numPr>
                <w:ilvl w:val="0"/>
                <w:numId w:val="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="00E23792"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oduł do tworzenia dynamicznych formularzy </w:t>
            </w:r>
          </w:p>
          <w:p w14:paraId="33ABD823" w14:textId="6E2C9EDE" w:rsidR="00592C23" w:rsidRPr="00686214" w:rsidRDefault="00592C23" w:rsidP="007B0056">
            <w:pPr>
              <w:pStyle w:val="Akapitzlist"/>
              <w:numPr>
                <w:ilvl w:val="0"/>
                <w:numId w:val="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Moduł Budżetowania </w:t>
            </w:r>
          </w:p>
          <w:p w14:paraId="40D79259" w14:textId="5DCD57ED" w:rsidR="00592C23" w:rsidRPr="00686214" w:rsidRDefault="00592C23" w:rsidP="007B0056">
            <w:pPr>
              <w:pStyle w:val="Akapitzlist"/>
              <w:numPr>
                <w:ilvl w:val="0"/>
                <w:numId w:val="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Moduł Protokołu Badania </w:t>
            </w:r>
          </w:p>
          <w:p w14:paraId="1E7CC79D" w14:textId="77777777" w:rsidR="00E23792" w:rsidRPr="00686214" w:rsidRDefault="00E23792" w:rsidP="007B0056">
            <w:pPr>
              <w:pStyle w:val="Akapitzlist"/>
              <w:numPr>
                <w:ilvl w:val="0"/>
                <w:numId w:val="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Administrator</w:t>
            </w:r>
          </w:p>
          <w:p w14:paraId="5EC4CFF5" w14:textId="26911624" w:rsidR="00431AAC" w:rsidRPr="00686214" w:rsidRDefault="00431AAC" w:rsidP="00431AAC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Powyższe moduły powinny być ze sobą zintegrowane, to oznacza że raz wprowadzone dane powinny być widoczne w pozostałych modułach </w:t>
            </w:r>
          </w:p>
        </w:tc>
      </w:tr>
      <w:tr w:rsidR="008D3C00" w:rsidRPr="00686214" w14:paraId="13114E89" w14:textId="77777777" w:rsidTr="00A16B9F">
        <w:trPr>
          <w:cantSplit/>
          <w:trHeight w:val="103"/>
        </w:trPr>
        <w:tc>
          <w:tcPr>
            <w:tcW w:w="5000" w:type="pct"/>
            <w:gridSpan w:val="3"/>
            <w:shd w:val="clear" w:color="auto" w:fill="00B0F0"/>
            <w:noWrap/>
          </w:tcPr>
          <w:p w14:paraId="4BB8FEBC" w14:textId="04A50A60" w:rsidR="008D3C00" w:rsidRPr="00686214" w:rsidRDefault="008D3C00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Centralny Rejestr Badań Klinicznych</w:t>
            </w:r>
          </w:p>
        </w:tc>
      </w:tr>
      <w:tr w:rsidR="00776E9E" w:rsidRPr="00686214" w14:paraId="52F7A3B4" w14:textId="77777777" w:rsidTr="00A16B9F">
        <w:tc>
          <w:tcPr>
            <w:tcW w:w="282" w:type="pct"/>
            <w:noWrap/>
          </w:tcPr>
          <w:p w14:paraId="6EDBB3CA" w14:textId="372F8870" w:rsidR="00776E9E" w:rsidRPr="00686214" w:rsidRDefault="00776E9E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18" w:type="pct"/>
            <w:gridSpan w:val="2"/>
          </w:tcPr>
          <w:p w14:paraId="79191997" w14:textId="76E0C071" w:rsidR="00776E9E" w:rsidRPr="00686214" w:rsidRDefault="00776E9E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Prowadzenie rejestru badań klinicznych realizowanych oraz archiwalnych</w:t>
            </w:r>
            <w:r w:rsidR="00DA325A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76E9E" w:rsidRPr="00686214" w14:paraId="2091036B" w14:textId="77777777" w:rsidTr="00A16B9F">
        <w:trPr>
          <w:cantSplit/>
        </w:trPr>
        <w:tc>
          <w:tcPr>
            <w:tcW w:w="282" w:type="pct"/>
            <w:noWrap/>
          </w:tcPr>
          <w:p w14:paraId="07092129" w14:textId="3FB25339" w:rsidR="00776E9E" w:rsidRPr="00686214" w:rsidRDefault="00776E9E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18" w:type="pct"/>
            <w:gridSpan w:val="2"/>
          </w:tcPr>
          <w:p w14:paraId="54FCC90D" w14:textId="77777777" w:rsidR="00776E9E" w:rsidRPr="00686214" w:rsidRDefault="00776E9E" w:rsidP="00776E9E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Podczas wprowadzania danego badania do rejestru konieczne jest uzupełnienie min., następujących informacji:</w:t>
            </w:r>
          </w:p>
          <w:p w14:paraId="00B9EA5E" w14:textId="5CD95C0A" w:rsidR="00776E9E" w:rsidRPr="00686214" w:rsidRDefault="00776E9E" w:rsidP="0081494D">
            <w:pPr>
              <w:pStyle w:val="Akapitzlist"/>
              <w:numPr>
                <w:ilvl w:val="0"/>
                <w:numId w:val="2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Identyfikator badania;</w:t>
            </w:r>
          </w:p>
          <w:p w14:paraId="19ACD37C" w14:textId="461B8AB8" w:rsidR="0083256F" w:rsidRPr="00686214" w:rsidRDefault="000C7E02" w:rsidP="0081494D">
            <w:pPr>
              <w:pStyle w:val="Akapitzlist"/>
              <w:numPr>
                <w:ilvl w:val="0"/>
                <w:numId w:val="2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Miejsce realizacji </w:t>
            </w:r>
            <w:r w:rsidR="00815E4F" w:rsidRPr="00686214">
              <w:rPr>
                <w:rFonts w:ascii="Times New Roman" w:hAnsi="Times New Roman" w:cs="Times New Roman"/>
                <w:sz w:val="20"/>
                <w:szCs w:val="20"/>
              </w:rPr>
              <w:t>Badania Klinicznego (np. Oddział, Poradnia)</w:t>
            </w:r>
            <w:r w:rsidR="00DA325A"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60C82D" w14:textId="77777777" w:rsidR="00776E9E" w:rsidRPr="00686214" w:rsidRDefault="00776E9E" w:rsidP="0081494D">
            <w:pPr>
              <w:pStyle w:val="Akapitzlist"/>
              <w:numPr>
                <w:ilvl w:val="0"/>
                <w:numId w:val="2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Nazwa skrócona badania  /AKRONIM;</w:t>
            </w:r>
          </w:p>
          <w:p w14:paraId="56EC50BF" w14:textId="575EC564" w:rsidR="00776E9E" w:rsidRPr="00686214" w:rsidRDefault="00776E9E" w:rsidP="0081494D">
            <w:pPr>
              <w:pStyle w:val="Akapitzlist"/>
              <w:numPr>
                <w:ilvl w:val="0"/>
                <w:numId w:val="2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Typ i rodzaj badania   (pole słownikowe, do wyboru słowniki</w:t>
            </w:r>
            <w:r w:rsidR="00D22129" w:rsidRPr="006862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54C306" w14:textId="4CB80B84" w:rsidR="00AC591B" w:rsidRPr="00686214" w:rsidRDefault="00776E9E" w:rsidP="0081494D">
            <w:pPr>
              <w:pStyle w:val="Akapitzlist"/>
              <w:numPr>
                <w:ilvl w:val="0"/>
                <w:numId w:val="2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Nazwa badania (możliwość wprowadzenia w min. dwóch językach)</w:t>
            </w:r>
            <w:r w:rsidR="00DA325A"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2E29211" w14:textId="0E6AD9CB" w:rsidR="00776E9E" w:rsidRPr="00686214" w:rsidRDefault="00776E9E" w:rsidP="0081494D">
            <w:pPr>
              <w:pStyle w:val="Akapitzlist"/>
              <w:numPr>
                <w:ilvl w:val="0"/>
                <w:numId w:val="2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Opis badania (możliwość wprowadzenia w min. dwóch językach)</w:t>
            </w:r>
            <w:r w:rsidR="00DA325A"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090A787C" w14:textId="77777777" w:rsidR="00776E9E" w:rsidRPr="00686214" w:rsidRDefault="00776E9E" w:rsidP="0081494D">
            <w:pPr>
              <w:pStyle w:val="Akapitzlist"/>
              <w:numPr>
                <w:ilvl w:val="0"/>
                <w:numId w:val="2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Nazwa programu;</w:t>
            </w:r>
          </w:p>
          <w:p w14:paraId="548CCB6F" w14:textId="7549B22B" w:rsidR="00776E9E" w:rsidRPr="00686214" w:rsidRDefault="00776E9E" w:rsidP="0081494D">
            <w:pPr>
              <w:pStyle w:val="Akapitzlist"/>
              <w:numPr>
                <w:ilvl w:val="0"/>
                <w:numId w:val="2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Nazwa konkursu;</w:t>
            </w:r>
          </w:p>
          <w:p w14:paraId="0449DC31" w14:textId="535015AC" w:rsidR="00F04E03" w:rsidRPr="00686214" w:rsidRDefault="005A6303" w:rsidP="0081494D">
            <w:pPr>
              <w:pStyle w:val="Akapitzlist"/>
              <w:numPr>
                <w:ilvl w:val="0"/>
                <w:numId w:val="2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Funkcjonalność dodawania nowego uczestnika do badania</w:t>
            </w:r>
            <w:r w:rsidR="00065C0C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[Płeć, Kod pacjenta, Data urodzenia, Data śmierci, Telefon, Email, Status (słownik definiowany w systemie), Miasto, Gmina, Powiat, Data dołączenia do badania, Inicjały, Lekarz prowadzący (słownik definiowany w systemie), Jednostka badawcza, </w:t>
            </w:r>
            <w:r w:rsidR="00F04E03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Informacja na temat uczestników badania </w:t>
            </w:r>
            <w:r w:rsidR="00815E4F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- pole opisowe</w:t>
            </w:r>
            <w:r w:rsidR="00DA325A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65C0C" w:rsidRPr="00686214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="00815E4F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4DA1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6E9E" w:rsidRPr="00686214" w14:paraId="43EDB3EF" w14:textId="77777777" w:rsidTr="00A16B9F">
        <w:trPr>
          <w:trHeight w:val="1833"/>
        </w:trPr>
        <w:tc>
          <w:tcPr>
            <w:tcW w:w="282" w:type="pct"/>
            <w:noWrap/>
          </w:tcPr>
          <w:p w14:paraId="62F89744" w14:textId="112B40E8" w:rsidR="00776E9E" w:rsidRPr="00686214" w:rsidRDefault="00776E9E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718" w:type="pct"/>
            <w:gridSpan w:val="2"/>
          </w:tcPr>
          <w:p w14:paraId="5AC917B4" w14:textId="45D27EBA" w:rsidR="00776E9E" w:rsidRPr="00686214" w:rsidRDefault="00776E9E" w:rsidP="00776E9E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zarejestrowania poszczególnych zadań w ramach prowadzonego badania (min. numer, opis) ;</w:t>
            </w:r>
          </w:p>
          <w:p w14:paraId="6F9F42E8" w14:textId="13948EAD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Rola CWBK w projekcie (Sponsor, Partner);</w:t>
            </w:r>
          </w:p>
          <w:p w14:paraId="4BD6BB69" w14:textId="77777777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Data złożenia wniosku  o dofinansowanie;</w:t>
            </w:r>
          </w:p>
          <w:p w14:paraId="07E0922D" w14:textId="77777777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Data rozpoczęcia i zakończenia badania;</w:t>
            </w:r>
          </w:p>
          <w:p w14:paraId="4D547275" w14:textId="1A866E6D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Status badania (nie rozpoczęte /w toku/ zakończone;</w:t>
            </w:r>
          </w:p>
          <w:p w14:paraId="3BB7CF7E" w14:textId="32471BFF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Nazwa instytucji organizującej konkurs (pole słownikowe);</w:t>
            </w:r>
          </w:p>
          <w:p w14:paraId="159FD836" w14:textId="77777777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Nazwa CRO;</w:t>
            </w:r>
          </w:p>
          <w:p w14:paraId="30365560" w14:textId="77777777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Nazwa kliniki/Oddziału (chodzi o miejsce realizacji badania klinicznego w danym Ośrodku);</w:t>
            </w:r>
          </w:p>
          <w:p w14:paraId="2F7621D6" w14:textId="29A59AD3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Główny badacz: imię, nazwisko, dane kontaktowe</w:t>
            </w:r>
            <w:r w:rsidR="000619B5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–telefon, adres e-mail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1FCE00A" w14:textId="51314C4B" w:rsidR="00776E9E" w:rsidRPr="00686214" w:rsidRDefault="00EB6244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Skład zespołu powołanego przez badacza: rola w zespole,</w:t>
            </w:r>
            <w:r w:rsidR="00776E9E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imię, nazwisko, dane kontaktowe, jednostka organizacyjna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członka zespołu</w:t>
            </w:r>
            <w:r w:rsidR="00776E9E"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2BBC8B" w14:textId="5E55B9A0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Kierownik badania w CWBK: imię, nazwisko, dane kontaktowe</w:t>
            </w:r>
            <w:r w:rsidR="002D3902" w:rsidRPr="00686214">
              <w:rPr>
                <w:rFonts w:ascii="Times New Roman" w:hAnsi="Times New Roman" w:cs="Times New Roman"/>
                <w:sz w:val="20"/>
                <w:szCs w:val="20"/>
              </w:rPr>
              <w:t>- telefon, adres e-mail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, jednostka organizacyjna </w:t>
            </w:r>
            <w:r w:rsidR="00FA4B13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kierownika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projektu;</w:t>
            </w:r>
          </w:p>
          <w:p w14:paraId="51ED0353" w14:textId="4353D511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Nazwa protokołu badania; nr protokołu badania</w:t>
            </w:r>
            <w:r w:rsidR="00DA325A"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CA57766" w14:textId="45324203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  <w:r w:rsidR="00FA4B13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ponsora lub instytucji finansującej;</w:t>
            </w:r>
          </w:p>
          <w:p w14:paraId="42E23B47" w14:textId="77777777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Źródła finansowania, z uwzględnieniem możliwości wprowadzenia więcej niż jednego źródła finansowania i określenia wkładu poszczególnych instytucji;</w:t>
            </w:r>
          </w:p>
          <w:p w14:paraId="7C08E79C" w14:textId="6698C539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Budżet grantu (planowane koszty);</w:t>
            </w:r>
          </w:p>
          <w:p w14:paraId="7CAA3D2F" w14:textId="77777777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98843631"/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Planowane koszty z podziałem na metody finansowania;</w:t>
            </w:r>
          </w:p>
          <w:p w14:paraId="29FA3B79" w14:textId="0DD2FE17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Poniesione koszty, z podziałem na metody finansowania</w:t>
            </w:r>
            <w:bookmarkEnd w:id="10"/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FC84D1F" w14:textId="77777777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Uwagi;</w:t>
            </w:r>
          </w:p>
          <w:p w14:paraId="75CFE76A" w14:textId="6B48C990" w:rsidR="00776E9E" w:rsidRPr="00686214" w:rsidRDefault="00776E9E" w:rsidP="0081494D">
            <w:pPr>
              <w:pStyle w:val="Akapitzlist"/>
              <w:numPr>
                <w:ilvl w:val="0"/>
                <w:numId w:val="27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Adres strony internetowej badania</w:t>
            </w:r>
            <w:r w:rsidR="00DA325A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D3C00" w:rsidRPr="00686214" w14:paraId="433C3039" w14:textId="77777777" w:rsidTr="00A16B9F">
        <w:trPr>
          <w:cantSplit/>
          <w:trHeight w:val="46"/>
        </w:trPr>
        <w:tc>
          <w:tcPr>
            <w:tcW w:w="282" w:type="pct"/>
            <w:noWrap/>
          </w:tcPr>
          <w:p w14:paraId="197161F0" w14:textId="52527507" w:rsidR="008D3C00" w:rsidRPr="00686214" w:rsidRDefault="00832DDF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76E9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DC6EB43" w14:textId="62697DDD" w:rsidR="008D3C00" w:rsidRPr="00686214" w:rsidRDefault="008D3C00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zdefiniowania pól obowiązkowych, oraz walidowania poprawności wprowadzanych danych</w:t>
            </w:r>
            <w:r w:rsidR="00DA325A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B6244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B6244" w:rsidRPr="00686214" w14:paraId="2D2862FB" w14:textId="77777777" w:rsidTr="00A16B9F">
        <w:trPr>
          <w:cantSplit/>
          <w:trHeight w:val="46"/>
        </w:trPr>
        <w:tc>
          <w:tcPr>
            <w:tcW w:w="282" w:type="pct"/>
            <w:noWrap/>
          </w:tcPr>
          <w:p w14:paraId="758FAF3D" w14:textId="0184D1E9" w:rsidR="00EB6244" w:rsidRPr="00686214" w:rsidRDefault="00832DDF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814151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442AE60" w14:textId="45FA6B63" w:rsidR="00EB6244" w:rsidRPr="00686214" w:rsidRDefault="00EB6244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Funkcjonalność blokady wprowadzania danych niekompletnych</w:t>
            </w:r>
            <w:r w:rsidR="00DA325A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3C00" w:rsidRPr="00686214" w14:paraId="6E1FF1F4" w14:textId="77777777" w:rsidTr="00A16B9F">
        <w:trPr>
          <w:cantSplit/>
          <w:trHeight w:val="46"/>
        </w:trPr>
        <w:tc>
          <w:tcPr>
            <w:tcW w:w="282" w:type="pct"/>
            <w:noWrap/>
          </w:tcPr>
          <w:p w14:paraId="3E2D3110" w14:textId="51A6FF12" w:rsidR="008D3C00" w:rsidRPr="00686214" w:rsidRDefault="00832DDF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76E9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66BFFB7E" w14:textId="040E7E80" w:rsidR="008D3C00" w:rsidRPr="00686214" w:rsidRDefault="008D3C00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Funkcjonalność importu do systemu pod konkretne badanie niezbędnych dokumentów (w formacie pdf, jpg, gif doc) potrzebnych do realizacji badań klinicznych między innymi zgoda Prezesa URPL i PB, pozytywna opinia KB, polisa OC Badacza i Sponsora, Umowy o przeprowadzenie badań klinicznych, protokoły badań klinicznych, streszczenia protokołów,  Broszura Badacza, niezbędne pełnomocnictwa</w:t>
            </w:r>
            <w:r w:rsidR="00DA325A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D3C00" w:rsidRPr="00686214" w14:paraId="6F6759E8" w14:textId="77777777" w:rsidTr="00A16B9F">
        <w:trPr>
          <w:cantSplit/>
          <w:trHeight w:val="46"/>
        </w:trPr>
        <w:tc>
          <w:tcPr>
            <w:tcW w:w="282" w:type="pct"/>
            <w:noWrap/>
          </w:tcPr>
          <w:p w14:paraId="1EB4D067" w14:textId="130E0444" w:rsidR="008D3C00" w:rsidRPr="00686214" w:rsidRDefault="00832DDF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76E9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79E07352" w14:textId="79E54A77" w:rsidR="008D3C00" w:rsidRPr="00686214" w:rsidRDefault="008D3C00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wysyłania wiadomości e-mail z poziomu aplikacji, w oparciu o wprowadzone do systemu dane kontaktowe</w:t>
            </w:r>
            <w:r w:rsidR="00DA325A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7E4355" w14:textId="3B17A79A" w:rsidR="008D3C00" w:rsidRPr="00686214" w:rsidRDefault="008D3C00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Uwaga: Podczas wysyłania wiadomości nie może być możliwości wprowadzenia adresu e-mail a jedynie wyboru ze słownika (adresów e-mail)</w:t>
            </w:r>
            <w:r w:rsidR="00DA325A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2A6BCB" w14:textId="63B0DF40" w:rsidR="008D3C00" w:rsidRPr="00686214" w:rsidRDefault="008D3C00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Zakres wysyłanych wiadomości powinien być następujący:</w:t>
            </w:r>
          </w:p>
          <w:p w14:paraId="4D68A37D" w14:textId="469C76B3" w:rsidR="00776E9E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Wysyłanie </w:t>
            </w:r>
            <w:r w:rsidR="00D22129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zaszyfrowanych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dokumentów i wi</w:t>
            </w:r>
            <w:r w:rsidR="00041C5E" w:rsidRPr="006862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domości o wszelakiej treści do osób uprawnionych na podstawie spełnienia kryterium podpisanej umowy o zaufaniu poufności</w:t>
            </w:r>
            <w:r w:rsidR="00D22129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 np. </w:t>
            </w:r>
            <w:r w:rsidR="00955FDE" w:rsidRPr="00686214">
              <w:rPr>
                <w:rFonts w:ascii="Times New Roman" w:hAnsi="Times New Roman" w:cs="Times New Roman"/>
                <w:sz w:val="20"/>
                <w:szCs w:val="20"/>
              </w:rPr>
              <w:t>wysyłanie protokołu badania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9ABD06B" w14:textId="61546AE9" w:rsidR="008D3C00" w:rsidRPr="00686214" w:rsidRDefault="008E41C6" w:rsidP="00776E9E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Dokumenty gromadzone w rejestrze musz</w:t>
            </w:r>
            <w:r w:rsidR="00D22129" w:rsidRPr="00686214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mieć nadane statusy podstawowy, poufny </w:t>
            </w:r>
            <w:r w:rsidR="00776E9E" w:rsidRPr="00686214">
              <w:rPr>
                <w:rFonts w:ascii="Times New Roman" w:hAnsi="Times New Roman" w:cs="Times New Roman"/>
                <w:sz w:val="20"/>
                <w:szCs w:val="20"/>
              </w:rPr>
              <w:t>itp.</w:t>
            </w:r>
          </w:p>
        </w:tc>
      </w:tr>
      <w:tr w:rsidR="00814151" w:rsidRPr="00686214" w14:paraId="510301E8" w14:textId="77777777" w:rsidTr="00A16B9F">
        <w:trPr>
          <w:cantSplit/>
        </w:trPr>
        <w:tc>
          <w:tcPr>
            <w:tcW w:w="282" w:type="pct"/>
            <w:noWrap/>
          </w:tcPr>
          <w:p w14:paraId="3C7D120A" w14:textId="0AFD8B9D" w:rsidR="00814151" w:rsidRPr="00686214" w:rsidRDefault="00832DDF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14151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529D5FD" w14:textId="733C8D79" w:rsidR="00814151" w:rsidRPr="00686214" w:rsidRDefault="00814151" w:rsidP="00814151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Wyszukiwarka badań, projektów na podstawie różnych kryteriów filtracji (obszar terapeutyczny, ośrodek, faza badania), dowolnych atrybutów projektu</w:t>
            </w:r>
            <w:r w:rsidR="00041C5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814151" w:rsidRPr="00686214" w14:paraId="372D0AD1" w14:textId="77777777" w:rsidTr="00A16B9F">
        <w:trPr>
          <w:cantSplit/>
        </w:trPr>
        <w:tc>
          <w:tcPr>
            <w:tcW w:w="282" w:type="pct"/>
            <w:noWrap/>
          </w:tcPr>
          <w:p w14:paraId="0D8439FB" w14:textId="2C3AC587" w:rsidR="00814151" w:rsidRPr="00686214" w:rsidRDefault="00832DDF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14151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4B10C2E" w14:textId="2DFE1954" w:rsidR="00814151" w:rsidRPr="00686214" w:rsidRDefault="00814151" w:rsidP="00EB624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wprowadzania zmian (zmiany wartości atrybutów) w utworzonej bazie projektów z zachowaniem śledzenia zmian</w:t>
            </w:r>
            <w:r w:rsidR="00041C5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14151" w:rsidRPr="00686214" w14:paraId="706A1DC5" w14:textId="77777777" w:rsidTr="00A16B9F">
        <w:trPr>
          <w:cantSplit/>
        </w:trPr>
        <w:tc>
          <w:tcPr>
            <w:tcW w:w="282" w:type="pct"/>
            <w:noWrap/>
          </w:tcPr>
          <w:p w14:paraId="5604C00D" w14:textId="2F5FAF39" w:rsidR="00814151" w:rsidRPr="00686214" w:rsidRDefault="00814151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2DDF" w:rsidRPr="006862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0F48A18B" w14:textId="7B1CE6CD" w:rsidR="00814151" w:rsidRPr="00686214" w:rsidRDefault="00814151" w:rsidP="00EB624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Dane </w:t>
            </w:r>
            <w:r w:rsidR="00176CB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wprowadzone, </w:t>
            </w:r>
            <w:r w:rsidR="003669A5" w:rsidRPr="0068621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rzechowywane w module są zintegrowane z pozostałymi modułami zawierającymi te dane.</w:t>
            </w:r>
            <w:r w:rsidR="003669A5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– dostępne w pozostałych modułach</w:t>
            </w:r>
            <w:r w:rsidR="00041C5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669A5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14151" w:rsidRPr="00686214" w14:paraId="01F7E504" w14:textId="77777777" w:rsidTr="00A16B9F">
        <w:trPr>
          <w:cantSplit/>
        </w:trPr>
        <w:tc>
          <w:tcPr>
            <w:tcW w:w="282" w:type="pct"/>
            <w:noWrap/>
          </w:tcPr>
          <w:p w14:paraId="2190C96E" w14:textId="2D325791" w:rsidR="00814151" w:rsidRPr="00686214" w:rsidRDefault="00814151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2DDF" w:rsidRPr="0068621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18" w:type="pct"/>
            <w:gridSpan w:val="2"/>
          </w:tcPr>
          <w:p w14:paraId="4A8C431F" w14:textId="15859424" w:rsidR="00814151" w:rsidRPr="00686214" w:rsidRDefault="00814151" w:rsidP="00EB624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Dane są automatycznie synchronizowane pomiędzy modułami Centralny Rejestr Badań Klinicznych i Modułem Analiz po wprowadzeniu zmian (Synchronizacja jednostronna, Moduł Centralny Rejestr Badań Klinicznych oraz Moduł Finansowy -&gt; Moduł analiz/Statystyka/ Raporty)</w:t>
            </w:r>
            <w:r w:rsidR="00041C5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1C6" w:rsidRPr="00686214" w14:paraId="1E97D157" w14:textId="77777777" w:rsidTr="00A16B9F">
        <w:trPr>
          <w:cantSplit/>
          <w:trHeight w:val="46"/>
        </w:trPr>
        <w:tc>
          <w:tcPr>
            <w:tcW w:w="5000" w:type="pct"/>
            <w:gridSpan w:val="3"/>
            <w:shd w:val="clear" w:color="auto" w:fill="00B0F0"/>
            <w:noWrap/>
          </w:tcPr>
          <w:p w14:paraId="30894E91" w14:textId="4F5A3B70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Terminarz </w:t>
            </w:r>
          </w:p>
        </w:tc>
      </w:tr>
      <w:tr w:rsidR="008E41C6" w:rsidRPr="00686214" w14:paraId="4B3283B8" w14:textId="77777777" w:rsidTr="00A16B9F">
        <w:trPr>
          <w:cantSplit/>
        </w:trPr>
        <w:tc>
          <w:tcPr>
            <w:tcW w:w="282" w:type="pct"/>
            <w:noWrap/>
          </w:tcPr>
          <w:p w14:paraId="1D7BEE10" w14:textId="25D1A0B0" w:rsidR="008E41C6" w:rsidRPr="00686214" w:rsidRDefault="00776E9E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  <w:p w14:paraId="5C8FAC0D" w14:textId="44958499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18" w:type="pct"/>
            <w:gridSpan w:val="2"/>
          </w:tcPr>
          <w:p w14:paraId="131FEF78" w14:textId="3A8A28EE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System </w:t>
            </w:r>
            <w:r w:rsidR="00A45CC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41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wyposażony jest w moduł kalendarza. W module kalendarza możliwe jest zaplanowanie terminu kolejnych wizyt. </w:t>
            </w:r>
          </w:p>
        </w:tc>
      </w:tr>
      <w:tr w:rsidR="008E41C6" w:rsidRPr="00686214" w14:paraId="5C15CA37" w14:textId="77777777" w:rsidTr="00A16B9F">
        <w:trPr>
          <w:cantSplit/>
          <w:trHeight w:val="39"/>
        </w:trPr>
        <w:tc>
          <w:tcPr>
            <w:tcW w:w="282" w:type="pct"/>
            <w:noWrap/>
          </w:tcPr>
          <w:p w14:paraId="0E9B5FC8" w14:textId="56A38B17" w:rsidR="008E41C6" w:rsidRPr="00686214" w:rsidRDefault="00BB4FED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18" w:type="pct"/>
            <w:gridSpan w:val="2"/>
          </w:tcPr>
          <w:p w14:paraId="79B6277C" w14:textId="61510F12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System </w:t>
            </w:r>
            <w:r w:rsidR="00A45CC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41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powinien podpowiadać termin wykonania wizyty wraz z określeniem okna czasowego na podstawie protokołu badania</w:t>
            </w:r>
            <w:r w:rsidR="00BB4FED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(karty obserwacji uczestników badania oraz historii wizyt)</w:t>
            </w:r>
            <w:r w:rsidR="00C84341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1C6" w:rsidRPr="00686214" w14:paraId="20F1A08B" w14:textId="77777777" w:rsidTr="00A16B9F">
        <w:trPr>
          <w:cantSplit/>
          <w:trHeight w:val="39"/>
        </w:trPr>
        <w:tc>
          <w:tcPr>
            <w:tcW w:w="282" w:type="pct"/>
            <w:noWrap/>
          </w:tcPr>
          <w:p w14:paraId="16137E30" w14:textId="7780158C" w:rsidR="008E41C6" w:rsidRPr="00686214" w:rsidRDefault="00BB4FED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18" w:type="pct"/>
            <w:gridSpan w:val="2"/>
          </w:tcPr>
          <w:p w14:paraId="04DCAD51" w14:textId="25815BDE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zapisywania terminów z zachowaniem standardu iCalendar</w:t>
            </w:r>
            <w:r w:rsidR="00041C5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E41C6" w:rsidRPr="00686214" w14:paraId="4D8D59EA" w14:textId="77777777" w:rsidTr="00A16B9F">
        <w:trPr>
          <w:cantSplit/>
          <w:trHeight w:val="39"/>
        </w:trPr>
        <w:tc>
          <w:tcPr>
            <w:tcW w:w="282" w:type="pct"/>
            <w:noWrap/>
          </w:tcPr>
          <w:p w14:paraId="4C44969D" w14:textId="106FBFCF" w:rsidR="008E41C6" w:rsidRPr="00686214" w:rsidRDefault="00BB4FED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18" w:type="pct"/>
            <w:gridSpan w:val="2"/>
          </w:tcPr>
          <w:p w14:paraId="7E52E7A3" w14:textId="45DA48E4" w:rsidR="008E41C6" w:rsidRPr="00686214" w:rsidRDefault="00036580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Automatyczne</w:t>
            </w:r>
            <w:r w:rsidR="00BB4FED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41C6" w:rsidRPr="00686214">
              <w:rPr>
                <w:rFonts w:ascii="Times New Roman" w:hAnsi="Times New Roman" w:cs="Times New Roman"/>
                <w:sz w:val="20"/>
                <w:szCs w:val="20"/>
              </w:rPr>
              <w:t>wysyłanie powiadomień z wykorzystaniem poczty elektronicznej</w:t>
            </w:r>
            <w:r w:rsidR="00BB4FED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oraz powiadomień sms</w:t>
            </w:r>
            <w:r w:rsidR="009E7A54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(UWAGA: Zakup bramki SMS nie jest przedmiotem niniejszego postepowania) Zamawiający wykorzysta bramkę  po stronie Śląskiego Uniwersytetu Medycznego. Obecnym dostawcą usługi oraz dysponentem dokumentacji integracyjnej jest SerwerSMS.pl ul. Ogrodowskiego 27 44-203 Rybnik</w:t>
            </w:r>
            <w:r w:rsidR="00041C5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B170F" w:rsidRPr="00686214" w14:paraId="0D844295" w14:textId="77777777" w:rsidTr="00A16B9F">
        <w:trPr>
          <w:cantSplit/>
          <w:trHeight w:val="39"/>
        </w:trPr>
        <w:tc>
          <w:tcPr>
            <w:tcW w:w="282" w:type="pct"/>
            <w:noWrap/>
          </w:tcPr>
          <w:p w14:paraId="0956CB3D" w14:textId="346B2ADD" w:rsidR="00EB170F" w:rsidRPr="00686214" w:rsidRDefault="00011B52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18" w:type="pct"/>
            <w:gridSpan w:val="2"/>
          </w:tcPr>
          <w:p w14:paraId="61BF9356" w14:textId="4090F0B6" w:rsidR="00EB170F" w:rsidRPr="00686214" w:rsidRDefault="00EB170F" w:rsidP="00EB17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Powiadomienia obejmować będą: powiadamianie o zbliżających się wizytach badań, potwierdzanie wizyt badań, powiadomienia powinny być możliwe zarówno dla uczestników BK jak i Badaczy</w:t>
            </w:r>
            <w:r w:rsidR="00041C5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B4FED" w:rsidRPr="00686214" w14:paraId="70FDFCAE" w14:textId="77777777" w:rsidTr="00A16B9F">
        <w:trPr>
          <w:cantSplit/>
          <w:trHeight w:val="39"/>
        </w:trPr>
        <w:tc>
          <w:tcPr>
            <w:tcW w:w="282" w:type="pct"/>
            <w:noWrap/>
          </w:tcPr>
          <w:p w14:paraId="673C7531" w14:textId="18022F1C" w:rsidR="00BB4FED" w:rsidRPr="00686214" w:rsidRDefault="00011B52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36580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49F8A6F8" w14:textId="1AD3DC48" w:rsidR="00400A4D" w:rsidRPr="00686214" w:rsidRDefault="00BB4FED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98845328"/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Terminarz </w:t>
            </w:r>
            <w:r w:rsidR="00400A4D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powinien umożliwić import danych dot. Schematów wizyt wprowadzonych w innych modułach systemu w zakresie ustalenia dokładnego </w:t>
            </w:r>
            <w:r w:rsidR="00FE369D" w:rsidRPr="00686214">
              <w:rPr>
                <w:rFonts w:ascii="Times New Roman" w:hAnsi="Times New Roman" w:cs="Times New Roman"/>
                <w:sz w:val="20"/>
                <w:szCs w:val="20"/>
              </w:rPr>
              <w:t>terminu</w:t>
            </w:r>
            <w:r w:rsidR="00400A4D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danej wizyty</w:t>
            </w:r>
            <w:r w:rsidR="00FE369D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0A4D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dla każdego uczestnika  </w:t>
            </w:r>
          </w:p>
          <w:p w14:paraId="1568CFF1" w14:textId="646AD94D" w:rsidR="00BB4FED" w:rsidRPr="00686214" w:rsidRDefault="00400A4D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 przypadku </w:t>
            </w:r>
            <w:r w:rsidR="00FE369D" w:rsidRPr="00686214">
              <w:rPr>
                <w:rFonts w:ascii="Times New Roman" w:hAnsi="Times New Roman" w:cs="Times New Roman"/>
                <w:sz w:val="20"/>
                <w:szCs w:val="20"/>
              </w:rPr>
              <w:t>korzystania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z zewnętrznych narzędzi typu e</w:t>
            </w:r>
            <w:r w:rsidR="00A16B9F" w:rsidRPr="00686214">
              <w:rPr>
                <w:rFonts w:ascii="Times New Roman" w:hAnsi="Times New Roman" w:cs="Times New Roman"/>
                <w:sz w:val="20"/>
                <w:szCs w:val="20"/>
              </w:rPr>
              <w:t>CRF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69D" w:rsidRPr="00686214">
              <w:rPr>
                <w:rFonts w:ascii="Times New Roman" w:hAnsi="Times New Roman" w:cs="Times New Roman"/>
                <w:sz w:val="20"/>
                <w:szCs w:val="20"/>
              </w:rPr>
              <w:t>zapewni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369D" w:rsidRPr="00686214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ręcznego tworzenia schematu wizyt</w:t>
            </w:r>
            <w:bookmarkEnd w:id="11"/>
            <w:r w:rsidR="00F1453F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B4FED" w:rsidRPr="00686214" w14:paraId="202807CC" w14:textId="77777777" w:rsidTr="00A16B9F">
        <w:trPr>
          <w:cantSplit/>
          <w:trHeight w:val="39"/>
        </w:trPr>
        <w:tc>
          <w:tcPr>
            <w:tcW w:w="282" w:type="pct"/>
            <w:noWrap/>
          </w:tcPr>
          <w:p w14:paraId="6EB191CC" w14:textId="1C917AF7" w:rsidR="00BB4FED" w:rsidRPr="00686214" w:rsidRDefault="00011B52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36580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D333293" w14:textId="136F4279" w:rsidR="00BB4FED" w:rsidRPr="00686214" w:rsidRDefault="00036580" w:rsidP="00BB4F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B4FED" w:rsidRPr="00686214">
              <w:rPr>
                <w:rFonts w:ascii="Times New Roman" w:hAnsi="Times New Roman" w:cs="Times New Roman"/>
                <w:sz w:val="20"/>
                <w:szCs w:val="20"/>
              </w:rPr>
              <w:t>utomatyczn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B4FED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obsług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B4FED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usług nakładających się (obciążenie gabinetów biur/ sala konferencyjna/ wizyty monitorujące/ spotkania/ pokoje konsultacyjne, zarządzanie czasem pracy pracowników CWBK)</w:t>
            </w:r>
            <w:r w:rsidR="00F1453F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B4FED" w:rsidRPr="00686214" w14:paraId="676B09FB" w14:textId="77777777" w:rsidTr="00A16B9F">
        <w:trPr>
          <w:cantSplit/>
          <w:trHeight w:val="39"/>
        </w:trPr>
        <w:tc>
          <w:tcPr>
            <w:tcW w:w="282" w:type="pct"/>
            <w:noWrap/>
          </w:tcPr>
          <w:p w14:paraId="164F0D9C" w14:textId="020120D2" w:rsidR="00BB4FED" w:rsidRPr="00686214" w:rsidRDefault="00011B52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Hlk98845366"/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036580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6E5D18D9" w14:textId="0C9B0627" w:rsidR="00BB4FED" w:rsidRPr="00686214" w:rsidRDefault="00036580" w:rsidP="00BB4F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BB4FED" w:rsidRPr="00686214">
              <w:rPr>
                <w:rFonts w:ascii="Times New Roman" w:hAnsi="Times New Roman" w:cs="Times New Roman"/>
                <w:sz w:val="20"/>
                <w:szCs w:val="20"/>
              </w:rPr>
              <w:t>omunikacj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B4FED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z interes</w:t>
            </w:r>
            <w:r w:rsidR="00194B8F" w:rsidRPr="006862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B4FED" w:rsidRPr="00686214">
              <w:rPr>
                <w:rFonts w:ascii="Times New Roman" w:hAnsi="Times New Roman" w:cs="Times New Roman"/>
                <w:sz w:val="20"/>
                <w:szCs w:val="20"/>
              </w:rPr>
              <w:t>riuszami, newsletter</w:t>
            </w:r>
            <w:r w:rsidR="00F1453F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4D9EDA4" w14:textId="68BF6E0E" w:rsidR="00CE154A" w:rsidRPr="00686214" w:rsidRDefault="00CE154A" w:rsidP="00CE1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 konta osób zarejestrowanych (posiadających konta) w systemie, jak również osób, które chcą otrzymywać newsletter, wysyłane będą informacje w postaci tekstu oraz załącznika PDF informujące o działaniu jednostki CWBK. Chęć otrzymywania newslettera będzie możliwa na podstawie wymaganego formularza rejestracyjnego:</w:t>
            </w:r>
          </w:p>
          <w:p w14:paraId="677EA882" w14:textId="34E3DF8A" w:rsidR="00CE154A" w:rsidRPr="00686214" w:rsidRDefault="00CE154A" w:rsidP="00CE1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A4B13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Imię</w:t>
            </w:r>
          </w:p>
          <w:p w14:paraId="01136DDB" w14:textId="25038308" w:rsidR="00CE154A" w:rsidRPr="00686214" w:rsidRDefault="00CE154A" w:rsidP="00CE1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A4B13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Nazwisko</w:t>
            </w:r>
          </w:p>
          <w:p w14:paraId="616A09E0" w14:textId="12C691D7" w:rsidR="00CE154A" w:rsidRPr="00686214" w:rsidRDefault="00CE154A" w:rsidP="00CE1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FA4B13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Adres email</w:t>
            </w:r>
          </w:p>
          <w:p w14:paraId="6D7AC3A3" w14:textId="77777777" w:rsidR="00FA4B13" w:rsidRPr="00686214" w:rsidRDefault="00FA4B13" w:rsidP="00FA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4. Pole do zaznaczenia zgody na przetwarzanie danych osobowych </w:t>
            </w:r>
          </w:p>
          <w:p w14:paraId="67CBC530" w14:textId="11BBE0ED" w:rsidR="00FA4B13" w:rsidRPr="00686214" w:rsidRDefault="00FA4B13" w:rsidP="00FA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5. Pole do potwierdzenia zapoznania się z Regulaminem subskrypcji newsletteru (możliwość edycji regulaminu przez Administratora)</w:t>
            </w:r>
            <w:r w:rsidR="00F1453F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803EC8" w14:textId="77777777" w:rsidR="00FA4B13" w:rsidRPr="00686214" w:rsidRDefault="00FA4B13" w:rsidP="00CE1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971508" w14:textId="77777777" w:rsidR="00CE154A" w:rsidRPr="00686214" w:rsidRDefault="00CE154A" w:rsidP="00CE1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Adres email będzie mógł zostać zapisany w bazie news-letter’a po potwierdzeniu linku aktywacyjnego wysyłanego do osoby, która zapisała się poprzez formularz. </w:t>
            </w:r>
          </w:p>
          <w:p w14:paraId="76784804" w14:textId="77777777" w:rsidR="00CE154A" w:rsidRPr="00686214" w:rsidRDefault="00CE154A" w:rsidP="00CE1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Rezygnacja z newslettera powinna być oparta również o link dezaktywujący przesyłany na konto email. Wszystkie mechanizmy opisane w odpowiedzi muszą zostać zaimplementowane w systemie.</w:t>
            </w:r>
          </w:p>
          <w:p w14:paraId="7B14F66A" w14:textId="77777777" w:rsidR="008A017E" w:rsidRPr="00686214" w:rsidRDefault="008A017E" w:rsidP="00CE1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C9D7DC" w14:textId="16D55939" w:rsidR="008A017E" w:rsidRPr="00686214" w:rsidRDefault="008A017E" w:rsidP="00CE1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Formularz musi także posiadać możliwość umieszczenia w nim informacji o tym, kto jest Administratorem Danych Osobowych oraz umieszczenia linku do informacji o przetwarzaniu danych osobowych dla osób korzystających z usługi newsletter</w:t>
            </w:r>
            <w:r w:rsidR="00F1453F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B4FED" w:rsidRPr="00686214" w14:paraId="7C214C5B" w14:textId="77777777" w:rsidTr="00A16B9F">
        <w:trPr>
          <w:cantSplit/>
          <w:trHeight w:val="39"/>
        </w:trPr>
        <w:tc>
          <w:tcPr>
            <w:tcW w:w="282" w:type="pct"/>
            <w:noWrap/>
          </w:tcPr>
          <w:p w14:paraId="2672931F" w14:textId="77DB67FA" w:rsidR="00BB4FED" w:rsidRPr="00686214" w:rsidRDefault="00011B52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36580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1482E1E8" w14:textId="4B52C5C3" w:rsidR="00BB4FED" w:rsidRPr="00686214" w:rsidRDefault="00036580" w:rsidP="00BB4F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BB4FED" w:rsidRPr="00686214">
              <w:rPr>
                <w:rFonts w:ascii="Times New Roman" w:hAnsi="Times New Roman" w:cs="Times New Roman"/>
                <w:sz w:val="20"/>
                <w:szCs w:val="20"/>
              </w:rPr>
              <w:t>enerowanie zaawansowanych raportów i analiz tj. poprzez synchronizację danych pomiędzy modułem Terminarz i Analizy/Raporty</w:t>
            </w:r>
            <w:r w:rsidR="00F1453F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bookmarkEnd w:id="12"/>
      <w:tr w:rsidR="008E41C6" w:rsidRPr="00686214" w14:paraId="534555BC" w14:textId="77777777" w:rsidTr="00A16B9F">
        <w:trPr>
          <w:cantSplit/>
          <w:trHeight w:val="39"/>
        </w:trPr>
        <w:tc>
          <w:tcPr>
            <w:tcW w:w="5000" w:type="pct"/>
            <w:gridSpan w:val="3"/>
            <w:shd w:val="clear" w:color="auto" w:fill="00B0F0"/>
            <w:noWrap/>
          </w:tcPr>
          <w:p w14:paraId="25FF6EAB" w14:textId="7E076946" w:rsidR="008E41C6" w:rsidRPr="00686214" w:rsidRDefault="008E41C6" w:rsidP="008E41C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prowadzonych badań klinicznych</w:t>
            </w:r>
          </w:p>
        </w:tc>
      </w:tr>
      <w:tr w:rsidR="008E41C6" w:rsidRPr="00686214" w14:paraId="2547B2FB" w14:textId="77777777" w:rsidTr="00A16B9F">
        <w:trPr>
          <w:cantSplit/>
        </w:trPr>
        <w:tc>
          <w:tcPr>
            <w:tcW w:w="282" w:type="pct"/>
            <w:noWrap/>
          </w:tcPr>
          <w:p w14:paraId="1B4DDDC3" w14:textId="3055EC43" w:rsidR="008E41C6" w:rsidRPr="00686214" w:rsidRDefault="00776E9E" w:rsidP="00E23792">
            <w:pPr>
              <w:spacing w:before="60"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18" w:type="pct"/>
            <w:gridSpan w:val="2"/>
          </w:tcPr>
          <w:p w14:paraId="22334E18" w14:textId="38BFF3A1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Tworzenie bazy akt badacza ISF -  możliwość tworzenia i  dodawania niezbędnych dokumentów (skanów) potrzebnych zespołowi badawczemu, badaczowi np. instrukcje sponsora</w:t>
            </w:r>
            <w:r w:rsidR="00F1453F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05322" w:rsidRPr="00686214" w14:paraId="5153F615" w14:textId="77777777" w:rsidTr="00A16B9F">
        <w:trPr>
          <w:cantSplit/>
          <w:trHeight w:val="470"/>
        </w:trPr>
        <w:tc>
          <w:tcPr>
            <w:tcW w:w="282" w:type="pct"/>
            <w:noWrap/>
          </w:tcPr>
          <w:p w14:paraId="75A645C2" w14:textId="748A913C" w:rsidR="00605322" w:rsidRPr="00686214" w:rsidRDefault="007E19C6" w:rsidP="00E23792">
            <w:pPr>
              <w:spacing w:before="60"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18" w:type="pct"/>
            <w:gridSpan w:val="2"/>
          </w:tcPr>
          <w:p w14:paraId="06CF148C" w14:textId="6BB00717" w:rsidR="00605322" w:rsidRPr="00686214" w:rsidRDefault="00605322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Lista wszystkich prowadzonych badań, po wyborze dane</w:t>
            </w:r>
            <w:r w:rsidR="00F93524" w:rsidRPr="00686214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badania</w:t>
            </w:r>
            <w:r w:rsidR="00502AFF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3524" w:rsidRPr="00686214">
              <w:rPr>
                <w:rFonts w:ascii="Times New Roman" w:hAnsi="Times New Roman" w:cs="Times New Roman"/>
                <w:sz w:val="20"/>
                <w:szCs w:val="20"/>
              </w:rPr>
              <w:t>dost</w:t>
            </w:r>
            <w:r w:rsidR="00502AFF" w:rsidRPr="00686214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F93524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pna </w:t>
            </w:r>
            <w:r w:rsidR="00502AFF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lista uczestników danego badania</w:t>
            </w:r>
            <w:r w:rsidR="00F1453F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02AFF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6E9E" w:rsidRPr="00686214" w14:paraId="1A6AD67B" w14:textId="77777777" w:rsidTr="00A16B9F">
        <w:trPr>
          <w:cantSplit/>
        </w:trPr>
        <w:tc>
          <w:tcPr>
            <w:tcW w:w="282" w:type="pct"/>
            <w:noWrap/>
          </w:tcPr>
          <w:p w14:paraId="2A854291" w14:textId="3268F2D1" w:rsidR="00776E9E" w:rsidRPr="00686214" w:rsidRDefault="007E19C6" w:rsidP="00E23792">
            <w:pPr>
              <w:spacing w:before="60"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76E9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55578A8B" w14:textId="665CFE64" w:rsidR="00776E9E" w:rsidRPr="00686214" w:rsidRDefault="00776E9E" w:rsidP="0013346A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Tworzenie raportów z wizyt monitorujących prowadzonych w trakcie danego badania. </w:t>
            </w:r>
          </w:p>
        </w:tc>
      </w:tr>
      <w:tr w:rsidR="00776E9E" w:rsidRPr="00686214" w14:paraId="24E0FBC1" w14:textId="77777777" w:rsidTr="00A16B9F">
        <w:trPr>
          <w:cantSplit/>
          <w:trHeight w:val="72"/>
        </w:trPr>
        <w:tc>
          <w:tcPr>
            <w:tcW w:w="282" w:type="pct"/>
            <w:noWrap/>
          </w:tcPr>
          <w:p w14:paraId="12ABB6A0" w14:textId="25041040" w:rsidR="00776E9E" w:rsidRPr="00686214" w:rsidRDefault="007E19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76E9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6A73F82" w14:textId="136C10BF" w:rsidR="00776E9E" w:rsidRPr="00686214" w:rsidRDefault="00776E9E" w:rsidP="00776E9E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Raport sporządzony przez </w:t>
            </w:r>
            <w:r w:rsidR="005F77A7" w:rsidRPr="0068621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onitora powinien zawierać minimum następujące informacje:</w:t>
            </w:r>
          </w:p>
          <w:p w14:paraId="78610765" w14:textId="0B5DE517" w:rsidR="00776E9E" w:rsidRPr="00686214" w:rsidRDefault="00776E9E" w:rsidP="0081494D">
            <w:pPr>
              <w:pStyle w:val="Akapitzlist"/>
              <w:numPr>
                <w:ilvl w:val="0"/>
                <w:numId w:val="24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datę, </w:t>
            </w:r>
          </w:p>
          <w:p w14:paraId="7E7CD693" w14:textId="77777777" w:rsidR="00776E9E" w:rsidRPr="00686214" w:rsidRDefault="00776E9E" w:rsidP="0081494D">
            <w:pPr>
              <w:pStyle w:val="Akapitzlist"/>
              <w:numPr>
                <w:ilvl w:val="0"/>
                <w:numId w:val="24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identyfikację ośrodka, </w:t>
            </w:r>
          </w:p>
          <w:p w14:paraId="7B2F1EA6" w14:textId="18F6505C" w:rsidR="00776E9E" w:rsidRPr="00686214" w:rsidRDefault="00776E9E" w:rsidP="0081494D">
            <w:pPr>
              <w:pStyle w:val="Akapitzlist"/>
              <w:numPr>
                <w:ilvl w:val="0"/>
                <w:numId w:val="24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nazwisko </w:t>
            </w:r>
            <w:r w:rsidR="00C15413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i imię </w:t>
            </w:r>
            <w:r w:rsidR="005F77A7" w:rsidRPr="0068621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onitora</w:t>
            </w:r>
            <w:r w:rsidR="005706FB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93C3092" w14:textId="78AE6B7A" w:rsidR="00776E9E" w:rsidRPr="00686214" w:rsidRDefault="00776E9E" w:rsidP="0081494D">
            <w:pPr>
              <w:pStyle w:val="Akapitzlist"/>
              <w:numPr>
                <w:ilvl w:val="0"/>
                <w:numId w:val="24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nazwisko </w:t>
            </w:r>
            <w:r w:rsidR="00C15413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i imię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badacza lub innych osób, z którymi się kontaktowano</w:t>
            </w:r>
            <w:r w:rsidR="005706FB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77E7A5F" w14:textId="78277BF0" w:rsidR="00776E9E" w:rsidRPr="00686214" w:rsidRDefault="00776E9E" w:rsidP="0081494D">
            <w:pPr>
              <w:pStyle w:val="Akapitzlist"/>
              <w:numPr>
                <w:ilvl w:val="0"/>
                <w:numId w:val="24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streszczenie opisujące zakres wykonanej pracy</w:t>
            </w:r>
            <w:r w:rsidR="005706FB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5DE56A" w14:textId="1635A53B" w:rsidR="00776E9E" w:rsidRPr="00686214" w:rsidRDefault="00776E9E" w:rsidP="0081494D">
            <w:pPr>
              <w:pStyle w:val="Akapitzlist"/>
              <w:numPr>
                <w:ilvl w:val="0"/>
                <w:numId w:val="24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stwierdzenia </w:t>
            </w:r>
            <w:r w:rsidR="005F77A7" w:rsidRPr="0068621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onitora dotyczące zauważonych błędów, odchyleń i niedociągnięć, </w:t>
            </w:r>
          </w:p>
          <w:p w14:paraId="4D7E8FC2" w14:textId="5BF399E2" w:rsidR="00776E9E" w:rsidRPr="00686214" w:rsidRDefault="00776E9E" w:rsidP="0081494D">
            <w:pPr>
              <w:pStyle w:val="Akapitzlist"/>
              <w:numPr>
                <w:ilvl w:val="0"/>
                <w:numId w:val="24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wnioski</w:t>
            </w:r>
            <w:r w:rsidR="005706FB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089E347" w14:textId="0057991A" w:rsidR="00776E9E" w:rsidRPr="00686214" w:rsidRDefault="00776E9E" w:rsidP="0081494D">
            <w:pPr>
              <w:pStyle w:val="Akapitzlist"/>
              <w:numPr>
                <w:ilvl w:val="0"/>
                <w:numId w:val="24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opis działań podjętych, planowanych lub zalecanych dla zapewnienia prowadzenia badania w zgodności z protokołem</w:t>
            </w:r>
            <w:r w:rsidR="005706FB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1C6" w:rsidRPr="00686214" w14:paraId="5D13553E" w14:textId="77777777" w:rsidTr="00A16B9F">
        <w:trPr>
          <w:cantSplit/>
          <w:trHeight w:val="72"/>
        </w:trPr>
        <w:tc>
          <w:tcPr>
            <w:tcW w:w="282" w:type="pct"/>
            <w:noWrap/>
          </w:tcPr>
          <w:p w14:paraId="485FEBCB" w14:textId="4645E94E" w:rsidR="008E41C6" w:rsidRPr="00686214" w:rsidRDefault="007E19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76E9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2E59860" w14:textId="02DC5B3A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eksportu raportu (lub zestawu raportów) jako dokumentów w wersji elektronicznej (załącznik w kilku wybranych formatach danych), z funkcjonalnością podpisania podpisem elektronicznym</w:t>
            </w:r>
            <w:r w:rsidR="005706FB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8E41C6" w:rsidRPr="00686214" w14:paraId="009647B0" w14:textId="77777777" w:rsidTr="00A16B9F">
        <w:trPr>
          <w:cantSplit/>
          <w:trHeight w:val="70"/>
        </w:trPr>
        <w:tc>
          <w:tcPr>
            <w:tcW w:w="282" w:type="pct"/>
            <w:noWrap/>
          </w:tcPr>
          <w:p w14:paraId="10DC8598" w14:textId="37996C13" w:rsidR="008E41C6" w:rsidRPr="00686214" w:rsidRDefault="007E19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76E9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76FDC5B2" w14:textId="21D9BFB5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monitorowania badań pod kątem ilości wizyt monitorujących, czasu trwania całego procesu monitorowania pacjenta (daty wizyty inicjującej badanie w ośrodku, daty wizyty zamykającej w ośrodku)</w:t>
            </w:r>
            <w:r w:rsidR="005706FB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1C6" w:rsidRPr="00686214" w14:paraId="754134D4" w14:textId="77777777" w:rsidTr="00A16B9F">
        <w:trPr>
          <w:cantSplit/>
          <w:trHeight w:val="290"/>
        </w:trPr>
        <w:tc>
          <w:tcPr>
            <w:tcW w:w="282" w:type="pct"/>
            <w:noWrap/>
          </w:tcPr>
          <w:p w14:paraId="2427F59A" w14:textId="41A6784A" w:rsidR="008E41C6" w:rsidRPr="00686214" w:rsidRDefault="007E19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76E9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C05CAC8" w14:textId="2EC8BC08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Funkcjonalność porównania usług zrealizowanych w trakcie wizyty z protokołem badania klinicznego.</w:t>
            </w:r>
          </w:p>
        </w:tc>
      </w:tr>
      <w:tr w:rsidR="008E41C6" w:rsidRPr="00686214" w14:paraId="3631C576" w14:textId="77777777" w:rsidTr="00A16B9F">
        <w:trPr>
          <w:cantSplit/>
          <w:trHeight w:val="290"/>
        </w:trPr>
        <w:tc>
          <w:tcPr>
            <w:tcW w:w="282" w:type="pct"/>
            <w:noWrap/>
          </w:tcPr>
          <w:p w14:paraId="0293D672" w14:textId="79C15EA5" w:rsidR="008E41C6" w:rsidRPr="00686214" w:rsidRDefault="007E19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76E9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7C9689CF" w14:textId="48971D9C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Dostęp do danych źródłowych </w:t>
            </w:r>
            <w:r w:rsidR="00295711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( jeżeli będą dostępne)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 stosunku do uczestników konkretnego badania klinicznego nadawany przez administratora Monitorowi, Koordynatorowi (uczestnicy, którzy wyrazili zgodę).</w:t>
            </w:r>
          </w:p>
        </w:tc>
      </w:tr>
      <w:tr w:rsidR="008E41C6" w:rsidRPr="00686214" w14:paraId="77C01A9D" w14:textId="77777777" w:rsidTr="00A16B9F">
        <w:trPr>
          <w:cantSplit/>
          <w:trHeight w:val="70"/>
        </w:trPr>
        <w:tc>
          <w:tcPr>
            <w:tcW w:w="282" w:type="pct"/>
            <w:noWrap/>
          </w:tcPr>
          <w:p w14:paraId="47A1FC65" w14:textId="0D3FECEA" w:rsidR="008E41C6" w:rsidRPr="00686214" w:rsidRDefault="007E19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76E9E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C5C9B57" w14:textId="3FA8A074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Dodawanie tagów/znaczników do usług, zgodnie z ustalonym zestawem symboli (np. notatka, ostrzeżenie, podwójne finansowanie) oraz dodawanie notatek o dowolnej treści.</w:t>
            </w:r>
          </w:p>
        </w:tc>
      </w:tr>
      <w:tr w:rsidR="008E41C6" w:rsidRPr="00686214" w14:paraId="33FDD46E" w14:textId="77777777" w:rsidTr="00A16B9F">
        <w:trPr>
          <w:cantSplit/>
          <w:trHeight w:val="70"/>
        </w:trPr>
        <w:tc>
          <w:tcPr>
            <w:tcW w:w="282" w:type="pct"/>
            <w:noWrap/>
          </w:tcPr>
          <w:p w14:paraId="2290C927" w14:textId="1C5A5AD8" w:rsidR="008E41C6" w:rsidRPr="00686214" w:rsidRDefault="00776E9E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718" w:type="pct"/>
            <w:gridSpan w:val="2"/>
          </w:tcPr>
          <w:p w14:paraId="3984ECEB" w14:textId="77777777" w:rsidR="00C826A8" w:rsidRPr="00686214" w:rsidRDefault="008E41C6" w:rsidP="00E237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Tworzenie raportów na podstawie parametrów badania w postaci tabeli oraz wykresów. Zakres prezentowanych danych obejmuje między innymi:</w:t>
            </w:r>
          </w:p>
          <w:p w14:paraId="402EB477" w14:textId="00C19CEC" w:rsidR="008E41C6" w:rsidRPr="00686214" w:rsidRDefault="008E41C6" w:rsidP="00E237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Profile uczestników biorących udział w badaniu;</w:t>
            </w:r>
          </w:p>
          <w:p w14:paraId="5ACE00C9" w14:textId="77777777" w:rsidR="008E41C6" w:rsidRPr="00686214" w:rsidRDefault="008E41C6" w:rsidP="007B005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Informacje o śmierci pacjentów;</w:t>
            </w:r>
          </w:p>
          <w:p w14:paraId="2C010AC5" w14:textId="77777777" w:rsidR="008E41C6" w:rsidRPr="00686214" w:rsidRDefault="008E41C6" w:rsidP="007B005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Kryteria włączenia oraz kryteria wyłączenia z badania;</w:t>
            </w:r>
          </w:p>
          <w:p w14:paraId="3F06E2AF" w14:textId="77777777" w:rsidR="008E41C6" w:rsidRPr="00686214" w:rsidRDefault="008E41C6" w:rsidP="007B005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Wystąpienia zdarzeń niepożądanych;</w:t>
            </w:r>
          </w:p>
          <w:p w14:paraId="0633397B" w14:textId="0F68BA4D" w:rsidR="008E41C6" w:rsidRPr="00686214" w:rsidRDefault="008E41C6" w:rsidP="007B005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Wyniki badań laboratoryjnych</w:t>
            </w:r>
            <w:r w:rsidR="00295711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(jeżeli będą wprowadzone do systemu)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F114E2" w14:textId="3FBFDBA9" w:rsidR="00C84341" w:rsidRPr="00686214" w:rsidRDefault="008E41C6" w:rsidP="007B005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Zestawienie podanych leków</w:t>
            </w:r>
            <w:r w:rsidR="00295711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(jeżeli będą wprowadzone do systemu</w:t>
            </w:r>
            <w:r w:rsidR="00113136" w:rsidRPr="006862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C84341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781A759" w14:textId="3E5ACB5F" w:rsidR="008E41C6" w:rsidRPr="00686214" w:rsidRDefault="008E41C6" w:rsidP="007B005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Historię medyczną pacjentów</w:t>
            </w:r>
            <w:r w:rsidR="00295711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(jeżeli będzie wprowadzona do systemu</w:t>
            </w:r>
            <w:r w:rsidR="00113136" w:rsidRPr="006862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726A0" w:rsidRPr="00686214" w14:paraId="5BE36AD0" w14:textId="77777777" w:rsidTr="00A16B9F">
        <w:trPr>
          <w:cantSplit/>
          <w:trHeight w:val="70"/>
        </w:trPr>
        <w:tc>
          <w:tcPr>
            <w:tcW w:w="282" w:type="pct"/>
            <w:noWrap/>
          </w:tcPr>
          <w:p w14:paraId="4BF160E1" w14:textId="41006F92" w:rsidR="008726A0" w:rsidRPr="00686214" w:rsidRDefault="007E19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8726A0" w:rsidRPr="006862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A796C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50BDBEB0" w14:textId="4E5A5FA9" w:rsidR="000A796C" w:rsidRPr="00686214" w:rsidRDefault="000A796C" w:rsidP="00E237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Możliwość ewidencjonowania zrealizowanych studiów wykonalności badania klinicznego. </w:t>
            </w:r>
          </w:p>
          <w:p w14:paraId="061E8510" w14:textId="70B032AF" w:rsidR="00EC0522" w:rsidRPr="00686214" w:rsidRDefault="000A796C" w:rsidP="00E237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Proces powinien umożliwić ocenę zdolności wewnętrznej i środowiskowej, dostosowanie badania klinicznego pod względem protokołu badania,  dawki produktu badanego, komparatora, charakterystyki pacjenta, do środowiska lokalnego oraz ocenę możliwości przeprowadzenia badania klinicznego w ośrodku</w:t>
            </w:r>
            <w:r w:rsidR="00113136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1C6" w:rsidRPr="00686214" w14:paraId="2A5926BF" w14:textId="77777777" w:rsidTr="00A16B9F">
        <w:trPr>
          <w:cantSplit/>
          <w:trHeight w:val="70"/>
        </w:trPr>
        <w:tc>
          <w:tcPr>
            <w:tcW w:w="5000" w:type="pct"/>
            <w:gridSpan w:val="3"/>
            <w:shd w:val="clear" w:color="auto" w:fill="00B0F0"/>
            <w:noWrap/>
          </w:tcPr>
          <w:p w14:paraId="0EE2B57D" w14:textId="0B13DDD1" w:rsidR="008E41C6" w:rsidRPr="00686214" w:rsidRDefault="008E41C6" w:rsidP="008E41C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Statystyka i Raporty</w:t>
            </w:r>
          </w:p>
        </w:tc>
      </w:tr>
      <w:tr w:rsidR="008E41C6" w:rsidRPr="00686214" w14:paraId="21F56DA8" w14:textId="77777777" w:rsidTr="00A16B9F">
        <w:trPr>
          <w:cantSplit/>
          <w:trHeight w:val="63"/>
        </w:trPr>
        <w:tc>
          <w:tcPr>
            <w:tcW w:w="282" w:type="pct"/>
            <w:noWrap/>
          </w:tcPr>
          <w:p w14:paraId="1B81C2BA" w14:textId="79D34E84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18" w:type="pct"/>
            <w:gridSpan w:val="2"/>
          </w:tcPr>
          <w:p w14:paraId="7182F67A" w14:textId="3C38C158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tworzenia  dowolnych raportów/zestawień/listingów (tworzenie, filtrowanie, eksportowanie) wg bieżących potrzeb użytkownika obejmujących dane rejestrowane we wszystkich modułach między innymi  w Centralnym Rejestrze Badań Klinicznych,  eCRF, module finansowym</w:t>
            </w:r>
            <w:r w:rsidR="00113136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EC9AA5" w14:textId="43890505" w:rsidR="00D06809" w:rsidRPr="00686214" w:rsidRDefault="00D06809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Zdefiniowanie zakresu i formy raportowania oraz tworzenia zestawień zostanie ustalone w trakcie wykonywania analizy wdrożeniowej.</w:t>
            </w:r>
          </w:p>
        </w:tc>
      </w:tr>
      <w:tr w:rsidR="008E41C6" w:rsidRPr="00686214" w14:paraId="40712D9B" w14:textId="77777777" w:rsidTr="00A16B9F">
        <w:trPr>
          <w:cantSplit/>
          <w:trHeight w:val="63"/>
        </w:trPr>
        <w:tc>
          <w:tcPr>
            <w:tcW w:w="282" w:type="pct"/>
            <w:noWrap/>
          </w:tcPr>
          <w:p w14:paraId="46C0D6AA" w14:textId="2D979FE3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18" w:type="pct"/>
            <w:gridSpan w:val="2"/>
            <w:vAlign w:val="center"/>
          </w:tcPr>
          <w:p w14:paraId="6EF8235A" w14:textId="797ACF44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eksportu i importu danych do/z plików Excel, CSV.</w:t>
            </w:r>
          </w:p>
        </w:tc>
      </w:tr>
      <w:tr w:rsidR="008E41C6" w:rsidRPr="00686214" w14:paraId="1EE6DCAE" w14:textId="77777777" w:rsidTr="00A16B9F">
        <w:trPr>
          <w:cantSplit/>
          <w:trHeight w:val="63"/>
        </w:trPr>
        <w:tc>
          <w:tcPr>
            <w:tcW w:w="282" w:type="pct"/>
            <w:noWrap/>
          </w:tcPr>
          <w:p w14:paraId="09893B85" w14:textId="4A998081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18" w:type="pct"/>
            <w:gridSpan w:val="2"/>
          </w:tcPr>
          <w:p w14:paraId="70BD07F3" w14:textId="1BC03A17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Możliwość wydruku danych, raportów w formacie PDF.  </w:t>
            </w:r>
          </w:p>
        </w:tc>
      </w:tr>
      <w:tr w:rsidR="008E41C6" w:rsidRPr="00686214" w14:paraId="29A4077B" w14:textId="77777777" w:rsidTr="00A16B9F">
        <w:trPr>
          <w:cantSplit/>
          <w:trHeight w:val="63"/>
        </w:trPr>
        <w:tc>
          <w:tcPr>
            <w:tcW w:w="5000" w:type="pct"/>
            <w:gridSpan w:val="3"/>
            <w:shd w:val="clear" w:color="auto" w:fill="00B0F0"/>
            <w:noWrap/>
          </w:tcPr>
          <w:p w14:paraId="3876338A" w14:textId="38493848" w:rsidR="008E41C6" w:rsidRPr="00686214" w:rsidRDefault="008E41C6" w:rsidP="008E41C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Finansowy</w:t>
            </w:r>
          </w:p>
        </w:tc>
      </w:tr>
      <w:tr w:rsidR="008E41C6" w:rsidRPr="00686214" w14:paraId="4137874A" w14:textId="77777777" w:rsidTr="00A16B9F">
        <w:trPr>
          <w:cantSplit/>
          <w:trHeight w:val="27"/>
        </w:trPr>
        <w:tc>
          <w:tcPr>
            <w:tcW w:w="282" w:type="pct"/>
            <w:noWrap/>
          </w:tcPr>
          <w:p w14:paraId="457CED52" w14:textId="5A90C151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18" w:type="pct"/>
            <w:gridSpan w:val="2"/>
          </w:tcPr>
          <w:p w14:paraId="312D7ABC" w14:textId="0DE47B7F" w:rsidR="00496C10" w:rsidRPr="00686214" w:rsidRDefault="00496C10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Gromadzenie informacji o kosztach i przychodach w ramach danego badania klinicznego, a następnie ich grupowanie i interpretacja w celu oceny, podejmowania decyzji oraz prowadzenia kontroli</w:t>
            </w:r>
            <w:r w:rsidR="00113136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4B1A2A" w14:textId="22E5EF0B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Dokumentowanie/ewidencjonowanie faktur/prowadzenie rejestru faktur</w:t>
            </w:r>
            <w:r w:rsidR="00113136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432F6" w:rsidRPr="00686214" w14:paraId="77DDB05C" w14:textId="77777777" w:rsidTr="00A16B9F">
        <w:trPr>
          <w:cantSplit/>
          <w:trHeight w:val="1429"/>
        </w:trPr>
        <w:tc>
          <w:tcPr>
            <w:tcW w:w="282" w:type="pct"/>
            <w:noWrap/>
          </w:tcPr>
          <w:p w14:paraId="1D57B90E" w14:textId="39827F31" w:rsidR="001432F6" w:rsidRPr="00686214" w:rsidRDefault="001432F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18" w:type="pct"/>
            <w:gridSpan w:val="2"/>
          </w:tcPr>
          <w:p w14:paraId="4609B792" w14:textId="77777777" w:rsidR="001432F6" w:rsidRPr="00686214" w:rsidRDefault="001432F6" w:rsidP="0081494D">
            <w:pPr>
              <w:pStyle w:val="Akapitzlist"/>
              <w:numPr>
                <w:ilvl w:val="0"/>
                <w:numId w:val="3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Tworzenie zestawienia usług w badaniu, wykonywanych na rzecz sponsora, wraz z ich wyceną i sumą poniesionych kosztów. </w:t>
            </w:r>
          </w:p>
          <w:p w14:paraId="2A115073" w14:textId="77777777" w:rsidR="00011B52" w:rsidRPr="00686214" w:rsidRDefault="001432F6" w:rsidP="0081494D">
            <w:pPr>
              <w:pStyle w:val="Akapitzlist"/>
              <w:numPr>
                <w:ilvl w:val="0"/>
                <w:numId w:val="3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Możliwość wyliczania należności dla poszczególnych ośrodków, badaczy za przeprowadzone wizyty czy procedury medyczne na podstawie wprowadzonych danych w module eCRF. </w:t>
            </w:r>
          </w:p>
          <w:p w14:paraId="49630C5A" w14:textId="4985B8DA" w:rsidR="001432F6" w:rsidRPr="00686214" w:rsidRDefault="001432F6" w:rsidP="0081494D">
            <w:pPr>
              <w:pStyle w:val="Akapitzlist"/>
              <w:numPr>
                <w:ilvl w:val="0"/>
                <w:numId w:val="36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sumowania kosztów na podstawie danych zawartych  Module budżetowanie.</w:t>
            </w:r>
          </w:p>
        </w:tc>
      </w:tr>
      <w:tr w:rsidR="008E41C6" w:rsidRPr="00686214" w14:paraId="0584A588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08DD2780" w14:textId="33A1DB54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18" w:type="pct"/>
            <w:gridSpan w:val="2"/>
          </w:tcPr>
          <w:p w14:paraId="31255246" w14:textId="492296E1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Tworzenie zestawień usług wykonywanych w badaniu</w:t>
            </w:r>
            <w:r w:rsidR="001364F2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 podziałem na określone źródła finansowania.</w:t>
            </w:r>
          </w:p>
          <w:p w14:paraId="27410C61" w14:textId="486E050A" w:rsidR="00574A9F" w:rsidRPr="00686214" w:rsidRDefault="006840A9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Podczas tworzenia zestawień możliwość korzystania z cen wprowadzonych do budżetu badania</w:t>
            </w:r>
            <w:r w:rsidR="009307B5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1C6" w:rsidRPr="00686214" w14:paraId="02D67934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3C414ADD" w14:textId="1E0453ED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18" w:type="pct"/>
            <w:gridSpan w:val="2"/>
          </w:tcPr>
          <w:p w14:paraId="2FE1C1D9" w14:textId="1743A0EF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Tworzenie zestawienia wykonanych procedur, wraz z ceną za poszczególną procedurę oraz sumą cen wszystkich procedur.</w:t>
            </w:r>
          </w:p>
        </w:tc>
      </w:tr>
      <w:tr w:rsidR="008E41C6" w:rsidRPr="00686214" w14:paraId="79228B73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21C09566" w14:textId="3B23D1C6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18" w:type="pct"/>
            <w:gridSpan w:val="2"/>
          </w:tcPr>
          <w:p w14:paraId="743039B3" w14:textId="24BA9398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Oznaczanie statusu realizacji płatności.</w:t>
            </w:r>
          </w:p>
        </w:tc>
      </w:tr>
      <w:tr w:rsidR="008E41C6" w:rsidRPr="00686214" w14:paraId="29187B08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41639B50" w14:textId="6DF6233D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718" w:type="pct"/>
            <w:gridSpan w:val="2"/>
          </w:tcPr>
          <w:p w14:paraId="254A2920" w14:textId="44321AFA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Generowanie zestawień przychodów oraz poniesionych kosztów.</w:t>
            </w:r>
          </w:p>
        </w:tc>
      </w:tr>
      <w:tr w:rsidR="008E41C6" w:rsidRPr="00686214" w14:paraId="6A05ECD6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1D72E9D5" w14:textId="49D08DEA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718" w:type="pct"/>
            <w:gridSpan w:val="2"/>
          </w:tcPr>
          <w:p w14:paraId="5C815E27" w14:textId="5E9D9520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Generowanie raportu końcowego badania.</w:t>
            </w:r>
            <w:r w:rsidR="00295711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Uwaga kształt raportu zostanie zdefiniowany na etapie wdrożenia oprogramowania</w:t>
            </w:r>
            <w:r w:rsidR="009307B5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1C6" w:rsidRPr="00686214" w14:paraId="6CEC654C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58D99E0C" w14:textId="28C48CF7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718" w:type="pct"/>
            <w:gridSpan w:val="2"/>
          </w:tcPr>
          <w:p w14:paraId="2F911C03" w14:textId="565736F7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Funkcjonalność definiowania wewnętrznych cenników usług, identyfikowanych przez kody ICD lub własne usługi niepołączone z ICD. </w:t>
            </w:r>
          </w:p>
        </w:tc>
      </w:tr>
      <w:tr w:rsidR="008E41C6" w:rsidRPr="00686214" w14:paraId="4E2E607A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7448D662" w14:textId="648D9354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718" w:type="pct"/>
            <w:gridSpan w:val="2"/>
          </w:tcPr>
          <w:p w14:paraId="29557320" w14:textId="580E7826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Grupowanie procedur wraz z wycenami, w celu tworzenia kosztorysu przyszłego badania.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8E41C6" w:rsidRPr="00686214" w14:paraId="7EEF3668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3569DC40" w14:textId="2E81ECDA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718" w:type="pct"/>
            <w:gridSpan w:val="2"/>
          </w:tcPr>
          <w:p w14:paraId="6C43268C" w14:textId="7DD2B4BD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Generowanie rozliczeń z Ośrodkami, Zespołami Badawczymi, Podwykonawcami</w:t>
            </w:r>
            <w:r w:rsidR="009307B5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B24C148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Generowanie rozliczeń powinno działać w następujący sposób:</w:t>
            </w:r>
          </w:p>
          <w:p w14:paraId="0C17B071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- na podstawie siatki wizyt i procedur zdefiniowanych  na podstawie protokołu  badania klinicznego oraz cenników procedur zaimportowanych jako źródło danych zewnętrznych powinno być możliwe wygenerowanie rozliczenia dla danego Ośrodka np. </w:t>
            </w:r>
          </w:p>
          <w:p w14:paraId="03D884E5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Mamy do czynienia z takimi przypadkami: </w:t>
            </w:r>
          </w:p>
          <w:p w14:paraId="246EEE41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I PRZYPADEK (16 Ośrodków realizujących badanie)</w:t>
            </w:r>
          </w:p>
          <w:p w14:paraId="4EB6FBC5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Za każdego Uczestnika Badania, poddanego pełnemu Badaniu zgodnie z umową i Protokołem, w zakresie świadczeń wykraczających poza świadczenia gwarantowane płatne przez NFZ, Uczelnia zapłaci Ośrodkowi 1 000, 00 (słownie: jeden tysiąc 00/100) złotych brutto, przy czym:</w:t>
            </w:r>
          </w:p>
          <w:p w14:paraId="5CE58B55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30 % tej kwoty tj. kwota 300, 00 (słownie: trzysta 00/100) złotych brutto wraz z pochodnymi płacone, jest za każdego skutecznie zrekrutowanego Uczestnika Badania, </w:t>
            </w:r>
          </w:p>
          <w:p w14:paraId="6D1F22C1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25 % tej kwoty tj. kwota 250, 00 (słownie: dwieście pięćdziesiąt 00/100) złotych brutto wraz z pochodnymi, płacone jest za wypełnienie kart CRF po roku od momentu rekrutacji pacjenta,</w:t>
            </w:r>
          </w:p>
          <w:p w14:paraId="5E852F03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25 % tej kwoty tj. kwota 250, 00 (słownie: dwieście pięćdziesiąt 00/100) złotych brutto wraz z pochodnymi, płacone jest za wypełnienie kart CRF po 2 latach od momentu rekrutacji pacjenta, </w:t>
            </w:r>
          </w:p>
          <w:p w14:paraId="36696B52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20 % tej kwoty tj. kwota 200, 00 (słownie: dwieście 00/100) złotych brutto wraz z pochodnymi, płacone jest po zakończeniu okresu follow up. </w:t>
            </w:r>
          </w:p>
          <w:p w14:paraId="0546EB7B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Rozliczenie z Ośrodkiem będzie następowało raz na 6 miesięcy.  Zapłata wynagrodzenia będzie następować po faktycznym zrealizowaniu czynności, o których mowa powyżej.  Podział w/w kwoty między Ośrodkiem a Głównym Badaczem zostaje ustalony na poziomie: 70% dla Głównego Badacza, 30% dla Ośrodka Badawczego. </w:t>
            </w:r>
          </w:p>
          <w:p w14:paraId="0CC47420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II PRZYPADEK:</w:t>
            </w:r>
          </w:p>
          <w:p w14:paraId="67A7AA11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 ramach Badania ośrodek na podstawie Wykazu procedur wykonanych w ramach badania klinicznego po ich udzieleniu uczestnikowi badania </w:t>
            </w:r>
          </w:p>
          <w:p w14:paraId="26344217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Procedura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Kwota w PLN na jednego pacjenta</w:t>
            </w:r>
          </w:p>
          <w:p w14:paraId="3DD8461F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ECHO serca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200,00</w:t>
            </w:r>
          </w:p>
          <w:p w14:paraId="2D06DDF7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MRI serca z kontrastem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1 700,00</w:t>
            </w:r>
          </w:p>
          <w:p w14:paraId="7B7E2A3D" w14:textId="77777777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30,00</w:t>
            </w:r>
          </w:p>
          <w:p w14:paraId="3933451D" w14:textId="32275A60" w:rsidR="00B02ED3" w:rsidRPr="00686214" w:rsidRDefault="00B02ED3" w:rsidP="00B02ED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Biopsja serca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2 300,00</w:t>
            </w:r>
          </w:p>
        </w:tc>
      </w:tr>
      <w:tr w:rsidR="008E41C6" w:rsidRPr="00686214" w14:paraId="6FB821CF" w14:textId="77777777" w:rsidTr="00A16B9F">
        <w:trPr>
          <w:cantSplit/>
          <w:trHeight w:val="27"/>
        </w:trPr>
        <w:tc>
          <w:tcPr>
            <w:tcW w:w="282" w:type="pct"/>
            <w:noWrap/>
          </w:tcPr>
          <w:p w14:paraId="522262CD" w14:textId="1F7FB7D7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718" w:type="pct"/>
            <w:gridSpan w:val="2"/>
          </w:tcPr>
          <w:p w14:paraId="0D1C8219" w14:textId="7AC00ABD" w:rsidR="008E41C6" w:rsidRPr="00686214" w:rsidRDefault="008E41C6" w:rsidP="00E23792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Funkcjonalność analizy zyskowności przyszłych badań, pozwalającą na przeprowadzenie symulacji kosztów po uwzględnieniu:</w:t>
            </w:r>
          </w:p>
          <w:p w14:paraId="19B7A13F" w14:textId="77777777" w:rsidR="008E41C6" w:rsidRPr="00686214" w:rsidRDefault="008E41C6" w:rsidP="007B005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734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Wyceny usług zaproponowanej przez sponsora;</w:t>
            </w:r>
          </w:p>
          <w:p w14:paraId="34B1AF26" w14:textId="1D60E190" w:rsidR="008E41C6" w:rsidRPr="00686214" w:rsidRDefault="008E41C6" w:rsidP="007B005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734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Wewnętrznych cenników usług, zdefiniowanych przez </w:t>
            </w:r>
            <w:r w:rsidR="00295711" w:rsidRPr="0068621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WBK;</w:t>
            </w:r>
          </w:p>
          <w:p w14:paraId="35ED9906" w14:textId="6C25220E" w:rsidR="008E41C6" w:rsidRPr="00686214" w:rsidRDefault="008E41C6" w:rsidP="007B005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734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Kosztów stałych, ponoszonych przez OWBK, zdefiniowanych w systemie</w:t>
            </w:r>
            <w:r w:rsidR="009307B5"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A45CC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D54C18" w14:textId="77777777" w:rsidR="008E41C6" w:rsidRPr="00686214" w:rsidRDefault="008E41C6" w:rsidP="007B0056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734" w:hanging="4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Prawdopodobieństwa rekrutacji określonej liczby pacjentów do badania klinicznego;</w:t>
            </w:r>
          </w:p>
          <w:p w14:paraId="0C35317C" w14:textId="18D3EFE1" w:rsidR="008E41C6" w:rsidRPr="00686214" w:rsidRDefault="008E41C6" w:rsidP="00E237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zapisywania wyników symulacji wraz z parametrami danej symulacji</w:t>
            </w:r>
            <w:r w:rsidR="009307B5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1C6" w:rsidRPr="00686214" w14:paraId="17906C44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2D108062" w14:textId="1645AC75" w:rsidR="008E41C6" w:rsidRPr="00686214" w:rsidRDefault="00C826A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718" w:type="pct"/>
            <w:gridSpan w:val="2"/>
          </w:tcPr>
          <w:p w14:paraId="6D19F31C" w14:textId="4AE9DFEB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porównywania wykonanych symulacji zyskowności oraz wizualizacja danych na wykresach.</w:t>
            </w:r>
          </w:p>
        </w:tc>
      </w:tr>
      <w:tr w:rsidR="008E41C6" w:rsidRPr="00686214" w14:paraId="00F19CFD" w14:textId="77777777" w:rsidTr="00A16B9F">
        <w:trPr>
          <w:cantSplit/>
          <w:trHeight w:val="25"/>
        </w:trPr>
        <w:tc>
          <w:tcPr>
            <w:tcW w:w="5000" w:type="pct"/>
            <w:gridSpan w:val="3"/>
            <w:shd w:val="clear" w:color="auto" w:fill="00B0F0"/>
            <w:noWrap/>
          </w:tcPr>
          <w:p w14:paraId="43BB3BCA" w14:textId="5F984A8C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Moduł eCRF </w:t>
            </w:r>
          </w:p>
        </w:tc>
      </w:tr>
      <w:tr w:rsidR="003A1DF0" w:rsidRPr="00686214" w14:paraId="679C3BBD" w14:textId="77777777" w:rsidTr="00A16B9F">
        <w:trPr>
          <w:cantSplit/>
          <w:trHeight w:val="25"/>
        </w:trPr>
        <w:tc>
          <w:tcPr>
            <w:tcW w:w="282" w:type="pct"/>
            <w:shd w:val="clear" w:color="auto" w:fill="FFFFFF" w:themeFill="background1"/>
            <w:noWrap/>
          </w:tcPr>
          <w:p w14:paraId="632585EC" w14:textId="14BA0262" w:rsidR="003A1DF0" w:rsidRPr="00686214" w:rsidRDefault="00747B2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18" w:type="pct"/>
            <w:gridSpan w:val="2"/>
            <w:shd w:val="clear" w:color="auto" w:fill="FFFFFF" w:themeFill="background1"/>
          </w:tcPr>
          <w:p w14:paraId="4117545A" w14:textId="663957BB" w:rsidR="00496C10" w:rsidRPr="00686214" w:rsidRDefault="00496C10" w:rsidP="003A1DF0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Moduł eCRF musi umożliwić przygotowanie, wytwarzanie, konfigurację, udostępnienie oraz utrzymanie usystematyzowanego zestawu formularzy do zapisu wymaganych protokołem badania klinicznego informacji o każdym uczestniku badania - elektronicznej Karty Obserwacji Pacjenta (ang. eCRF, Electronic Case Report Form).</w:t>
            </w:r>
          </w:p>
          <w:p w14:paraId="3D10F420" w14:textId="5EB78287" w:rsidR="003A1DF0" w:rsidRPr="00686214" w:rsidRDefault="003A1DF0" w:rsidP="003A1DF0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Moduł powinien umożliwiać tworzenie kart obserwacji uczestnika pod konkretny protokół, a zatwierdzony stanowić przypisany do danego protokołu dokument do którego będą wprowadzane dane. </w:t>
            </w:r>
          </w:p>
          <w:p w14:paraId="511D2EE1" w14:textId="40E78CFB" w:rsidR="0060302E" w:rsidRPr="00686214" w:rsidRDefault="003A1DF0" w:rsidP="003A1DF0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Zarządzanie poszczególnymi etapami prowadzonego badania przez osoby uprawnione według zdefiniowanego protokołu klinicznego.</w:t>
            </w:r>
          </w:p>
        </w:tc>
      </w:tr>
      <w:tr w:rsidR="008E41C6" w:rsidRPr="00686214" w14:paraId="3BF17E6E" w14:textId="77777777" w:rsidTr="00A16B9F">
        <w:trPr>
          <w:cantSplit/>
          <w:trHeight w:val="164"/>
        </w:trPr>
        <w:tc>
          <w:tcPr>
            <w:tcW w:w="282" w:type="pct"/>
            <w:noWrap/>
          </w:tcPr>
          <w:p w14:paraId="741F067E" w14:textId="1DAB4251" w:rsidR="008E41C6" w:rsidRPr="00686214" w:rsidRDefault="00747B2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718" w:type="pct"/>
            <w:gridSpan w:val="2"/>
          </w:tcPr>
          <w:p w14:paraId="597E225B" w14:textId="77777777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Dostęp  poprzez portal dostępny przez stronę www. na podstawie zdefiniowanych uprawnień w module administracyjnym.  </w:t>
            </w:r>
          </w:p>
          <w:p w14:paraId="4B54E8B1" w14:textId="1A7EA790" w:rsidR="00EF30CB" w:rsidRPr="00686214" w:rsidRDefault="00EF30CB" w:rsidP="00EF30CB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Wymagania ogólne dla portalu internetowego:</w:t>
            </w:r>
          </w:p>
          <w:p w14:paraId="136FB8ED" w14:textId="77777777" w:rsidR="00EF30CB" w:rsidRPr="00686214" w:rsidRDefault="00EF30CB" w:rsidP="00EF30CB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Interfejs użytkownika musi być zgodny z WCAG 2.0 (ang. Web Content Accessibility Guide-lines).</w:t>
            </w:r>
          </w:p>
          <w:p w14:paraId="401621C8" w14:textId="77777777" w:rsidR="00EF30CB" w:rsidRPr="00686214" w:rsidRDefault="00EF30CB" w:rsidP="00EF30CB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System musi udostępniać interfejs użytkownika w języku polskim. </w:t>
            </w:r>
          </w:p>
          <w:p w14:paraId="2C1ACCA6" w14:textId="77777777" w:rsidR="00EF30CB" w:rsidRPr="00686214" w:rsidRDefault="00EF30CB" w:rsidP="00EF30CB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System musi zapisywać logi z działania, w postaci umożliwiającej dalsze ich przetwarzanie w dedykowanych narzędziach (np. Logstash). </w:t>
            </w:r>
          </w:p>
          <w:p w14:paraId="6548FBD1" w14:textId="78100F25" w:rsidR="00EF30CB" w:rsidRPr="00686214" w:rsidRDefault="00EF30CB" w:rsidP="00EF30CB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System musi zapewniać przesyłanie danych z wykorzystaniem bezpiecznego kanału komunikacji - umożliwia szyfrowanie transmisji danych co najmniej pomiędzy komputerem </w:t>
            </w:r>
            <w:r w:rsidR="007E19C6" w:rsidRPr="00686214">
              <w:rPr>
                <w:rFonts w:ascii="Times New Roman" w:hAnsi="Times New Roman" w:cs="Times New Roman"/>
                <w:sz w:val="20"/>
                <w:szCs w:val="20"/>
              </w:rPr>
              <w:t>użytkownika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, a pierwszym komponentem systemu, na którym są one przetwarzane.</w:t>
            </w:r>
          </w:p>
        </w:tc>
      </w:tr>
      <w:tr w:rsidR="008E41C6" w:rsidRPr="00686214" w14:paraId="07ECAE75" w14:textId="77777777" w:rsidTr="00A16B9F">
        <w:trPr>
          <w:cantSplit/>
          <w:trHeight w:val="429"/>
        </w:trPr>
        <w:tc>
          <w:tcPr>
            <w:tcW w:w="282" w:type="pct"/>
            <w:noWrap/>
          </w:tcPr>
          <w:p w14:paraId="1FC7538D" w14:textId="203DE427" w:rsidR="008E41C6" w:rsidRPr="00686214" w:rsidRDefault="00747B2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18" w:type="pct"/>
            <w:gridSpan w:val="2"/>
          </w:tcPr>
          <w:p w14:paraId="3CDD1147" w14:textId="34942790" w:rsidR="008E41C6" w:rsidRPr="00686214" w:rsidRDefault="006B33EB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8E41C6" w:rsidRPr="00686214">
              <w:rPr>
                <w:rFonts w:ascii="Times New Roman" w:hAnsi="Times New Roman" w:cs="Times New Roman"/>
                <w:sz w:val="20"/>
                <w:szCs w:val="20"/>
              </w:rPr>
              <w:t>ożliwość zdefiniowania jakie dane przy danym badaniu mają zostać uzupełnione</w:t>
            </w:r>
            <w:r w:rsidR="00B30E0D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E41C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E41C6" w:rsidRPr="00686214" w14:paraId="7205A2BF" w14:textId="77777777" w:rsidTr="00A16B9F">
        <w:trPr>
          <w:cantSplit/>
        </w:trPr>
        <w:tc>
          <w:tcPr>
            <w:tcW w:w="282" w:type="pct"/>
            <w:noWrap/>
          </w:tcPr>
          <w:p w14:paraId="21492380" w14:textId="63B1AFFF" w:rsidR="008E41C6" w:rsidRPr="00686214" w:rsidRDefault="00747B2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18" w:type="pct"/>
            <w:gridSpan w:val="2"/>
          </w:tcPr>
          <w:p w14:paraId="0DE3AA36" w14:textId="22ED2DC6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przypisania lekarza prowadzącego do uczestnika. W module administracji dostępny musi być słownik personelu z możliwością edycji i dopisania nowych pozycji.</w:t>
            </w:r>
          </w:p>
        </w:tc>
      </w:tr>
      <w:tr w:rsidR="008E41C6" w:rsidRPr="00686214" w14:paraId="4B7AB2D2" w14:textId="77777777" w:rsidTr="00A16B9F">
        <w:trPr>
          <w:cantSplit/>
        </w:trPr>
        <w:tc>
          <w:tcPr>
            <w:tcW w:w="282" w:type="pct"/>
            <w:noWrap/>
          </w:tcPr>
          <w:p w14:paraId="2FC09732" w14:textId="3E934008" w:rsidR="008E41C6" w:rsidRPr="00686214" w:rsidRDefault="00747B2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18" w:type="pct"/>
            <w:gridSpan w:val="2"/>
          </w:tcPr>
          <w:p w14:paraId="242DAD47" w14:textId="5558C12B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Dane wskazane w protokole badania klinicznego muszą być możliwe do wprowadzania wg następujących zasad:</w:t>
            </w:r>
          </w:p>
          <w:p w14:paraId="075D3BBD" w14:textId="098887C2" w:rsidR="008E41C6" w:rsidRPr="00686214" w:rsidRDefault="008E41C6" w:rsidP="007B0056">
            <w:pPr>
              <w:pStyle w:val="Akapitzlist"/>
              <w:numPr>
                <w:ilvl w:val="0"/>
                <w:numId w:val="19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Wszystkie dane wprowadzane są za pomocą dynamicznych formularzy</w:t>
            </w:r>
          </w:p>
          <w:p w14:paraId="0A75278B" w14:textId="13980335" w:rsidR="008E41C6" w:rsidRPr="00686214" w:rsidRDefault="008E41C6" w:rsidP="007B0056">
            <w:pPr>
              <w:pStyle w:val="Akapitzlist"/>
              <w:numPr>
                <w:ilvl w:val="0"/>
                <w:numId w:val="19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Dane wprowadzane są w sposób ustandaryzowany (np. wgrane słowniki, kalendarz, dedykowane pola liczbowe)</w:t>
            </w:r>
            <w:r w:rsidR="00B30E0D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1C6" w:rsidRPr="00686214" w14:paraId="787DB2C5" w14:textId="77777777" w:rsidTr="00A16B9F">
        <w:trPr>
          <w:cantSplit/>
          <w:trHeight w:val="66"/>
        </w:trPr>
        <w:tc>
          <w:tcPr>
            <w:tcW w:w="282" w:type="pct"/>
            <w:noWrap/>
          </w:tcPr>
          <w:p w14:paraId="3985387E" w14:textId="4B88C31B" w:rsidR="008E41C6" w:rsidRPr="00686214" w:rsidRDefault="00747B2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718" w:type="pct"/>
            <w:gridSpan w:val="2"/>
          </w:tcPr>
          <w:p w14:paraId="46D51B1B" w14:textId="11182F38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Funkcjonalność  walidacji  dot. rodzaju wizyty, jaka powinna zostać wykonana uczestnikowi oraz jakie usługi należy wykonać na danej wizycie by spełnić założenia protokołu badania.</w:t>
            </w:r>
          </w:p>
        </w:tc>
      </w:tr>
      <w:tr w:rsidR="008E41C6" w:rsidRPr="00686214" w14:paraId="16213C94" w14:textId="77777777" w:rsidTr="00A16B9F">
        <w:trPr>
          <w:cantSplit/>
          <w:trHeight w:val="63"/>
        </w:trPr>
        <w:tc>
          <w:tcPr>
            <w:tcW w:w="282" w:type="pct"/>
            <w:noWrap/>
          </w:tcPr>
          <w:p w14:paraId="0F81AE01" w14:textId="512EE5F9" w:rsidR="008E41C6" w:rsidRPr="00686214" w:rsidRDefault="00747B2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718" w:type="pct"/>
            <w:gridSpan w:val="2"/>
          </w:tcPr>
          <w:p w14:paraId="7CFD227E" w14:textId="7ABD685B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 przypisania uczestnikowi statusu informującego na jakim etapie jest dany uczestnik. Słownik statusów powinien być definiowany z poziomu modułu administracyjnego.</w:t>
            </w:r>
          </w:p>
        </w:tc>
      </w:tr>
      <w:tr w:rsidR="008E41C6" w:rsidRPr="00686214" w14:paraId="116D47F6" w14:textId="77777777" w:rsidTr="00A16B9F">
        <w:trPr>
          <w:cantSplit/>
          <w:trHeight w:val="63"/>
        </w:trPr>
        <w:tc>
          <w:tcPr>
            <w:tcW w:w="282" w:type="pct"/>
            <w:noWrap/>
          </w:tcPr>
          <w:p w14:paraId="57BB47CD" w14:textId="782A1DF6" w:rsidR="008E41C6" w:rsidRPr="00686214" w:rsidRDefault="001E3109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45558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46BE6674" w14:textId="6743FD57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 poziomu kartoteki uczestnika możliwość dodania nowej wizyty lub zaplanowanie terminu nowej wizyty</w:t>
            </w:r>
            <w:r w:rsidR="007B6906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80BCD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E41C6" w:rsidRPr="00686214" w14:paraId="25A8D6BE" w14:textId="77777777" w:rsidTr="00A16B9F">
        <w:trPr>
          <w:cantSplit/>
          <w:trHeight w:val="63"/>
        </w:trPr>
        <w:tc>
          <w:tcPr>
            <w:tcW w:w="282" w:type="pct"/>
            <w:noWrap/>
          </w:tcPr>
          <w:p w14:paraId="23D1ED97" w14:textId="39AC9A30" w:rsidR="008E41C6" w:rsidRPr="00686214" w:rsidRDefault="001E3109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45558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47947712" w14:textId="02EEB13D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Funkcjonalność tworzenia szablonów wizyty i późniejszy powrót do uzupełnienia danych aż do momentu zatwierdzenia wizyty.</w:t>
            </w:r>
          </w:p>
        </w:tc>
      </w:tr>
      <w:tr w:rsidR="008E41C6" w:rsidRPr="00686214" w14:paraId="4AC3929C" w14:textId="77777777" w:rsidTr="00A16B9F">
        <w:trPr>
          <w:cantSplit/>
          <w:trHeight w:val="108"/>
        </w:trPr>
        <w:tc>
          <w:tcPr>
            <w:tcW w:w="282" w:type="pct"/>
            <w:noWrap/>
          </w:tcPr>
          <w:p w14:paraId="774D809E" w14:textId="0469BECD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734C220F" w14:textId="62401E32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Możliwość wydruku informacji o wizycie wraz z uwzględnieniem wszystkich usług i danych wprowadzonych podczas wizyty. </w:t>
            </w:r>
            <w:r w:rsidRPr="00686214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(UWAGA: format wydruku, jego zawartość oraz wygląd zostaną zdefiniowane przez Zamawiającego na etapie wdrożenia systemu)</w:t>
            </w:r>
          </w:p>
        </w:tc>
      </w:tr>
      <w:tr w:rsidR="008E41C6" w:rsidRPr="00686214" w14:paraId="12AFB596" w14:textId="77777777" w:rsidTr="00A16B9F">
        <w:trPr>
          <w:cantSplit/>
          <w:trHeight w:val="108"/>
        </w:trPr>
        <w:tc>
          <w:tcPr>
            <w:tcW w:w="282" w:type="pct"/>
            <w:noWrap/>
          </w:tcPr>
          <w:p w14:paraId="608CE8BF" w14:textId="353F534C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18C9D9A8" w14:textId="564FE7DB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za pomocą podręcznego menu szybkiego powrotu do wcześniej przeglądanych kartotek bez konieczności ponownego wyszukiwania uczestników na liście.</w:t>
            </w:r>
          </w:p>
        </w:tc>
      </w:tr>
      <w:tr w:rsidR="008E41C6" w:rsidRPr="00686214" w14:paraId="3BB562F1" w14:textId="77777777" w:rsidTr="00A16B9F">
        <w:trPr>
          <w:cantSplit/>
          <w:trHeight w:val="108"/>
        </w:trPr>
        <w:tc>
          <w:tcPr>
            <w:tcW w:w="282" w:type="pct"/>
            <w:noWrap/>
          </w:tcPr>
          <w:p w14:paraId="1F0F73D6" w14:textId="05923D21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0FB45D31" w14:textId="7EE19902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Funkcjonalność wygenerowania plików PDF (z poziomu wizyty, usługi oraz pojedynczego formularza dla danego uczestnika) oraz pobierania danych wprowadzonych  do eCRFa w postaci arkuszy kalkulacyjnych XLSX. </w:t>
            </w:r>
          </w:p>
          <w:p w14:paraId="069D601B" w14:textId="5F4B027B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Użytkownik może zdefiniować zakres pobieranych danych, poprzez ograniczenie zbioru usług, zakresu dat lub konkretnych formularzy. </w:t>
            </w:r>
          </w:p>
          <w:p w14:paraId="2EDBA77E" w14:textId="02D4DA13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Historia wygenerowanych plików jest przechowywana przez system</w:t>
            </w:r>
            <w:r w:rsidR="007B6906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1C6" w:rsidRPr="00686214" w14:paraId="710D06CA" w14:textId="77777777" w:rsidTr="00A16B9F">
        <w:trPr>
          <w:cantSplit/>
          <w:trHeight w:val="108"/>
        </w:trPr>
        <w:tc>
          <w:tcPr>
            <w:tcW w:w="282" w:type="pct"/>
            <w:noWrap/>
          </w:tcPr>
          <w:p w14:paraId="28ACC281" w14:textId="68BDFE74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06AE8ABC" w14:textId="156BA3D2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pobrania formularzy zdefiniowanych w graficznym interfejsie użytkowników w postaci plików szablonów, celem ich przeniesienia do innych instancji aplikacji i wykorzystania w innych badaniach klinicznych.</w:t>
            </w:r>
          </w:p>
        </w:tc>
      </w:tr>
      <w:tr w:rsidR="008E41C6" w:rsidRPr="00686214" w14:paraId="1974B85C" w14:textId="77777777" w:rsidTr="00A16B9F">
        <w:trPr>
          <w:cantSplit/>
          <w:trHeight w:val="21"/>
        </w:trPr>
        <w:tc>
          <w:tcPr>
            <w:tcW w:w="282" w:type="pct"/>
            <w:noWrap/>
          </w:tcPr>
          <w:p w14:paraId="2D8068B9" w14:textId="773A797D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05048249" w14:textId="0AA3713A" w:rsidR="008E41C6" w:rsidRPr="00686214" w:rsidRDefault="008E41C6" w:rsidP="00E237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Funkcjonalność definiowania i edycji  protokołu badania poprzez graficzny interfejs użytkownika.</w:t>
            </w:r>
          </w:p>
          <w:p w14:paraId="1906E4D1" w14:textId="3CB4E93E" w:rsidR="008E41C6" w:rsidRPr="00686214" w:rsidRDefault="008E41C6" w:rsidP="00E237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Użytkownik powinien mieć możliwość  definiowania w aplikacji minimum:</w:t>
            </w:r>
          </w:p>
          <w:p w14:paraId="3884E58A" w14:textId="3116FE38" w:rsidR="008E41C6" w:rsidRPr="00686214" w:rsidRDefault="008E41C6" w:rsidP="007B005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Liczby i harmonogramu wizyt;</w:t>
            </w:r>
          </w:p>
          <w:p w14:paraId="5D66C123" w14:textId="5A2377AB" w:rsidR="008E41C6" w:rsidRPr="00686214" w:rsidRDefault="008E41C6" w:rsidP="007B005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Zakresu usług wykonywanych na poszczególnych wizytach;</w:t>
            </w:r>
          </w:p>
          <w:p w14:paraId="4A0C4C08" w14:textId="7E43E39A" w:rsidR="008E41C6" w:rsidRPr="00686214" w:rsidRDefault="008E41C6" w:rsidP="007B005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Formularzy wypełniane dla poszczególnych usług</w:t>
            </w:r>
            <w:r w:rsidR="002E5BCD"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4CDB376" w14:textId="3C7CDB31" w:rsidR="008E41C6" w:rsidRPr="00686214" w:rsidRDefault="008E41C6" w:rsidP="007B005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Kryteriów widoczności formularzy dla określonych grup użytkowników</w:t>
            </w:r>
            <w:r w:rsidR="002E5BCD"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6A8690" w14:textId="2CCA8426" w:rsidR="008E41C6" w:rsidRPr="00686214" w:rsidRDefault="008E41C6" w:rsidP="007B005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Reguł widoczności określonych typów wizyt, w zależności od aktualnego statusu uczestnika w badaniu</w:t>
            </w:r>
            <w:r w:rsidR="002E5BCD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3E41F2" w14:textId="73093154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System zapewni przygotowanie odrębnych schematów wizyt dla różnych faz badania (np. faza kliniczna, faza follow-up), różnych typów badań w ramach jednego projektu (np. badanie obserwacyjne, badanie klinicznie) jak również dla odrębnych grup klinicznych w przypadku badań otwartych.</w:t>
            </w:r>
          </w:p>
        </w:tc>
      </w:tr>
      <w:tr w:rsidR="008E41C6" w:rsidRPr="00686214" w14:paraId="5C498174" w14:textId="77777777" w:rsidTr="00A16B9F">
        <w:trPr>
          <w:cantSplit/>
          <w:trHeight w:val="21"/>
        </w:trPr>
        <w:tc>
          <w:tcPr>
            <w:tcW w:w="282" w:type="pct"/>
            <w:noWrap/>
          </w:tcPr>
          <w:p w14:paraId="528D6EE8" w14:textId="39245A5F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16E4A2E2" w14:textId="011ABBA5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Definiowanie reguł przejść uczestnika z jednej fazy badania do innej, np. z fazy zaślepionej do fazy otwartej</w:t>
            </w:r>
            <w:r w:rsidR="002E5BCD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E41C6" w:rsidRPr="00686214" w14:paraId="2E835646" w14:textId="77777777" w:rsidTr="00A16B9F">
        <w:trPr>
          <w:cantSplit/>
          <w:trHeight w:val="21"/>
        </w:trPr>
        <w:tc>
          <w:tcPr>
            <w:tcW w:w="282" w:type="pct"/>
            <w:noWrap/>
          </w:tcPr>
          <w:p w14:paraId="6FA31026" w14:textId="51ED24FB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E583979" w14:textId="573347F9" w:rsidR="008E41C6" w:rsidRPr="00686214" w:rsidRDefault="008E41C6" w:rsidP="00E237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 ramach protokołu definiowanie listy wizyt wymaganych w badaniu wraz z harmonogramem.  Dla każdej wizyty możliwość definiowania min. następujących informacji:</w:t>
            </w:r>
          </w:p>
          <w:p w14:paraId="09A1B153" w14:textId="188C64F1" w:rsidR="008E41C6" w:rsidRPr="00686214" w:rsidRDefault="008E41C6" w:rsidP="007B005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Nazwa wizyty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1C72E1" w14:textId="55AC4F8A" w:rsidR="008E41C6" w:rsidRPr="00686214" w:rsidRDefault="008E41C6" w:rsidP="007B005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Kod wizyty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D6FDE48" w14:textId="55D9CEC4" w:rsidR="008E41C6" w:rsidRPr="00686214" w:rsidRDefault="008E41C6" w:rsidP="007B005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Typ wizyty (Chronologiczna lub dodatkowa)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E7DB3F3" w14:textId="2884E9A0" w:rsidR="00C07069" w:rsidRPr="00686214" w:rsidRDefault="008E41C6" w:rsidP="007B005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Planowany termin wykonania wizyty określony w protokole (system informuje o wprowadzeniu wizyty poza oknem zdefiniowanym w protokole badania)</w:t>
            </w:r>
            <w:r w:rsidR="00775165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069" w:rsidRPr="00686214">
              <w:rPr>
                <w:rFonts w:ascii="Times New Roman" w:eastAsiaTheme="minorEastAsia" w:hAnsi="Times New Roman" w:cs="Times New Roman"/>
                <w:sz w:val="20"/>
                <w:szCs w:val="20"/>
              </w:rPr>
              <w:t>Możliwość definiowania zdarz</w:t>
            </w:r>
            <w:r w:rsidR="00775165" w:rsidRPr="00686214">
              <w:rPr>
                <w:rFonts w:ascii="Times New Roman" w:eastAsiaTheme="minorEastAsia" w:hAnsi="Times New Roman" w:cs="Times New Roman"/>
                <w:sz w:val="20"/>
                <w:szCs w:val="20"/>
              </w:rPr>
              <w:t>e</w:t>
            </w:r>
            <w:r w:rsidR="00C07069" w:rsidRPr="00686214">
              <w:rPr>
                <w:rFonts w:ascii="Times New Roman" w:eastAsiaTheme="minorEastAsia" w:hAnsi="Times New Roman" w:cs="Times New Roman"/>
                <w:sz w:val="20"/>
                <w:szCs w:val="20"/>
              </w:rPr>
              <w:t>ń cyklicznych/terminowych z funkcją przypominania</w:t>
            </w:r>
            <w:r w:rsidR="00EC1F45" w:rsidRPr="00686214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</w:p>
          <w:p w14:paraId="5DAF70B2" w14:textId="03AD5998" w:rsidR="008E41C6" w:rsidRPr="00686214" w:rsidRDefault="008E41C6" w:rsidP="00775165">
            <w:pPr>
              <w:pStyle w:val="Akapitzlist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8E41C6" w:rsidRPr="00686214" w14:paraId="07694958" w14:textId="77777777" w:rsidTr="00A16B9F">
        <w:trPr>
          <w:cantSplit/>
          <w:trHeight w:val="21"/>
        </w:trPr>
        <w:tc>
          <w:tcPr>
            <w:tcW w:w="282" w:type="pct"/>
            <w:noWrap/>
          </w:tcPr>
          <w:p w14:paraId="0DF5F6CE" w14:textId="3D8D0E72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3009EA2B" w14:textId="18363AA4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Możliwość zdefiniowania w protokole wizyt dodatkowych, które odbywają się w terminach innych niż wizyty określone w harmonogramie. </w:t>
            </w:r>
          </w:p>
        </w:tc>
      </w:tr>
      <w:tr w:rsidR="008E41C6" w:rsidRPr="00686214" w14:paraId="18AE807C" w14:textId="77777777" w:rsidTr="00A16B9F">
        <w:trPr>
          <w:cantSplit/>
          <w:trHeight w:val="21"/>
        </w:trPr>
        <w:tc>
          <w:tcPr>
            <w:tcW w:w="282" w:type="pct"/>
            <w:noWrap/>
          </w:tcPr>
          <w:p w14:paraId="4D9BBC89" w14:textId="4F8EFFE6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43D04D40" w14:textId="788BE92D" w:rsidR="008E41C6" w:rsidRPr="00686214" w:rsidRDefault="008E41C6" w:rsidP="00E237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 ramach pojedynczej wizyty w protokole możliwość zdefiniowania usług jakie należy wykonać i zakodować w ramach danej wizyty (np. EEG, Wywiad, Leki, Morfologia itp.).</w:t>
            </w:r>
          </w:p>
          <w:p w14:paraId="6A9CB3E6" w14:textId="2353D4FA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Dodatkowo możliwość rejestrowania zdarzeń niepożądanych oraz informacji o stosowaniu dodatkowych leków po każdej wizycie.</w:t>
            </w:r>
          </w:p>
        </w:tc>
      </w:tr>
      <w:tr w:rsidR="008E41C6" w:rsidRPr="00686214" w14:paraId="7D7D3290" w14:textId="77777777" w:rsidTr="00A16B9F">
        <w:trPr>
          <w:cantSplit/>
          <w:trHeight w:val="21"/>
        </w:trPr>
        <w:tc>
          <w:tcPr>
            <w:tcW w:w="282" w:type="pct"/>
            <w:noWrap/>
          </w:tcPr>
          <w:p w14:paraId="4F7CD0AE" w14:textId="504D56E6" w:rsidR="008E41C6" w:rsidRPr="00686214" w:rsidRDefault="001E3109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45558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025E7A0F" w14:textId="7B3ADC8D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Możliwość dostosowania widoczności poszczególnych usług w ramach wizyty, w protokole dla wybranych grup użytkowników.  </w:t>
            </w:r>
          </w:p>
        </w:tc>
      </w:tr>
      <w:tr w:rsidR="008E41C6" w:rsidRPr="00686214" w14:paraId="2CF7CE38" w14:textId="77777777" w:rsidTr="00A16B9F">
        <w:trPr>
          <w:cantSplit/>
          <w:trHeight w:val="21"/>
        </w:trPr>
        <w:tc>
          <w:tcPr>
            <w:tcW w:w="282" w:type="pct"/>
            <w:noWrap/>
          </w:tcPr>
          <w:p w14:paraId="5D8263BF" w14:textId="526EB182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7BD15F9C" w14:textId="3BECB776" w:rsidR="008E41C6" w:rsidRPr="00686214" w:rsidRDefault="008E41C6" w:rsidP="00E237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Funkcjonalność pełnego odwzorowania protokołu badania wraz z regułami uwzględniającymi:</w:t>
            </w:r>
          </w:p>
          <w:p w14:paraId="2A4DE18E" w14:textId="2F436701" w:rsidR="008E41C6" w:rsidRPr="00686214" w:rsidRDefault="008E41C6" w:rsidP="007B005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Jakie usługi mają być wykonane w ramach danej wizyty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D2BE0F" w14:textId="13AB807B" w:rsidR="008E41C6" w:rsidRPr="00686214" w:rsidRDefault="008E41C6" w:rsidP="007B005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 jakich odstępach czasu mają być wykonane poszczególne wizyty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F6CD7E" w14:textId="13596560" w:rsidR="008E41C6" w:rsidRPr="00686214" w:rsidRDefault="008E41C6" w:rsidP="007B005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Która grupa użytkowników ma dostęp do wypełnienia i podglądu danych usług w ramach wizyty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E3972D9" w14:textId="52382BD8" w:rsidR="008E41C6" w:rsidRPr="00686214" w:rsidRDefault="008E41C6" w:rsidP="007B005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Kiedy nie jest możliwe wykonanie danej wizyty lub usługi.</w:t>
            </w:r>
          </w:p>
        </w:tc>
      </w:tr>
      <w:tr w:rsidR="008E41C6" w:rsidRPr="00686214" w14:paraId="01A6E8A2" w14:textId="77777777" w:rsidTr="00A16B9F">
        <w:trPr>
          <w:cantSplit/>
          <w:trHeight w:val="21"/>
        </w:trPr>
        <w:tc>
          <w:tcPr>
            <w:tcW w:w="282" w:type="pct"/>
            <w:noWrap/>
          </w:tcPr>
          <w:p w14:paraId="083993B4" w14:textId="420DE2D7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3E41FDB" w14:textId="78D23253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Funkcjonalność tworzenia formularzy dla każdej usługi zdefiniowanej w protokole,  za pomocą interfejsu graficznego </w:t>
            </w:r>
          </w:p>
        </w:tc>
      </w:tr>
      <w:tr w:rsidR="008E41C6" w:rsidRPr="00686214" w14:paraId="36A1DEA5" w14:textId="77777777" w:rsidTr="00A16B9F">
        <w:trPr>
          <w:cantSplit/>
          <w:trHeight w:val="21"/>
        </w:trPr>
        <w:tc>
          <w:tcPr>
            <w:tcW w:w="282" w:type="pct"/>
            <w:noWrap/>
          </w:tcPr>
          <w:p w14:paraId="10D32F62" w14:textId="6688EC91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38AE5148" w14:textId="51DBACF9" w:rsidR="008E41C6" w:rsidRPr="00686214" w:rsidRDefault="008E41C6" w:rsidP="00E237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Podczas dodawania uczestnika w systemie, należy zapewnić minimum możliwość wprowadzenia następujących informacji:</w:t>
            </w:r>
          </w:p>
          <w:p w14:paraId="53AB9A85" w14:textId="77B158A4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Płeć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953C9E3" w14:textId="065B9FE5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Kod pacjenta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E75070C" w14:textId="08FAC7DC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Data urodzenia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A9C1B53" w14:textId="7558B754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Data śmierci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1D0E8F7" w14:textId="3EF50AD4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Telefon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6860CD7" w14:textId="3C97271E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Email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FA78E64" w14:textId="340209DA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Status (słownik definiowany w systemie)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A0E5697" w14:textId="6FCF8889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Miasto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31CA48A" w14:textId="7D717F0B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Gmina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CE1191F" w14:textId="368DBED1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Powiat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8DB60C" w14:textId="0E88B1C4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Data dołączenia do badania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18DA088" w14:textId="7457FA85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Inicjały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98DFE8" w14:textId="04DAD307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Lekarz prowadzący (słownik definiowany w systemie)</w:t>
            </w:r>
            <w:r w:rsidR="00EC1F45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0CD7F85" w14:textId="78DF3248" w:rsidR="008E41C6" w:rsidRPr="00686214" w:rsidRDefault="008E41C6" w:rsidP="007B005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Jednostka badawcza.</w:t>
            </w:r>
          </w:p>
        </w:tc>
      </w:tr>
      <w:tr w:rsidR="008E41C6" w:rsidRPr="00686214" w14:paraId="463BA379" w14:textId="77777777" w:rsidTr="00A16B9F">
        <w:trPr>
          <w:cantSplit/>
          <w:trHeight w:val="27"/>
        </w:trPr>
        <w:tc>
          <w:tcPr>
            <w:tcW w:w="282" w:type="pct"/>
            <w:noWrap/>
          </w:tcPr>
          <w:p w14:paraId="107BA38B" w14:textId="695EB625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723DC1AB" w14:textId="0825CEFF" w:rsidR="00C07069" w:rsidRPr="00686214" w:rsidRDefault="00C07069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Funkcjonalność </w:t>
            </w:r>
            <w:r w:rsidR="008E41C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wyboru dostępnych atrybutów oraz </w:t>
            </w:r>
            <w:r w:rsidR="008E41C6" w:rsidRPr="00686214">
              <w:rPr>
                <w:rFonts w:ascii="Times New Roman" w:hAnsi="Times New Roman" w:cs="Times New Roman"/>
                <w:sz w:val="20"/>
                <w:szCs w:val="20"/>
              </w:rPr>
              <w:t>definiowani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8E41C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dodatkowych, </w:t>
            </w:r>
            <w:r w:rsidR="008E41C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aktywnych atrybutów uczestnika,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dla konkretnego badania</w:t>
            </w:r>
            <w:r w:rsidR="008E41C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. Pozostałe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nie wybrane </w:t>
            </w:r>
            <w:r w:rsidR="008E41C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atrybuty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powinny b</w:t>
            </w:r>
            <w:r w:rsidR="005A4AB5" w:rsidRPr="00686214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ć niewidoczne dla danego badania</w:t>
            </w:r>
            <w:r w:rsidR="008E41C6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41C6" w:rsidRPr="00686214" w14:paraId="1D3010DC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18866409" w14:textId="1F707C75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76B87366" w14:textId="055683B8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Funkcjonalność archiwizacji danych. Po założeniu blokady na dany okres czasu modyfikacja danych wprowadzonych w zablokowanym okresie czasu będzie niemożliwa.</w:t>
            </w:r>
          </w:p>
        </w:tc>
      </w:tr>
      <w:tr w:rsidR="008E41C6" w:rsidRPr="00686214" w14:paraId="5CAF2DBC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1A0639B1" w14:textId="33231EF5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7BE00866" w14:textId="015206F7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Moduł słowników umożliwiający dodawanie, usuwanie i modyfikowanie pozycji słownikowych z poziomu interfejsu graficznego aplikacji.</w:t>
            </w:r>
          </w:p>
        </w:tc>
      </w:tr>
      <w:tr w:rsidR="008E41C6" w:rsidRPr="00686214" w14:paraId="09E5893E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3E1082D5" w14:textId="4B3BE5AD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1A78085D" w14:textId="35462805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Automatyczna generacja unikalnego kodu pacjenta dla każdego nowowprowadzonego pacjenta zgodnie z określonymi regułami</w:t>
            </w:r>
            <w:r w:rsidR="004F2F24" w:rsidRPr="0068621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8E41C6" w:rsidRPr="00686214" w14:paraId="2EAC3E6F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276F306F" w14:textId="61D248EA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6FA1D66E" w14:textId="5B441FE2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System</w:t>
            </w:r>
            <w:r w:rsidR="00775165" w:rsidRPr="00686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86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powinien umożliwić wyszukiwanie pacjenta/-ów  po parametrach takich jak: kod pacjenta, kod randomizacyjny, , status, lekarz prowadzący, jednostka badawcza. </w:t>
            </w:r>
          </w:p>
        </w:tc>
      </w:tr>
      <w:tr w:rsidR="008E41C6" w:rsidRPr="00686214" w14:paraId="4A66A505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6702CD9E" w14:textId="276F6311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719709FA" w14:textId="62D565DC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Walidacja  podczas opuszczenia formularza bez zapisania zmian.</w:t>
            </w:r>
          </w:p>
        </w:tc>
      </w:tr>
      <w:tr w:rsidR="008E41C6" w:rsidRPr="00686214" w14:paraId="54B7F350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41579F27" w14:textId="72938218" w:rsidR="008E41C6" w:rsidRPr="00686214" w:rsidRDefault="001E3109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  <w:r w:rsidR="00E45558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5E4AEABA" w14:textId="77777777" w:rsidR="008E41C6" w:rsidRPr="00686214" w:rsidRDefault="008E41C6" w:rsidP="00E237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monitorowania regularności leczenia – każde zdarzenie w historii pacjenta musi być zaznaczone w systemie (wizyta, badanie kontrolne, zdarzenie niepożądane, leczenie).  </w:t>
            </w:r>
          </w:p>
          <w:p w14:paraId="59816978" w14:textId="4DCD12D7" w:rsidR="008E41C6" w:rsidRPr="00686214" w:rsidRDefault="008E41C6" w:rsidP="00E237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Zapewnienie graficznej wizualizacji zdarzeń na osi czasu np. przy wizytach pacjenta powinna być podana data oraz statusu wizyty (np. wykonana, zaplanowana, opuszczona).  </w:t>
            </w:r>
          </w:p>
        </w:tc>
      </w:tr>
      <w:tr w:rsidR="008E41C6" w:rsidRPr="00686214" w14:paraId="47FA8044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45DBD56A" w14:textId="422512F6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1D971482" w14:textId="1723E827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Prezentacja na osi czasu przyszłych wizyt wraz z informacją o terminie wykonania wizyty wynikającym z protokołu badania.</w:t>
            </w:r>
          </w:p>
        </w:tc>
      </w:tr>
      <w:tr w:rsidR="008E41C6" w:rsidRPr="00686214" w14:paraId="6830652E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503C5E69" w14:textId="17F88856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677A95F9" w14:textId="77777777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Rejestrowanie wszystkich zmian w wypełnionych formularzach. Wszystkie zmiany będą dostępne na ekranie podglądu historii zmian danego formularza. </w:t>
            </w:r>
          </w:p>
          <w:p w14:paraId="36FECDF8" w14:textId="0678FB39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Każda zmiana musi być przechowywana w bazie danych wraz z datą i nazwą użytkownika, który dokonał zmian oraz dostępna z poziomu danego formularza.</w:t>
            </w:r>
          </w:p>
        </w:tc>
      </w:tr>
      <w:tr w:rsidR="008E41C6" w:rsidRPr="00686214" w14:paraId="7A63C6D8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4442F830" w14:textId="06178C76" w:rsidR="008E41C6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E3109" w:rsidRPr="006862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583813FD" w14:textId="415C8AFD" w:rsidR="008E41C6" w:rsidRPr="00686214" w:rsidRDefault="008E41C6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</w:t>
            </w:r>
            <w:r w:rsidR="006B33EB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 automatycznie przypisywać kod randomizacyjny na podstawie kryteriów określonych przez zamawiającego. System</w:t>
            </w:r>
            <w:r w:rsidR="006B33EB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 obsługiwać randomizację prostą, blokową oraz stratyfikację z randomizacją blokową dla określonych przez zamawiającego kategorii pacjentów.</w:t>
            </w:r>
          </w:p>
        </w:tc>
      </w:tr>
      <w:tr w:rsidR="00DB6CCA" w:rsidRPr="00686214" w14:paraId="158C1DDD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52D8460D" w14:textId="74AEB8A6" w:rsidR="00DB6CCA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51792"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4E0449B2" w14:textId="5510D4CF" w:rsidR="00DB6CCA" w:rsidRPr="00686214" w:rsidRDefault="00DB6CCA" w:rsidP="00E23792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</w:t>
            </w:r>
            <w:r w:rsidR="006B33EB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musi umożliwiać </w:t>
            </w:r>
            <w:r w:rsidR="00747B26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odwrócenie pseudonimizacji </w:t>
            </w: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wybranego pacjenta po spełnieniu kryteriów </w:t>
            </w:r>
            <w:r w:rsidR="00747B26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wrócenia pseudonimizacji w</w:t>
            </w: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opisach w protokole badania.</w:t>
            </w:r>
          </w:p>
        </w:tc>
      </w:tr>
      <w:tr w:rsidR="00DB6CCA" w:rsidRPr="00686214" w14:paraId="1493C506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20B9DDB0" w14:textId="7B2BD955" w:rsidR="00DB6CCA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51792" w:rsidRPr="006862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157A6C27" w14:textId="0BB98EA6" w:rsidR="00DB6CCA" w:rsidRPr="00686214" w:rsidRDefault="00DB6CCA" w:rsidP="00E23792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zmiany, przypisania uczestnika do wybranego protokołu.</w:t>
            </w:r>
          </w:p>
        </w:tc>
      </w:tr>
      <w:tr w:rsidR="00DB6CCA" w:rsidRPr="00686214" w14:paraId="1E182046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215A51F4" w14:textId="3E3FE23A" w:rsidR="00DB6CCA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51792" w:rsidRPr="006862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106D4A2" w14:textId="409AB369" w:rsidR="00DB6CCA" w:rsidRPr="00686214" w:rsidRDefault="00DB6CCA" w:rsidP="00E23792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Funkcjonalność dołączania zewnętrznych dokumentów do kartoteki uczestnika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formacie m.in. PDF, PNG, JGP (np. skan zgody na udział w badaniu)</w:t>
            </w:r>
            <w:r w:rsidR="005D15F0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DB6CCA" w:rsidRPr="00686214" w14:paraId="4D4F39BE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782B246A" w14:textId="495F5466" w:rsidR="00DB6CCA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51792" w:rsidRPr="006862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A20F477" w14:textId="71577088" w:rsidR="00DB6CCA" w:rsidRPr="00686214" w:rsidRDefault="00DB6CCA" w:rsidP="00E23792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kartoteki uczestnika musi być możliwość dodania dowolnej ilości danych opisowych zrealizowanych w formie dynamicznych formularzy.</w:t>
            </w:r>
          </w:p>
        </w:tc>
      </w:tr>
      <w:tr w:rsidR="00DB6CCA" w:rsidRPr="00686214" w14:paraId="28060DFD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2E516100" w14:textId="4A141394" w:rsidR="00DB6CCA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51792" w:rsidRPr="006862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0303133F" w14:textId="77090D57" w:rsidR="00DB6CCA" w:rsidRPr="00686214" w:rsidRDefault="00DB6CCA" w:rsidP="00E23792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eksportu wybranej wizyty lub usługi do pliku pdf.</w:t>
            </w:r>
          </w:p>
        </w:tc>
      </w:tr>
      <w:tr w:rsidR="00DB6CCA" w:rsidRPr="00686214" w14:paraId="58593C41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47AF4004" w14:textId="5418D1D0" w:rsidR="00DB6CCA" w:rsidRPr="00686214" w:rsidRDefault="00E45558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51792" w:rsidRPr="006862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937AF9F" w14:textId="27832039" w:rsidR="00DB6CCA" w:rsidRPr="00686214" w:rsidRDefault="00DB6CCA" w:rsidP="00E23792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 przeglądania kartoteki uczestnika możliwość podglądu wszystkich wykonanych uczestnikowi usług (posortowanych wg rodzaju usługi , np.. EKG, Badanie neurologiczne itd.</w:t>
            </w:r>
            <w:r w:rsidR="005F77A7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DB6CCA" w:rsidRPr="00686214" w14:paraId="6A038457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39A25588" w14:textId="045AAA03" w:rsidR="00DB6CCA" w:rsidRPr="00686214" w:rsidRDefault="00651792" w:rsidP="00E2379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E45558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53DA1763" w14:textId="7CFD8373" w:rsidR="00DB6CCA" w:rsidRPr="00686214" w:rsidRDefault="00DB6CCA" w:rsidP="00E23792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Funkcjonalność dodawania zdarzeń niepożądanych dla uczestnika zgodnie z klasyfikacją CTCAE i musi zawierać wszystkie wymagane w klasyfikacji kryteria (min.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MedDRA SOC, CTCAE Term, czy zdarzenie miało związek z zastosowaniem leczenia? czy spełnia kryteria </w:t>
            </w:r>
            <w:r w:rsidR="00747B26" w:rsidRPr="00686214">
              <w:rPr>
                <w:rFonts w:ascii="Times New Roman" w:hAnsi="Times New Roman" w:cs="Times New Roman"/>
                <w:sz w:val="20"/>
                <w:szCs w:val="20"/>
              </w:rPr>
              <w:t>ciężkiego zdarzenia niepożądanego (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SAE</w:t>
            </w:r>
            <w:r w:rsidR="00747B26" w:rsidRPr="006862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?, data rozpoczęcia + data zakończenia).</w:t>
            </w:r>
          </w:p>
          <w:p w14:paraId="462430A7" w14:textId="56B0B344" w:rsidR="00DB6CCA" w:rsidRPr="00686214" w:rsidRDefault="00DB6CCA" w:rsidP="00E23792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 zarejestrowaniu zdarzenia niepożądanego wysyłana musi być automatycznie  informacja do  głównego badacza. </w:t>
            </w:r>
          </w:p>
          <w:p w14:paraId="23B8222B" w14:textId="15DF0EA6" w:rsidR="00DB6CCA" w:rsidRPr="00686214" w:rsidRDefault="00DB6CCA" w:rsidP="00E2379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dodania do kartoteki uczestnika formularza SAE (do którego powinny się automatycznie zaciągnąć dane z systemu), jego wypełnienia i wysłania do wybranych </w:t>
            </w:r>
            <w:r w:rsidR="00FD6676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użytkowników</w:t>
            </w:r>
            <w:r w:rsidR="005D15F0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 </w:t>
            </w:r>
          </w:p>
        </w:tc>
      </w:tr>
      <w:tr w:rsidR="00E073BF" w:rsidRPr="00686214" w14:paraId="1F86E554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03667DFE" w14:textId="7FE690C9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51792" w:rsidRPr="00686214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4718" w:type="pct"/>
            <w:gridSpan w:val="2"/>
          </w:tcPr>
          <w:p w14:paraId="0DFC34EB" w14:textId="671BB9EC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Dodawanie tagów/znaczników do usług, zgodnie z ustalonym zestawem symboli (np. notatka, ostrzeżenie, podwójne finansowanie) oraz dodawanie notatek o dowolnej treści.</w:t>
            </w:r>
          </w:p>
        </w:tc>
      </w:tr>
      <w:tr w:rsidR="00E073BF" w:rsidRPr="00686214" w14:paraId="04DA0941" w14:textId="77777777" w:rsidTr="00A16B9F">
        <w:trPr>
          <w:cantSplit/>
          <w:trHeight w:val="25"/>
        </w:trPr>
        <w:tc>
          <w:tcPr>
            <w:tcW w:w="282" w:type="pct"/>
            <w:shd w:val="clear" w:color="auto" w:fill="00B0F0"/>
            <w:noWrap/>
          </w:tcPr>
          <w:p w14:paraId="523785D4" w14:textId="00637CDF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18" w:type="pct"/>
            <w:gridSpan w:val="2"/>
            <w:shd w:val="clear" w:color="auto" w:fill="00B0F0"/>
          </w:tcPr>
          <w:p w14:paraId="15269976" w14:textId="69181615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Moduł tworzenia dynamicznych formularzy</w:t>
            </w:r>
            <w:r w:rsidRPr="00686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ab/>
            </w:r>
          </w:p>
        </w:tc>
      </w:tr>
      <w:tr w:rsidR="00E073BF" w:rsidRPr="00686214" w14:paraId="4566B90F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6196DD5A" w14:textId="0C434D26" w:rsidR="00E073BF" w:rsidRPr="00686214" w:rsidRDefault="00E073BF" w:rsidP="00E073BF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  <w:p w14:paraId="79A6786E" w14:textId="73B6B051" w:rsidR="00E073BF" w:rsidRPr="00686214" w:rsidRDefault="00E073BF" w:rsidP="00E073BF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8" w:type="pct"/>
            <w:gridSpan w:val="2"/>
          </w:tcPr>
          <w:p w14:paraId="232998AA" w14:textId="77777777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 zapewnić pełną elastyczność narzędzia w zakresie formy zbierania danych oraz łatwość modyfikowania formularzy w trakcie trwania projektu.</w:t>
            </w:r>
          </w:p>
          <w:p w14:paraId="0267063B" w14:textId="6043C6AC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zapewni wykorzystanie funkcji budowania formularzy zarówno w module eCRF jak i finansowym, terminarza oraz monitorowania.</w:t>
            </w:r>
          </w:p>
        </w:tc>
      </w:tr>
      <w:tr w:rsidR="00E073BF" w:rsidRPr="00686214" w14:paraId="0A46E1FA" w14:textId="77777777" w:rsidTr="00A16B9F">
        <w:trPr>
          <w:cantSplit/>
          <w:trHeight w:val="25"/>
        </w:trPr>
        <w:tc>
          <w:tcPr>
            <w:tcW w:w="282" w:type="pct"/>
            <w:noWrap/>
          </w:tcPr>
          <w:p w14:paraId="0F312D98" w14:textId="57D2FB54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18" w:type="pct"/>
            <w:gridSpan w:val="2"/>
          </w:tcPr>
          <w:p w14:paraId="249D212C" w14:textId="496AF2F8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Tworzenie dowolnej liczby formularzy za pomocą metody drag &amp; drop. Utworzone formularze powinny być do użytku w całym systemie do gromadzenia danych o uczestniku, usługach i zdarzeniach związanych z badaniem.</w:t>
            </w:r>
          </w:p>
          <w:p w14:paraId="7901E4C1" w14:textId="77777777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System musi być tak skonstruowany, aby wszystkie dane były wprowadzane do systemu z użyciem formularzy definiowanych w graficznym interfejsie użytkownika. </w:t>
            </w:r>
          </w:p>
          <w:p w14:paraId="6CAED5A4" w14:textId="0101E960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Użytkownik musi mieć możliwość zdefiniowania struktury zbieranych danych w pełni zgodną z protokołem danego badania, bez znajomości zaawansowanych narzędzi programistycznych</w:t>
            </w:r>
          </w:p>
        </w:tc>
      </w:tr>
      <w:tr w:rsidR="00E073BF" w:rsidRPr="00686214" w14:paraId="31A626F4" w14:textId="77777777" w:rsidTr="00A16B9F">
        <w:trPr>
          <w:cantSplit/>
          <w:trHeight w:val="25"/>
        </w:trPr>
        <w:tc>
          <w:tcPr>
            <w:tcW w:w="291" w:type="pct"/>
            <w:gridSpan w:val="2"/>
            <w:noWrap/>
          </w:tcPr>
          <w:p w14:paraId="32330902" w14:textId="747376D3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709" w:type="pct"/>
          </w:tcPr>
          <w:p w14:paraId="4E311F01" w14:textId="735CB8E8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 tworzenia lub modyfikacji danego formularza za pomocą kreatora w GUI użytkownik powinien mieć możliwość wykorzystania predefiniowanych, konfigurowalnych typy atrybutów w zakresie min:</w:t>
            </w:r>
          </w:p>
          <w:p w14:paraId="4D7F4453" w14:textId="77777777" w:rsidR="00E073BF" w:rsidRPr="00686214" w:rsidRDefault="00E073BF" w:rsidP="00E073B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Pole tekstowe jednowierszowe – atrybut umożlwiający konstruowanie pytań w których odpowiedzią zazwyczaj jest krótki tekst,</w:t>
            </w:r>
          </w:p>
          <w:p w14:paraId="266D11A0" w14:textId="77777777" w:rsidR="00E073BF" w:rsidRPr="00686214" w:rsidRDefault="00E073BF" w:rsidP="00E073B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Pole tekstowe wielowierszowe – atrybut umożlwiający konstruowanie pytań w których odpowiedzią jest dłuższy opis,</w:t>
            </w:r>
          </w:p>
          <w:p w14:paraId="4149E910" w14:textId="44BCE3BA" w:rsidR="00E073BF" w:rsidRPr="00686214" w:rsidRDefault="00E073BF" w:rsidP="00E073B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Tekst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B7EDEA8" w14:textId="4D22A2DF" w:rsidR="00E073BF" w:rsidRPr="00686214" w:rsidRDefault="00E073BF" w:rsidP="00E073B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Sekcja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30B6AF" w14:textId="77777777" w:rsidR="00E073BF" w:rsidRPr="00686214" w:rsidRDefault="00E073BF" w:rsidP="00E073B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Pole liczbowe – atrybut dedykowany do wprowadzania wartości liczbowych, wyposażony w odpowiednie walidatory i formatowanie,</w:t>
            </w:r>
          </w:p>
          <w:p w14:paraId="30DD47BE" w14:textId="5E0C7C0F" w:rsidR="00E073BF" w:rsidRPr="00686214" w:rsidRDefault="00E073BF" w:rsidP="00E073B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Pole logiczne – atrybut dedykowany dla odpowiedzi TAK/NIE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161AA4" w14:textId="77777777" w:rsidR="00E073BF" w:rsidRPr="00686214" w:rsidRDefault="00E073BF" w:rsidP="00E073B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Słownik jednokrotnego wyboru – atrybut umożliwiający wybór jednej wartości spośród wszystkich zdefiniowanych w danym słowniku,</w:t>
            </w:r>
          </w:p>
          <w:p w14:paraId="4F08DE84" w14:textId="77777777" w:rsidR="00E073BF" w:rsidRPr="00686214" w:rsidRDefault="00E073BF" w:rsidP="00E073B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Słownik wielokrotnego wyboru - atrybut umożliwiający wybór wielu wartości spośród wszystkich zdefiniowanych w danym słowniku,</w:t>
            </w:r>
          </w:p>
          <w:p w14:paraId="224D5F19" w14:textId="77777777" w:rsidR="00E073BF" w:rsidRPr="00686214" w:rsidRDefault="00E073BF" w:rsidP="00E073B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Pole daty – atrybut wyposażony w zintegrowany selektor daty z kalendarza,</w:t>
            </w:r>
          </w:p>
          <w:p w14:paraId="0D460033" w14:textId="77777777" w:rsidR="00E073BF" w:rsidRPr="00686214" w:rsidRDefault="00E073BF" w:rsidP="00E073B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Pole wgrywania plików – atrybut umożliwiający przesyłanie za pomocą formularza plików z dysku użytkownika,</w:t>
            </w:r>
          </w:p>
          <w:p w14:paraId="51826E42" w14:textId="77777777" w:rsidR="00E073BF" w:rsidRPr="00686214" w:rsidRDefault="00E073BF" w:rsidP="00E073BF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Grafika – atrybut umożlwiający osadzenie w formularzu dowolnej grafiki.</w:t>
            </w:r>
          </w:p>
          <w:p w14:paraId="6AED6E1C" w14:textId="4EB4E916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Atrybuty umieszczane muszą być w definicji formularza za pomocą metody drag &amp; drop. Musi być możliwość ich układania w dowolnej pozycji na siatce formularza.</w:t>
            </w:r>
          </w:p>
        </w:tc>
      </w:tr>
      <w:tr w:rsidR="00E073BF" w:rsidRPr="00686214" w14:paraId="26648F03" w14:textId="77777777" w:rsidTr="00A16B9F">
        <w:trPr>
          <w:cantSplit/>
          <w:trHeight w:val="25"/>
        </w:trPr>
        <w:tc>
          <w:tcPr>
            <w:tcW w:w="291" w:type="pct"/>
            <w:gridSpan w:val="2"/>
            <w:noWrap/>
          </w:tcPr>
          <w:p w14:paraId="58A65E37" w14:textId="6CE577C4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09" w:type="pct"/>
          </w:tcPr>
          <w:p w14:paraId="7ACF1E5C" w14:textId="49BD0229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Zapewnienie dla każdego atrybutu zdefiniowania min.:</w:t>
            </w:r>
          </w:p>
          <w:p w14:paraId="76CCA492" w14:textId="60B507EF" w:rsidR="00E073BF" w:rsidRPr="00686214" w:rsidRDefault="00E073BF" w:rsidP="00E073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Nazwy atrybutu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D261E9" w14:textId="4AF5A046" w:rsidR="00E073BF" w:rsidRPr="00686214" w:rsidRDefault="00E073BF" w:rsidP="00E073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Kodu atrybutu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02FEA3" w14:textId="418C0098" w:rsidR="00E073BF" w:rsidRPr="00686214" w:rsidRDefault="00E073BF" w:rsidP="00E073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Etykiety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2EF88A2" w14:textId="5D3FFFAF" w:rsidR="00E073BF" w:rsidRPr="00686214" w:rsidRDefault="00E073BF" w:rsidP="00E073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Atrybutu nadrzędnego (rodzica)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A598B64" w14:textId="0C13F86C" w:rsidR="00E073BF" w:rsidRPr="00686214" w:rsidRDefault="00E073BF" w:rsidP="00E073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Wyrównania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8453B50" w14:textId="060B69A0" w:rsidR="00E073BF" w:rsidRPr="00686214" w:rsidRDefault="00E073BF" w:rsidP="00E073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Pozycji w pionie i poziomie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0170EA" w14:textId="30D1AF94" w:rsidR="00E073BF" w:rsidRPr="00686214" w:rsidRDefault="00E073BF" w:rsidP="00E073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Marginesów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55766F" w14:textId="6E72908C" w:rsidR="00E073BF" w:rsidRPr="00686214" w:rsidRDefault="00E073BF" w:rsidP="00E073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Rozmiaru czcionki tekstów w atrybucie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17952A7" w14:textId="69FADFD0" w:rsidR="00E073BF" w:rsidRPr="00686214" w:rsidRDefault="00E073BF" w:rsidP="00E073BF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Pozycji etykiety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73BF" w:rsidRPr="00686214" w14:paraId="7D6B7FAB" w14:textId="77777777" w:rsidTr="00A16B9F">
        <w:trPr>
          <w:cantSplit/>
          <w:trHeight w:val="4946"/>
        </w:trPr>
        <w:tc>
          <w:tcPr>
            <w:tcW w:w="291" w:type="pct"/>
            <w:gridSpan w:val="2"/>
            <w:noWrap/>
          </w:tcPr>
          <w:p w14:paraId="64E4804D" w14:textId="3D516D51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09" w:type="pct"/>
          </w:tcPr>
          <w:p w14:paraId="1F43C4F3" w14:textId="77777777" w:rsidR="00E073BF" w:rsidRPr="00686214" w:rsidRDefault="00E073BF" w:rsidP="00E073BF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Podczas projektowania formularza musi być możliwość: </w:t>
            </w:r>
          </w:p>
          <w:p w14:paraId="530A9BA9" w14:textId="4D5404AB" w:rsidR="00E073BF" w:rsidRPr="00686214" w:rsidRDefault="00E073BF" w:rsidP="00E073BF">
            <w:pPr>
              <w:pStyle w:val="Bezodstpw"/>
              <w:numPr>
                <w:ilvl w:val="0"/>
                <w:numId w:val="17"/>
              </w:numPr>
              <w:ind w:left="35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definiowania walidatorów dla wprowadzanych wartości. Minimalny zestaw walidatorów:</w:t>
            </w:r>
          </w:p>
          <w:p w14:paraId="19CC4A88" w14:textId="670ED01E" w:rsidR="00E073BF" w:rsidRPr="00686214" w:rsidRDefault="00E073BF" w:rsidP="00E073BF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Maksymalna liczba znaków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D6BF2E" w14:textId="34D4325E" w:rsidR="00E073BF" w:rsidRPr="00686214" w:rsidRDefault="00E073BF" w:rsidP="00E073BF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Minimalna liczba znaków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712AB0" w14:textId="14288FBB" w:rsidR="00E073BF" w:rsidRPr="00686214" w:rsidRDefault="00E073BF" w:rsidP="00E073BF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Maksymalna wartość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97FA01D" w14:textId="684597C5" w:rsidR="00E073BF" w:rsidRPr="00686214" w:rsidRDefault="00E073BF" w:rsidP="00E073BF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Minimalna wartość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3D97C94" w14:textId="6DE2434A" w:rsidR="00E073BF" w:rsidRPr="00686214" w:rsidRDefault="00E073BF" w:rsidP="00E073BF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Pole wymagane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9E43467" w14:textId="77777777" w:rsidR="00E073BF" w:rsidRPr="00686214" w:rsidRDefault="00E073BF" w:rsidP="00E073BF">
            <w:pPr>
              <w:pStyle w:val="Bezodstpw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Walidacja pola PESEL.</w:t>
            </w:r>
          </w:p>
          <w:p w14:paraId="25408C4A" w14:textId="01EF7481" w:rsidR="00E073BF" w:rsidRPr="00686214" w:rsidRDefault="00E073BF" w:rsidP="00E073BF">
            <w:pPr>
              <w:pStyle w:val="Akapitzlist"/>
              <w:numPr>
                <w:ilvl w:val="0"/>
                <w:numId w:val="17"/>
              </w:numPr>
              <w:ind w:left="351" w:hanging="35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zdefiniowania warunków logicznych miedzy poszczególnymi atrybutami w formularzu. Możliwe jest dzięki temu wprowadzenie interakcji pomiędzy aktywnością poszczególnych atrybutów w zależności od wartości wprowadzonych w innych atrybutach danego formularza (przykład: jeżeli pytanie „Czy pacjent pali papierosy?” posiada odpowiedź TAK, wyświetl atrybut z polem liczbowym i pytaniem „Od ilu lat?”).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musi obsługiwać następujące reguły:</w:t>
            </w:r>
          </w:p>
          <w:p w14:paraId="3852BC3D" w14:textId="685E31E5" w:rsidR="00E073BF" w:rsidRPr="00686214" w:rsidRDefault="00E073BF" w:rsidP="00E073BF">
            <w:pPr>
              <w:pStyle w:val="Akapitzlist"/>
              <w:numPr>
                <w:ilvl w:val="0"/>
                <w:numId w:val="18"/>
              </w:numPr>
              <w:ind w:left="1059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wartość atrybutu równa…</w:t>
            </w:r>
            <w:r w:rsidR="005D15F0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90C4354" w14:textId="54BAE5CA" w:rsidR="00E073BF" w:rsidRPr="00686214" w:rsidRDefault="00E073BF" w:rsidP="00E073BF">
            <w:pPr>
              <w:pStyle w:val="Akapitzlist"/>
              <w:numPr>
                <w:ilvl w:val="0"/>
                <w:numId w:val="18"/>
              </w:numPr>
              <w:ind w:left="1059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wartość atrybutu większa…</w:t>
            </w:r>
            <w:r w:rsidR="005D15F0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67FDF2F" w14:textId="1C86FE08" w:rsidR="00E073BF" w:rsidRPr="00686214" w:rsidRDefault="00E073BF" w:rsidP="00E073BF">
            <w:pPr>
              <w:pStyle w:val="Akapitzlist"/>
              <w:numPr>
                <w:ilvl w:val="0"/>
                <w:numId w:val="18"/>
              </w:numPr>
              <w:ind w:left="1059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wartość atrybutu większa lub równa…</w:t>
            </w:r>
            <w:r w:rsidR="005D15F0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2A1D69B" w14:textId="45F9E0E4" w:rsidR="00E073BF" w:rsidRPr="00686214" w:rsidRDefault="00E073BF" w:rsidP="00E073BF">
            <w:pPr>
              <w:pStyle w:val="Akapitzlist"/>
              <w:numPr>
                <w:ilvl w:val="0"/>
                <w:numId w:val="18"/>
              </w:numPr>
              <w:ind w:left="1059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wartość atrybutu mniejsza…</w:t>
            </w:r>
            <w:r w:rsidR="005D15F0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05B2CB8F" w14:textId="6CF90649" w:rsidR="00E073BF" w:rsidRPr="00686214" w:rsidRDefault="00E073BF" w:rsidP="00E073BF">
            <w:pPr>
              <w:pStyle w:val="Akapitzlist"/>
              <w:numPr>
                <w:ilvl w:val="0"/>
                <w:numId w:val="18"/>
              </w:numPr>
              <w:ind w:left="1059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wartość atrybutu mniejsza lub równa…</w:t>
            </w:r>
            <w:r w:rsidR="005D15F0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737D8DC" w14:textId="00AD11BC" w:rsidR="00E073BF" w:rsidRPr="00686214" w:rsidRDefault="00E073BF" w:rsidP="00E073BF">
            <w:pPr>
              <w:pStyle w:val="Akapitzlist"/>
              <w:numPr>
                <w:ilvl w:val="0"/>
                <w:numId w:val="18"/>
              </w:numPr>
              <w:ind w:left="1059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wartość atrybutu pusta…</w:t>
            </w:r>
            <w:r w:rsidR="005D15F0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2BB1D13" w14:textId="0A8E1039" w:rsidR="00E073BF" w:rsidRPr="00686214" w:rsidRDefault="00E073BF" w:rsidP="00E073BF">
            <w:pPr>
              <w:pStyle w:val="Akapitzlist"/>
              <w:numPr>
                <w:ilvl w:val="0"/>
                <w:numId w:val="18"/>
              </w:numPr>
              <w:ind w:left="1059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wartość atrybutu niepusta…</w:t>
            </w:r>
            <w:r w:rsidR="005D15F0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D1AEFBA" w14:textId="275D5DE3" w:rsidR="00E073BF" w:rsidRPr="00686214" w:rsidRDefault="00E073BF" w:rsidP="00E073BF">
            <w:pPr>
              <w:pStyle w:val="Akapitzlist"/>
              <w:numPr>
                <w:ilvl w:val="0"/>
                <w:numId w:val="17"/>
              </w:numPr>
              <w:ind w:left="35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zdefiniowanie typowych wartości dla poszczególnych atrybutów formularza (edit checks). Podczas definicji reguły dla atrybutu możliwość określenia warunku oraz komunikatu jaki będzie w systemie wyświetlony, gdy wartość atrybutu wykroczy poza określoną normę.</w:t>
            </w:r>
          </w:p>
        </w:tc>
      </w:tr>
      <w:tr w:rsidR="00E073BF" w:rsidRPr="00686214" w14:paraId="6C1A7462" w14:textId="77777777" w:rsidTr="00A16B9F">
        <w:trPr>
          <w:cantSplit/>
          <w:trHeight w:val="25"/>
        </w:trPr>
        <w:tc>
          <w:tcPr>
            <w:tcW w:w="291" w:type="pct"/>
            <w:gridSpan w:val="2"/>
            <w:noWrap/>
          </w:tcPr>
          <w:p w14:paraId="504560D2" w14:textId="1F8C0DA1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709" w:type="pct"/>
          </w:tcPr>
          <w:p w14:paraId="10A02E3C" w14:textId="513BFFE2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modyfikacji definicji formularza z zachowaniem pełnej zgodności danych ze starszymi rewizjami danego formularza.</w:t>
            </w:r>
          </w:p>
        </w:tc>
      </w:tr>
      <w:tr w:rsidR="00E073BF" w:rsidRPr="00686214" w14:paraId="2A38CC79" w14:textId="77777777" w:rsidTr="00A16B9F">
        <w:trPr>
          <w:cantSplit/>
          <w:trHeight w:val="25"/>
        </w:trPr>
        <w:tc>
          <w:tcPr>
            <w:tcW w:w="291" w:type="pct"/>
            <w:gridSpan w:val="2"/>
            <w:noWrap/>
          </w:tcPr>
          <w:p w14:paraId="4AF0A8C7" w14:textId="44DC9064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4709" w:type="pct"/>
          </w:tcPr>
          <w:p w14:paraId="0D87B509" w14:textId="6C78F632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Modyfikacja definicji dowolnego formularza musi być możliwa za pomocą interfejsu graficznego aplikacji. Po zatwierdzeniu zmodyfikowanej definicji formularza zmiany są automatycznie dostępne dla wszystkich użytkowników wprowadzających dane za pomocą formularza.</w:t>
            </w:r>
          </w:p>
        </w:tc>
      </w:tr>
      <w:tr w:rsidR="00E073BF" w:rsidRPr="00686214" w14:paraId="210D085F" w14:textId="77777777" w:rsidTr="00A16B9F">
        <w:trPr>
          <w:cantSplit/>
          <w:trHeight w:val="356"/>
        </w:trPr>
        <w:tc>
          <w:tcPr>
            <w:tcW w:w="5000" w:type="pct"/>
            <w:gridSpan w:val="3"/>
            <w:shd w:val="clear" w:color="auto" w:fill="00B0F0"/>
            <w:noWrap/>
          </w:tcPr>
          <w:p w14:paraId="4C02C359" w14:textId="287356BB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Moduł Budżetowania</w:t>
            </w:r>
          </w:p>
        </w:tc>
      </w:tr>
      <w:tr w:rsidR="00E073BF" w:rsidRPr="00686214" w14:paraId="5711C2B4" w14:textId="77777777" w:rsidTr="00A16B9F">
        <w:trPr>
          <w:cantSplit/>
          <w:trHeight w:val="184"/>
        </w:trPr>
        <w:tc>
          <w:tcPr>
            <w:tcW w:w="291" w:type="pct"/>
            <w:gridSpan w:val="2"/>
            <w:noWrap/>
          </w:tcPr>
          <w:p w14:paraId="0C06F297" w14:textId="05D5A52F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09" w:type="pct"/>
          </w:tcPr>
          <w:p w14:paraId="019548AD" w14:textId="09F9DBE4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sporządzania kalkulacji kosztów przeprowadzenia badania klinicznego z uwzględnieniem schematu wizyt,  procedur medycznych, kosztów administracyjnych w oparciu o cenniki zawartych umów z Konsorcjantami, Podwykonawcami, Partnerami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73BF" w:rsidRPr="00686214" w14:paraId="4F161AE7" w14:textId="77777777" w:rsidTr="00A16B9F">
        <w:trPr>
          <w:cantSplit/>
          <w:trHeight w:val="184"/>
        </w:trPr>
        <w:tc>
          <w:tcPr>
            <w:tcW w:w="291" w:type="pct"/>
            <w:gridSpan w:val="2"/>
            <w:noWrap/>
          </w:tcPr>
          <w:p w14:paraId="0D9F5A86" w14:textId="7B23B1A1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09" w:type="pct"/>
          </w:tcPr>
          <w:p w14:paraId="35606BD8" w14:textId="44AE9570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podpinania zewnętrznych cenników np. w formie plików xls itp., Wykonawca przygotuje szablon takiego cennika aby zapewnić bezkolizyjny import danych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73BF" w:rsidRPr="00686214" w14:paraId="78CC4A39" w14:textId="77777777" w:rsidTr="00A16B9F">
        <w:trPr>
          <w:cantSplit/>
          <w:trHeight w:val="182"/>
        </w:trPr>
        <w:tc>
          <w:tcPr>
            <w:tcW w:w="291" w:type="pct"/>
            <w:gridSpan w:val="2"/>
            <w:noWrap/>
          </w:tcPr>
          <w:p w14:paraId="5F675386" w14:textId="1313E5AC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09" w:type="pct"/>
          </w:tcPr>
          <w:p w14:paraId="19FC22B5" w14:textId="77777777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Funkcjonalność definiowania wewnętrznych cenników usług, identyfikowanych przez kody ICD lub własne usługi niepołączone z ICD.</w:t>
            </w:r>
          </w:p>
        </w:tc>
      </w:tr>
      <w:tr w:rsidR="00E073BF" w:rsidRPr="00686214" w14:paraId="3D815418" w14:textId="77777777" w:rsidTr="00A16B9F">
        <w:trPr>
          <w:cantSplit/>
          <w:trHeight w:val="182"/>
        </w:trPr>
        <w:tc>
          <w:tcPr>
            <w:tcW w:w="291" w:type="pct"/>
            <w:gridSpan w:val="2"/>
            <w:noWrap/>
          </w:tcPr>
          <w:p w14:paraId="5048700E" w14:textId="3230A3CB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09" w:type="pct"/>
          </w:tcPr>
          <w:p w14:paraId="05FFB2F7" w14:textId="77777777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Moduł umożliwia grupowanie procedur wraz z wycenami, w celu tworzenia kosztorysu przyszłego badania.</w:t>
            </w:r>
          </w:p>
        </w:tc>
      </w:tr>
      <w:tr w:rsidR="00E073BF" w:rsidRPr="00686214" w14:paraId="1A554C37" w14:textId="77777777" w:rsidTr="00A16B9F">
        <w:trPr>
          <w:cantSplit/>
          <w:trHeight w:val="369"/>
        </w:trPr>
        <w:tc>
          <w:tcPr>
            <w:tcW w:w="291" w:type="pct"/>
            <w:gridSpan w:val="2"/>
            <w:noWrap/>
          </w:tcPr>
          <w:p w14:paraId="2583F68F" w14:textId="512234E0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09" w:type="pct"/>
          </w:tcPr>
          <w:p w14:paraId="52969D9F" w14:textId="77777777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Moduł posiada funkcjonalność analizy zyskowności przyszłych badań, pozwalającą na przeprowadzenie symulacji kosztów po uwzględnieniu:</w:t>
            </w:r>
          </w:p>
          <w:p w14:paraId="7729B626" w14:textId="77777777" w:rsidR="00E073BF" w:rsidRPr="00686214" w:rsidRDefault="00E073BF" w:rsidP="0081494D">
            <w:pPr>
              <w:pStyle w:val="Akapitzlist"/>
              <w:numPr>
                <w:ilvl w:val="0"/>
                <w:numId w:val="23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Wyceny usług zaproponowanej przez sponsora;</w:t>
            </w:r>
          </w:p>
          <w:p w14:paraId="163DC465" w14:textId="4955E1E3" w:rsidR="00E073BF" w:rsidRPr="00686214" w:rsidRDefault="00E073BF" w:rsidP="0081494D">
            <w:pPr>
              <w:pStyle w:val="Akapitzlist"/>
              <w:numPr>
                <w:ilvl w:val="0"/>
                <w:numId w:val="23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Wewnętrznych cenników usług, zdefiniowanych przez CWBK;</w:t>
            </w:r>
          </w:p>
          <w:p w14:paraId="5AA42271" w14:textId="49079CD3" w:rsidR="00E073BF" w:rsidRPr="00686214" w:rsidRDefault="00E073BF" w:rsidP="0081494D">
            <w:pPr>
              <w:pStyle w:val="Akapitzlist"/>
              <w:numPr>
                <w:ilvl w:val="0"/>
                <w:numId w:val="23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Kosztów stałych, ponoszonych przez CWBK , zdefiniowanych w systemie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65CA3B64" w14:textId="071113A8" w:rsidR="00E073BF" w:rsidRPr="00686214" w:rsidRDefault="00E073BF" w:rsidP="0081494D">
            <w:pPr>
              <w:pStyle w:val="Akapitzlist"/>
              <w:numPr>
                <w:ilvl w:val="0"/>
                <w:numId w:val="23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Prawdopodobieństwa rekrutacji określonej liczby pacjentów do badania klinicznego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73BF" w:rsidRPr="00686214" w14:paraId="3457A080" w14:textId="77777777" w:rsidTr="00A16B9F">
        <w:trPr>
          <w:cantSplit/>
          <w:trHeight w:val="367"/>
        </w:trPr>
        <w:tc>
          <w:tcPr>
            <w:tcW w:w="291" w:type="pct"/>
            <w:gridSpan w:val="2"/>
            <w:noWrap/>
          </w:tcPr>
          <w:p w14:paraId="55598823" w14:textId="1E214D85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709" w:type="pct"/>
          </w:tcPr>
          <w:p w14:paraId="66C87C5B" w14:textId="53E788A2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zapisywania wyników symulacji wraz z parametrami danej symulacji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73BF" w:rsidRPr="00686214" w14:paraId="6B4F47F6" w14:textId="77777777" w:rsidTr="00A16B9F">
        <w:trPr>
          <w:cantSplit/>
          <w:trHeight w:val="367"/>
        </w:trPr>
        <w:tc>
          <w:tcPr>
            <w:tcW w:w="291" w:type="pct"/>
            <w:gridSpan w:val="2"/>
            <w:noWrap/>
          </w:tcPr>
          <w:p w14:paraId="20B5287E" w14:textId="7EFB6EA3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709" w:type="pct"/>
          </w:tcPr>
          <w:p w14:paraId="60DF2304" w14:textId="77777777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porównywania wykonanych symulacji zyskowności oraz wizualizacja danych na wykresach.</w:t>
            </w:r>
          </w:p>
        </w:tc>
      </w:tr>
      <w:tr w:rsidR="00E073BF" w:rsidRPr="00686214" w14:paraId="6FB46B95" w14:textId="77777777" w:rsidTr="00A16B9F">
        <w:trPr>
          <w:cantSplit/>
          <w:trHeight w:val="362"/>
        </w:trPr>
        <w:tc>
          <w:tcPr>
            <w:tcW w:w="5000" w:type="pct"/>
            <w:gridSpan w:val="3"/>
            <w:shd w:val="clear" w:color="auto" w:fill="00B0F0"/>
            <w:noWrap/>
          </w:tcPr>
          <w:p w14:paraId="1B1AD6F0" w14:textId="39070C36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Moduł Protokołu Badania  </w:t>
            </w:r>
          </w:p>
        </w:tc>
      </w:tr>
      <w:tr w:rsidR="00E073BF" w:rsidRPr="00686214" w14:paraId="0535CC54" w14:textId="77777777" w:rsidTr="00A16B9F">
        <w:trPr>
          <w:cantSplit/>
          <w:trHeight w:val="194"/>
        </w:trPr>
        <w:tc>
          <w:tcPr>
            <w:tcW w:w="282" w:type="pct"/>
            <w:shd w:val="clear" w:color="auto" w:fill="FFFFFF" w:themeFill="background1"/>
            <w:noWrap/>
          </w:tcPr>
          <w:p w14:paraId="77902E62" w14:textId="14F0802A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18" w:type="pct"/>
            <w:gridSpan w:val="2"/>
            <w:shd w:val="clear" w:color="auto" w:fill="FFFFFF" w:themeFill="background1"/>
          </w:tcPr>
          <w:p w14:paraId="7EE729A6" w14:textId="7B13E7AE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Narzędzie pozwalające na tworzenie schematów wizyt dla nowych badań klinicznych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73BF" w:rsidRPr="00686214" w14:paraId="4F2F0500" w14:textId="77777777" w:rsidTr="00A16B9F">
        <w:trPr>
          <w:cantSplit/>
          <w:trHeight w:val="193"/>
        </w:trPr>
        <w:tc>
          <w:tcPr>
            <w:tcW w:w="282" w:type="pct"/>
            <w:shd w:val="clear" w:color="auto" w:fill="FFFFFF" w:themeFill="background1"/>
            <w:noWrap/>
          </w:tcPr>
          <w:p w14:paraId="4CF7E3B9" w14:textId="7D810CBE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18" w:type="pct"/>
            <w:gridSpan w:val="2"/>
            <w:shd w:val="clear" w:color="auto" w:fill="FFFFFF" w:themeFill="background1"/>
          </w:tcPr>
          <w:p w14:paraId="5CE819B4" w14:textId="5A573937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Narzędzie pozwalające na tworzenie protokołu badania klinicznego poprzez uzupełnienie danych oraz korzystanie ze słowników.</w:t>
            </w:r>
          </w:p>
        </w:tc>
      </w:tr>
      <w:tr w:rsidR="00E073BF" w:rsidRPr="00686214" w14:paraId="269F2A9E" w14:textId="77777777" w:rsidTr="00A16B9F">
        <w:trPr>
          <w:cantSplit/>
          <w:trHeight w:val="193"/>
        </w:trPr>
        <w:tc>
          <w:tcPr>
            <w:tcW w:w="282" w:type="pct"/>
            <w:shd w:val="clear" w:color="auto" w:fill="FFFFFF" w:themeFill="background1"/>
            <w:noWrap/>
          </w:tcPr>
          <w:p w14:paraId="59DFBF71" w14:textId="617BC2F1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18" w:type="pct"/>
            <w:gridSpan w:val="2"/>
            <w:shd w:val="clear" w:color="auto" w:fill="FFFFFF" w:themeFill="background1"/>
          </w:tcPr>
          <w:p w14:paraId="77C04836" w14:textId="38108D72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Funkcjonalność definiowania i edycji  protokołu badania poprzez graficzny interfejs użytkownika.</w:t>
            </w:r>
          </w:p>
        </w:tc>
      </w:tr>
      <w:tr w:rsidR="00E073BF" w:rsidRPr="00686214" w14:paraId="59F9AF32" w14:textId="77777777" w:rsidTr="00A16B9F">
        <w:trPr>
          <w:cantSplit/>
          <w:trHeight w:val="367"/>
        </w:trPr>
        <w:tc>
          <w:tcPr>
            <w:tcW w:w="282" w:type="pct"/>
            <w:shd w:val="clear" w:color="auto" w:fill="FFFFFF" w:themeFill="background1"/>
            <w:noWrap/>
          </w:tcPr>
          <w:p w14:paraId="55CAEE7B" w14:textId="225681ED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18" w:type="pct"/>
            <w:gridSpan w:val="2"/>
            <w:shd w:val="clear" w:color="auto" w:fill="FFFFFF" w:themeFill="background1"/>
          </w:tcPr>
          <w:p w14:paraId="5C22B754" w14:textId="7A39A250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Minimalny zakres  danych to (szczegółowo definiowane na etapie wykonawczym):</w:t>
            </w:r>
          </w:p>
          <w:p w14:paraId="3AE0068E" w14:textId="5DE8EE7C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Informacje ogólne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F6844C9" w14:textId="1569C98F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Podstawy teoretyczne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E23ACA3" w14:textId="444AE906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Uzasadnienie i cel badania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A2A5FB" w14:textId="68AAE9FE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Plan badania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C673F0" w14:textId="7783644B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Dobór uczestników badania i zasady ich wyłączania z badania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B5A8B4B" w14:textId="5965512E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B9E6C34" w14:textId="56AAD519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Ocena skuteczności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7A9C3F4" w14:textId="097A1985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Ocena bezpieczeństwa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6CF6944" w14:textId="09DBD2C4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Statystyka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E0638D6" w14:textId="2506980C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Bezpośredni dostęp do danych i dokumentów źródłowych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FBF2921" w14:textId="4C49A2C7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Zapewnienie jakości i jej kontrola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99CA75" w14:textId="5B7E1301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Etyka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DF89A89" w14:textId="61D4B453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Zbieranie, przechowywanie i analiza danych; przechowywanie dokumentacji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54D3DCF" w14:textId="5B732634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Finansowanie i ubezpieczenie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48DEFA" w14:textId="4722DB3E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Zasady publikacji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2BBCDF" w14:textId="530B2D02" w:rsidR="00E073BF" w:rsidRPr="00686214" w:rsidRDefault="00E073BF" w:rsidP="0081494D">
            <w:pPr>
              <w:pStyle w:val="Akapitzlist"/>
              <w:numPr>
                <w:ilvl w:val="0"/>
                <w:numId w:val="25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Uzupełnienia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73BF" w:rsidRPr="00686214" w14:paraId="6804897A" w14:textId="77777777" w:rsidTr="00A16B9F">
        <w:trPr>
          <w:cantSplit/>
          <w:trHeight w:val="356"/>
        </w:trPr>
        <w:tc>
          <w:tcPr>
            <w:tcW w:w="291" w:type="pct"/>
            <w:gridSpan w:val="2"/>
            <w:noWrap/>
          </w:tcPr>
          <w:p w14:paraId="7BEC7247" w14:textId="729A2123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5..</w:t>
            </w:r>
          </w:p>
        </w:tc>
        <w:tc>
          <w:tcPr>
            <w:tcW w:w="4709" w:type="pct"/>
          </w:tcPr>
          <w:p w14:paraId="289E9D48" w14:textId="48338FCD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Precyzyjne definiowanie schematów wizyt dla nowych badań klinicznych (które następnie będą wykorzystywane w module/ zsynchronizowane z modułem eCRF). </w:t>
            </w:r>
          </w:p>
        </w:tc>
      </w:tr>
      <w:tr w:rsidR="00E073BF" w:rsidRPr="00686214" w14:paraId="120CE415" w14:textId="77777777" w:rsidTr="00A16B9F">
        <w:trPr>
          <w:cantSplit/>
          <w:trHeight w:val="356"/>
        </w:trPr>
        <w:tc>
          <w:tcPr>
            <w:tcW w:w="291" w:type="pct"/>
            <w:gridSpan w:val="2"/>
            <w:noWrap/>
          </w:tcPr>
          <w:p w14:paraId="35859F2A" w14:textId="42AA28EF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709" w:type="pct"/>
          </w:tcPr>
          <w:p w14:paraId="6237CEFE" w14:textId="5E1FCA83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Graficzne przedstawienie ścieżki pacjenta w formie schematu funkcjonalno–organizacyjnego (schemat blokowy).</w:t>
            </w:r>
          </w:p>
        </w:tc>
      </w:tr>
      <w:tr w:rsidR="00E073BF" w:rsidRPr="00686214" w14:paraId="22C82E45" w14:textId="77777777" w:rsidTr="00A16B9F">
        <w:trPr>
          <w:cantSplit/>
          <w:trHeight w:val="356"/>
        </w:trPr>
        <w:tc>
          <w:tcPr>
            <w:tcW w:w="291" w:type="pct"/>
            <w:gridSpan w:val="2"/>
            <w:noWrap/>
          </w:tcPr>
          <w:p w14:paraId="1B1658DA" w14:textId="3B92D4BB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4709" w:type="pct"/>
          </w:tcPr>
          <w:p w14:paraId="2EDBBFB7" w14:textId="77777777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Użytkownik powinien mieć możliwość  definiowania w aplikacji minimum:</w:t>
            </w:r>
          </w:p>
          <w:p w14:paraId="3F56A4E6" w14:textId="5E8E27C2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Liczby i harmonogramu wizyt;</w:t>
            </w:r>
          </w:p>
          <w:p w14:paraId="7A00E817" w14:textId="7F698610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Zakresu usług wykonywanych na poszczególnych wizytach;</w:t>
            </w:r>
          </w:p>
          <w:p w14:paraId="0FD4A0B6" w14:textId="04954BFF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Formularzy wypełniane dla poszczególnych usług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261E63" w14:textId="783E3E75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Kryteriów widoczności formularzy dla określonych grup użytkowników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5B5B3E" w14:textId="62D53766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Reguł widoczności określonych typów wizyt, w zależności od aktualnego statusu uczestnika w badaniu</w:t>
            </w:r>
            <w:r w:rsidR="005D15F0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73BF" w:rsidRPr="00686214" w14:paraId="5E6F3377" w14:textId="77777777" w:rsidTr="00A16B9F">
        <w:trPr>
          <w:cantSplit/>
          <w:trHeight w:val="356"/>
        </w:trPr>
        <w:tc>
          <w:tcPr>
            <w:tcW w:w="291" w:type="pct"/>
            <w:gridSpan w:val="2"/>
            <w:noWrap/>
          </w:tcPr>
          <w:p w14:paraId="491C9969" w14:textId="2B6E1BDF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709" w:type="pct"/>
          </w:tcPr>
          <w:p w14:paraId="69362D27" w14:textId="4AF921DC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Moduł zapewni przygotowanie odrębnych schematów wizyt dla różnych faz badania (np. faza kliniczna, faza follow-up), różnych typów badań w ramach jednego projektu (np. badanie obserwacyjne, badanie klinicznie) jak również dla odrębnych grup klinicznych w przypadku badań otwartych.</w:t>
            </w:r>
          </w:p>
        </w:tc>
      </w:tr>
      <w:tr w:rsidR="00E073BF" w:rsidRPr="00686214" w14:paraId="30CEF80A" w14:textId="77777777" w:rsidTr="00A16B9F">
        <w:trPr>
          <w:cantSplit/>
          <w:trHeight w:val="356"/>
        </w:trPr>
        <w:tc>
          <w:tcPr>
            <w:tcW w:w="291" w:type="pct"/>
            <w:gridSpan w:val="2"/>
            <w:noWrap/>
          </w:tcPr>
          <w:p w14:paraId="75C0AF9E" w14:textId="7065BDD5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709" w:type="pct"/>
          </w:tcPr>
          <w:p w14:paraId="7C1E4877" w14:textId="36B9F936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zdefiniowania w protokole wizyt dodatkowych, które odbywają się w terminach innych niż wizyty określone w harmonogramie.</w:t>
            </w:r>
          </w:p>
        </w:tc>
      </w:tr>
      <w:tr w:rsidR="00E073BF" w:rsidRPr="00686214" w14:paraId="31B84F24" w14:textId="77777777" w:rsidTr="00A16B9F">
        <w:trPr>
          <w:cantSplit/>
          <w:trHeight w:val="356"/>
        </w:trPr>
        <w:tc>
          <w:tcPr>
            <w:tcW w:w="291" w:type="pct"/>
            <w:gridSpan w:val="2"/>
            <w:noWrap/>
          </w:tcPr>
          <w:p w14:paraId="6242B44A" w14:textId="4AAC85B2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709" w:type="pct"/>
          </w:tcPr>
          <w:p w14:paraId="340B5493" w14:textId="7D207E6A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 ramach pojedynczej wizyty w protokole możliwość zdefiniowania usług jakie należy wykonać i zakodować w ramach danej wizyty (np. EEG, Wywiad, Leki, Morfologia itp.)</w:t>
            </w:r>
          </w:p>
        </w:tc>
      </w:tr>
      <w:tr w:rsidR="00E073BF" w:rsidRPr="00686214" w14:paraId="6B0939FE" w14:textId="77777777" w:rsidTr="00A16B9F">
        <w:trPr>
          <w:cantSplit/>
          <w:trHeight w:val="356"/>
        </w:trPr>
        <w:tc>
          <w:tcPr>
            <w:tcW w:w="291" w:type="pct"/>
            <w:gridSpan w:val="2"/>
            <w:noWrap/>
          </w:tcPr>
          <w:p w14:paraId="06C0D35A" w14:textId="368668BE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709" w:type="pct"/>
          </w:tcPr>
          <w:p w14:paraId="2E78CACF" w14:textId="51599AAB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Użytkownik może zdefiniować zakres pobieranych danych, poprzez ograniczenie zbioru usług, zakresu dat lub konkretnych formularzy.</w:t>
            </w:r>
          </w:p>
        </w:tc>
      </w:tr>
      <w:tr w:rsidR="00E073BF" w:rsidRPr="00686214" w14:paraId="0563DDBD" w14:textId="77777777" w:rsidTr="00A16B9F">
        <w:trPr>
          <w:cantSplit/>
          <w:trHeight w:val="356"/>
        </w:trPr>
        <w:tc>
          <w:tcPr>
            <w:tcW w:w="291" w:type="pct"/>
            <w:gridSpan w:val="2"/>
            <w:noWrap/>
          </w:tcPr>
          <w:p w14:paraId="5C02BA76" w14:textId="4D8875AF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709" w:type="pct"/>
          </w:tcPr>
          <w:p w14:paraId="6FB81E00" w14:textId="2082A5C2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pobrania formularzy zdefiniowanych w graficznym interfejsie użytkowników w postaci plików szablonów, celem ich przeniesienia do innych  modułów i wykorzystania w innych tworzonych protokołach  badań klinicznych.</w:t>
            </w:r>
          </w:p>
        </w:tc>
      </w:tr>
      <w:tr w:rsidR="00E073BF" w:rsidRPr="00686214" w14:paraId="51322B59" w14:textId="77777777" w:rsidTr="00A16B9F">
        <w:trPr>
          <w:cantSplit/>
          <w:trHeight w:val="25"/>
        </w:trPr>
        <w:tc>
          <w:tcPr>
            <w:tcW w:w="5000" w:type="pct"/>
            <w:gridSpan w:val="3"/>
            <w:shd w:val="clear" w:color="auto" w:fill="00B0F0"/>
            <w:noWrap/>
          </w:tcPr>
          <w:p w14:paraId="6B4856AD" w14:textId="4F8AEE57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Administrator</w:t>
            </w:r>
          </w:p>
        </w:tc>
      </w:tr>
      <w:tr w:rsidR="00E073BF" w:rsidRPr="00686214" w14:paraId="1F09928D" w14:textId="77777777" w:rsidTr="00A16B9F">
        <w:trPr>
          <w:cantSplit/>
          <w:trHeight w:val="32"/>
        </w:trPr>
        <w:tc>
          <w:tcPr>
            <w:tcW w:w="282" w:type="pct"/>
            <w:noWrap/>
          </w:tcPr>
          <w:p w14:paraId="44C17EAF" w14:textId="062D724F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37082F06" w14:textId="77777777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Zarządzanie uprawnieniami użytkowników. </w:t>
            </w:r>
          </w:p>
          <w:p w14:paraId="1C815AF4" w14:textId="2E7AF818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 użytkownik systemu</w:t>
            </w:r>
            <w:r w:rsidR="0027279A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musi mieć odrębny login i hasło. Jakakolwiek funkcjonalność systemu (niezależnie od ilości modułów) będzie dostępna dla użytkownika dopiero po jego zalogowaniu.  </w:t>
            </w:r>
          </w:p>
          <w:p w14:paraId="4E25E686" w14:textId="3353A7C1" w:rsidR="00E073BF" w:rsidRPr="00686214" w:rsidRDefault="00E073BF" w:rsidP="00E073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musi zapewnić uwierzytelnienie wieloskładnikowe (ang. Multi-Factor Authentication – MFA)</w:t>
            </w:r>
            <w:r w:rsidR="005D15F0" w:rsidRPr="006862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E073BF" w:rsidRPr="00686214" w14:paraId="28E7EC5A" w14:textId="77777777" w:rsidTr="00A16B9F">
        <w:trPr>
          <w:cantSplit/>
          <w:trHeight w:val="20"/>
        </w:trPr>
        <w:tc>
          <w:tcPr>
            <w:tcW w:w="282" w:type="pct"/>
            <w:noWrap/>
          </w:tcPr>
          <w:p w14:paraId="34AD120C" w14:textId="2C2CA554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4F83EF82" w14:textId="561A90B1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Zarządzanie użytkownikami: </w:t>
            </w:r>
          </w:p>
          <w:p w14:paraId="626709D4" w14:textId="3EDF4E20" w:rsidR="00E073BF" w:rsidRPr="00686214" w:rsidRDefault="00E073BF" w:rsidP="00E073BF">
            <w:pPr>
              <w:pStyle w:val="Akapitzlist"/>
              <w:numPr>
                <w:ilvl w:val="0"/>
                <w:numId w:val="20"/>
              </w:numPr>
              <w:ind w:left="35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Dodawanie użytkowników z możliwością określenia ważności konta</w:t>
            </w:r>
            <w:r w:rsidR="00822071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051913" w14:textId="4ED6C9C0" w:rsidR="00E073BF" w:rsidRPr="00686214" w:rsidRDefault="00E073BF" w:rsidP="00E073BF">
            <w:pPr>
              <w:pStyle w:val="Akapitzlist"/>
              <w:numPr>
                <w:ilvl w:val="0"/>
                <w:numId w:val="20"/>
              </w:numPr>
              <w:ind w:left="35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Blokada oraz edycja kont</w:t>
            </w:r>
            <w:r w:rsidR="00822071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92E10E0" w14:textId="352BD4CF" w:rsidR="00E073BF" w:rsidRPr="00686214" w:rsidRDefault="00E073BF" w:rsidP="00E073BF">
            <w:pPr>
              <w:pStyle w:val="Akapitzlist"/>
              <w:numPr>
                <w:ilvl w:val="0"/>
                <w:numId w:val="20"/>
              </w:numPr>
              <w:ind w:left="35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nadawania użytkownikom uprawnień (przez użytkownika typu Administrator) do określonych modułów i określonych funkcji w ramach danego modułu niezależnie</w:t>
            </w:r>
            <w:r w:rsidR="00822071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1B419A" w14:textId="04AA3322" w:rsidR="00E073BF" w:rsidRPr="00686214" w:rsidRDefault="00E073BF" w:rsidP="00E073BF">
            <w:pPr>
              <w:pStyle w:val="Akapitzlist"/>
              <w:numPr>
                <w:ilvl w:val="0"/>
                <w:numId w:val="20"/>
              </w:numPr>
              <w:ind w:left="35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Zapewnienie nadawania uprawnień z dokładnością do konkretnego badania klinicznego tak aby dany użytkownik miał wgląd  tylko i wyłącznie do uczestników oraz wszelkich danych konkretnego badania</w:t>
            </w:r>
            <w:r w:rsidR="00822071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209AE6" w14:textId="2D0495D2" w:rsidR="00E073BF" w:rsidRPr="00686214" w:rsidRDefault="00E073BF" w:rsidP="00E073BF">
            <w:pPr>
              <w:pStyle w:val="Akapitzlist"/>
              <w:numPr>
                <w:ilvl w:val="0"/>
                <w:numId w:val="20"/>
              </w:numPr>
              <w:ind w:left="35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Tworzenie/ edycja/ usuwanie nieograniczonej liczby grup użytkowników – z możliwością definiowania uprawnień do poszczególnych modułów</w:t>
            </w:r>
            <w:r w:rsidR="00822071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7EA3D0A" w14:textId="7F76EA24" w:rsidR="00E073BF" w:rsidRPr="00686214" w:rsidRDefault="00E073BF" w:rsidP="00E073BF">
            <w:pPr>
              <w:pStyle w:val="Akapitzlist"/>
              <w:numPr>
                <w:ilvl w:val="0"/>
                <w:numId w:val="20"/>
              </w:numPr>
              <w:ind w:left="35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Nadawanie grupom uprawnień w zakresie poszczególnych funkcjonalności danego modułu</w:t>
            </w:r>
            <w:r w:rsidR="00822071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9A1A18" w14:textId="1CAF55C2" w:rsidR="00E073BF" w:rsidRPr="00686214" w:rsidRDefault="00E073BF" w:rsidP="00E073BF">
            <w:pPr>
              <w:pStyle w:val="Akapitzlist"/>
              <w:numPr>
                <w:ilvl w:val="0"/>
                <w:numId w:val="20"/>
              </w:numPr>
              <w:ind w:left="35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Ograniczenie widocznych danych tylko do uczestników z danej jednostki dla określonych grup użytkowników</w:t>
            </w:r>
            <w:r w:rsidR="00822071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73BF" w:rsidRPr="00686214" w14:paraId="489F3F06" w14:textId="77777777" w:rsidTr="00A16B9F">
        <w:trPr>
          <w:cantSplit/>
          <w:trHeight w:val="20"/>
        </w:trPr>
        <w:tc>
          <w:tcPr>
            <w:tcW w:w="282" w:type="pct"/>
            <w:noWrap/>
          </w:tcPr>
          <w:p w14:paraId="45F378A7" w14:textId="26CE9E74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28686960" w14:textId="7AD1594F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zdefiniowania przez administratora i wymuszenia na użytkowniku utworzenia odpowiedniego hasła, (spełniającego określone wymogi dotyczące złożoności hasła oraz częstotliwości jego zmiany np. złożonego z co najmniej 12 znaków w tym co najmniej 1 cyfry, 1 dużej litery oraz 1 znaku specjalnego, wymuszenie zmiany hasła co miesiąc).</w:t>
            </w:r>
          </w:p>
        </w:tc>
      </w:tr>
      <w:tr w:rsidR="00E073BF" w:rsidRPr="00686214" w14:paraId="483E3241" w14:textId="77777777" w:rsidTr="00A16B9F">
        <w:trPr>
          <w:cantSplit/>
          <w:trHeight w:val="408"/>
        </w:trPr>
        <w:tc>
          <w:tcPr>
            <w:tcW w:w="282" w:type="pct"/>
            <w:noWrap/>
          </w:tcPr>
          <w:p w14:paraId="0F4BDD2F" w14:textId="4CC7FC00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6C710E4B" w14:textId="7C26EDCE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Hasła użytkowników oraz inne administracyjne np. do bazy danych czy na potrzeby kopii zapasowej  muszą być przechowywane w bazie danych w sposób zaszyfrowany</w:t>
            </w:r>
          </w:p>
        </w:tc>
      </w:tr>
      <w:tr w:rsidR="00E073BF" w:rsidRPr="00686214" w14:paraId="169C2CF6" w14:textId="77777777" w:rsidTr="00A16B9F">
        <w:trPr>
          <w:cantSplit/>
          <w:trHeight w:val="408"/>
        </w:trPr>
        <w:tc>
          <w:tcPr>
            <w:tcW w:w="282" w:type="pct"/>
            <w:noWrap/>
          </w:tcPr>
          <w:p w14:paraId="753AB3D6" w14:textId="7DD2CD3B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681206CF" w14:textId="61733B2A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Możliwość zdefiniowania przez administratora czasu po jakim system powinien </w:t>
            </w:r>
            <w:r w:rsidR="00651792" w:rsidRPr="00686214">
              <w:rPr>
                <w:rFonts w:ascii="Times New Roman" w:hAnsi="Times New Roman" w:cs="Times New Roman"/>
                <w:sz w:val="20"/>
                <w:szCs w:val="20"/>
              </w:rPr>
              <w:t>wylogować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lub blokować sesję użytkownika</w:t>
            </w:r>
          </w:p>
        </w:tc>
      </w:tr>
      <w:tr w:rsidR="00E073BF" w:rsidRPr="00686214" w14:paraId="3ADF9F50" w14:textId="77777777" w:rsidTr="00A16B9F">
        <w:trPr>
          <w:cantSplit/>
          <w:trHeight w:val="20"/>
        </w:trPr>
        <w:tc>
          <w:tcPr>
            <w:tcW w:w="282" w:type="pct"/>
            <w:noWrap/>
          </w:tcPr>
          <w:p w14:paraId="5F8D1A0D" w14:textId="5CB28A9E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432D45E8" w14:textId="5C9A5C3C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System musi tworzyć i utrzymywać log systemu, rejestrujący wszystkich użytkowników systemu i wykonane przez nich wszystkie operacje  z możliwością analizy historii zmienianych wartości danych.</w:t>
            </w:r>
          </w:p>
        </w:tc>
      </w:tr>
      <w:tr w:rsidR="00E073BF" w:rsidRPr="00686214" w14:paraId="49A83AE3" w14:textId="77777777" w:rsidTr="00A16B9F">
        <w:trPr>
          <w:cantSplit/>
        </w:trPr>
        <w:tc>
          <w:tcPr>
            <w:tcW w:w="282" w:type="pct"/>
            <w:noWrap/>
          </w:tcPr>
          <w:p w14:paraId="436F77DB" w14:textId="024F9066" w:rsidR="00E073BF" w:rsidRPr="00686214" w:rsidRDefault="007E19C6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E073BF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2655EE6B" w14:textId="12AD5B49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Wszystkie czynności wykonywane w Systemie po stronie użytkownika lub administratora muszą być rejestrowane (pełna rozliczalność systemu)</w:t>
            </w:r>
            <w:r w:rsidR="00797CB8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73BF" w:rsidRPr="00686214" w14:paraId="29ACDAEA" w14:textId="77777777" w:rsidTr="00A16B9F">
        <w:trPr>
          <w:cantSplit/>
          <w:trHeight w:val="20"/>
        </w:trPr>
        <w:tc>
          <w:tcPr>
            <w:tcW w:w="282" w:type="pct"/>
            <w:noWrap/>
          </w:tcPr>
          <w:p w14:paraId="29B22F42" w14:textId="593E674D" w:rsidR="00E073BF" w:rsidRPr="00686214" w:rsidRDefault="007E19C6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073BF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33CBBA0A" w14:textId="1D234ACF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Możliwość zarządzania dokumentacją bieżących oraz zakończonych badań klinicznych i projektów naukowych w celu długotrwałego przechowywania.</w:t>
            </w:r>
          </w:p>
        </w:tc>
      </w:tr>
      <w:tr w:rsidR="00E073BF" w:rsidRPr="00686214" w14:paraId="04044EF0" w14:textId="77777777" w:rsidTr="00A16B9F">
        <w:trPr>
          <w:cantSplit/>
          <w:trHeight w:val="20"/>
        </w:trPr>
        <w:tc>
          <w:tcPr>
            <w:tcW w:w="282" w:type="pct"/>
            <w:noWrap/>
          </w:tcPr>
          <w:p w14:paraId="11EF5A0B" w14:textId="61370F60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19C6"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265E2027" w14:textId="524CE42A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Funkcjonalność oznaczania dokumentów metadanymi i wyszukiwanie tych dokumentów z użyciem metadanych</w:t>
            </w:r>
            <w:r w:rsidR="00797CB8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73BF" w:rsidRPr="00686214" w14:paraId="06579235" w14:textId="77777777" w:rsidTr="00A16B9F">
        <w:trPr>
          <w:cantSplit/>
          <w:trHeight w:val="20"/>
        </w:trPr>
        <w:tc>
          <w:tcPr>
            <w:tcW w:w="282" w:type="pct"/>
            <w:noWrap/>
          </w:tcPr>
          <w:p w14:paraId="3DFB74ED" w14:textId="2D031178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19C6" w:rsidRPr="006862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72C18D53" w14:textId="00AF468E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Określenie czasu archiwizacji (po tym czasie dokument może być́ usunięty).</w:t>
            </w:r>
          </w:p>
        </w:tc>
      </w:tr>
      <w:tr w:rsidR="00E073BF" w:rsidRPr="00686214" w14:paraId="7A5DDA60" w14:textId="77777777" w:rsidTr="00A16B9F">
        <w:trPr>
          <w:cantSplit/>
          <w:trHeight w:val="20"/>
        </w:trPr>
        <w:tc>
          <w:tcPr>
            <w:tcW w:w="282" w:type="pct"/>
            <w:noWrap/>
          </w:tcPr>
          <w:p w14:paraId="0F9DA3DA" w14:textId="50FE63DA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19C6" w:rsidRPr="006862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2DA3A781" w14:textId="6CE19036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Zapewnienie archiwizacji oraz wersjonowania dokumentów.</w:t>
            </w:r>
          </w:p>
        </w:tc>
      </w:tr>
      <w:tr w:rsidR="00E073BF" w:rsidRPr="00686214" w14:paraId="71993ABA" w14:textId="77777777" w:rsidTr="00A16B9F">
        <w:trPr>
          <w:cantSplit/>
          <w:trHeight w:val="20"/>
        </w:trPr>
        <w:tc>
          <w:tcPr>
            <w:tcW w:w="282" w:type="pct"/>
            <w:noWrap/>
          </w:tcPr>
          <w:p w14:paraId="4E838E11" w14:textId="13E4C6F6" w:rsidR="00E073BF" w:rsidRPr="00686214" w:rsidRDefault="007E19C6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27EE0742" w14:textId="01C0F7DF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Funkcjonalność przeglądania archiwum dokumentacji z badań klinicznych i możliwość ich brakowania o określonym czasie np. 25 latach, blokada  kasowania dokumentacji zautoryzowanej i zatwierdzonej przed terminem określonym w parametrach systemu  </w:t>
            </w:r>
          </w:p>
        </w:tc>
      </w:tr>
      <w:tr w:rsidR="00E073BF" w:rsidRPr="00686214" w14:paraId="63FB52BB" w14:textId="77777777" w:rsidTr="00A16B9F">
        <w:trPr>
          <w:cantSplit/>
          <w:trHeight w:val="20"/>
        </w:trPr>
        <w:tc>
          <w:tcPr>
            <w:tcW w:w="282" w:type="pct"/>
            <w:noWrap/>
          </w:tcPr>
          <w:p w14:paraId="0504184C" w14:textId="18B7A67D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19C6" w:rsidRPr="006862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0924CDE4" w14:textId="312F4C7B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Każdy dostęp do zarchiwizowanych danych, ich pobranie, modyfikacja lub usunięcie  musi zostać odnotowane przez system</w:t>
            </w:r>
            <w:r w:rsidR="00797CB8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E073BF" w:rsidRPr="00686214" w14:paraId="35C86473" w14:textId="77777777" w:rsidTr="00A16B9F">
        <w:trPr>
          <w:cantSplit/>
          <w:trHeight w:val="292"/>
        </w:trPr>
        <w:tc>
          <w:tcPr>
            <w:tcW w:w="282" w:type="pct"/>
            <w:noWrap/>
          </w:tcPr>
          <w:p w14:paraId="3CAC7227" w14:textId="76964EAE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19C6" w:rsidRPr="006862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5FC010BC" w14:textId="74D22F54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System   musi być wyposażony w zabezpieczenia przed nieautoryzowanym dostępem. Zabezpieczenia muszą funkcjonować na poziomie klienta (aplikacja) i serwera (serwer baz danych).</w:t>
            </w:r>
          </w:p>
          <w:p w14:paraId="679EF086" w14:textId="77777777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Zabezpieczenie przed wprowadzaniem lub modyfikacją danych w sposób anonimowy.</w:t>
            </w:r>
          </w:p>
          <w:p w14:paraId="3EA407B4" w14:textId="0FA07E45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Dostęp do interfejsu badacza powinien być możliwy wyłącznie z wykorzystaniem dedykowanego narzędzia VPN dostarczanego przez Wykonawcę i skonfigurowanego w ten sposób, by uniemożliwiać kopiowanie i zapisywanie danych na lokalnym zasobie badacza, tj. urządzeniu z którego łączy się do środowiska systemu.</w:t>
            </w:r>
          </w:p>
        </w:tc>
      </w:tr>
      <w:tr w:rsidR="00E073BF" w:rsidRPr="00686214" w14:paraId="39D8CD7E" w14:textId="77777777" w:rsidTr="00A16B9F">
        <w:trPr>
          <w:cantSplit/>
          <w:trHeight w:val="292"/>
        </w:trPr>
        <w:tc>
          <w:tcPr>
            <w:tcW w:w="282" w:type="pct"/>
            <w:noWrap/>
          </w:tcPr>
          <w:p w14:paraId="33916D20" w14:textId="0752E05F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19C6" w:rsidRPr="006862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  <w:tcBorders>
              <w:bottom w:val="single" w:sz="4" w:space="0" w:color="auto"/>
            </w:tcBorders>
          </w:tcPr>
          <w:p w14:paraId="6D142B94" w14:textId="3A889D28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System</w:t>
            </w:r>
            <w:r w:rsidR="006B33EB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musi zapewnić obsługę badań prowadzonych w kilku jednostkach badawczych poprzez rozbudowany system uprawnień użytkowników. </w:t>
            </w:r>
          </w:p>
        </w:tc>
      </w:tr>
      <w:tr w:rsidR="00E073BF" w:rsidRPr="00686214" w14:paraId="48D8F74C" w14:textId="77777777" w:rsidTr="00A16B9F">
        <w:trPr>
          <w:cantSplit/>
          <w:trHeight w:val="356"/>
        </w:trPr>
        <w:tc>
          <w:tcPr>
            <w:tcW w:w="282" w:type="pct"/>
            <w:noWrap/>
          </w:tcPr>
          <w:p w14:paraId="0D2A061C" w14:textId="5AA08552" w:rsidR="00E073BF" w:rsidRPr="00686214" w:rsidRDefault="007E19C6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073BF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203914A0" w14:textId="368308D1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System   musi zapewnić  monitorowanie wprowadzanych danych poprzez prowadzenie rejestru zmian, zadawanie pytań do wprowadzonych danych jak również zatwierdzanie wprowadzonych danych na kolejnych poziomach uprawnień: lekarz, monitor, koordynator badana i zabezpieczanie ich przed niekontrolowaną edycją.</w:t>
            </w:r>
          </w:p>
        </w:tc>
      </w:tr>
      <w:tr w:rsidR="00E073BF" w:rsidRPr="00686214" w14:paraId="249AD522" w14:textId="77777777" w:rsidTr="00A16B9F">
        <w:trPr>
          <w:cantSplit/>
          <w:trHeight w:val="356"/>
        </w:trPr>
        <w:tc>
          <w:tcPr>
            <w:tcW w:w="282" w:type="pct"/>
            <w:noWrap/>
          </w:tcPr>
          <w:p w14:paraId="7C17CA46" w14:textId="15F3EA8E" w:rsidR="00E073BF" w:rsidRPr="00686214" w:rsidRDefault="00E073BF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19C6" w:rsidRPr="006862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7C67CABA" w14:textId="344BE165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 ramach modułu administracyjnego musi być możliwość zarządzania kopiami zapasowymi poprzez min.:</w:t>
            </w:r>
          </w:p>
          <w:p w14:paraId="25C65C12" w14:textId="536EAD48" w:rsidR="00E073BF" w:rsidRPr="00686214" w:rsidRDefault="00E073BF" w:rsidP="0081494D">
            <w:pPr>
              <w:pStyle w:val="Akapitzlist"/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Określenie harmonogramu kopii zarówno aplikacji jak i bazy danych</w:t>
            </w:r>
            <w:r w:rsidR="00797CB8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B0268B" w14:textId="64E2A1A9" w:rsidR="00E073BF" w:rsidRPr="00686214" w:rsidRDefault="00E073BF" w:rsidP="0081494D">
            <w:pPr>
              <w:pStyle w:val="Akapitzlist"/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Określenie ścieżki gdzie ma zostać kopia zapisana (możliwość wskazania więcej niż 1 lokalizacji na kopię)</w:t>
            </w:r>
            <w:r w:rsidR="00797CB8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7D3D1CC" w14:textId="6E3A67F8" w:rsidR="00E073BF" w:rsidRPr="00686214" w:rsidRDefault="00E073BF" w:rsidP="0081494D">
            <w:pPr>
              <w:pStyle w:val="Akapitzlist"/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Weryfikację poprawności wykonania kopii zapasowej</w:t>
            </w:r>
            <w:r w:rsidR="00797CB8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7B7E361" w14:textId="11BF1735" w:rsidR="00E073BF" w:rsidRPr="00686214" w:rsidRDefault="00E073BF" w:rsidP="0081494D">
            <w:pPr>
              <w:pStyle w:val="Akapitzlist"/>
              <w:numPr>
                <w:ilvl w:val="0"/>
                <w:numId w:val="21"/>
              </w:num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Przeprowadzenia testowania wykonanej kopii</w:t>
            </w:r>
            <w:r w:rsidR="00797CB8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73BF" w:rsidRPr="00686214" w14:paraId="4786DEAC" w14:textId="77777777" w:rsidTr="00A16B9F">
        <w:trPr>
          <w:cantSplit/>
          <w:trHeight w:val="356"/>
        </w:trPr>
        <w:tc>
          <w:tcPr>
            <w:tcW w:w="282" w:type="pct"/>
            <w:noWrap/>
          </w:tcPr>
          <w:p w14:paraId="112F3DCC" w14:textId="159C8D3E" w:rsidR="00E073BF" w:rsidRPr="00686214" w:rsidRDefault="007E19C6" w:rsidP="00E073BF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073BF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18" w:type="pct"/>
            <w:gridSpan w:val="2"/>
          </w:tcPr>
          <w:p w14:paraId="5C62709B" w14:textId="29A69837" w:rsidR="00E073BF" w:rsidRPr="00686214" w:rsidRDefault="00E073BF" w:rsidP="00E073BF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Zarządzenie słownikami wykorzystywanymi w poszczególnych modułach</w:t>
            </w:r>
            <w:r w:rsidR="00797CB8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0C140E05" w14:textId="77777777" w:rsidR="00926602" w:rsidRPr="00686214" w:rsidRDefault="00926602" w:rsidP="00926602">
      <w:pPr>
        <w:pStyle w:val="Nagwek1"/>
        <w:autoSpaceDN w:val="0"/>
        <w:spacing w:line="242" w:lineRule="auto"/>
        <w:textAlignment w:val="baseline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</w:p>
    <w:p w14:paraId="29DFB6E5" w14:textId="77777777" w:rsidR="00926602" w:rsidRPr="00686214" w:rsidRDefault="00926602">
      <w:pPr>
        <w:rPr>
          <w:rFonts w:ascii="Times New Roman" w:eastAsiaTheme="majorEastAsia" w:hAnsi="Times New Roman" w:cs="Times New Roman"/>
          <w:color w:val="2F5496" w:themeColor="accent1" w:themeShade="BF"/>
          <w:sz w:val="20"/>
          <w:szCs w:val="20"/>
          <w:u w:val="single"/>
          <w:lang w:eastAsia="pl-PL"/>
        </w:rPr>
      </w:pPr>
      <w:r w:rsidRPr="00686214">
        <w:rPr>
          <w:rFonts w:ascii="Times New Roman" w:hAnsi="Times New Roman" w:cs="Times New Roman"/>
          <w:sz w:val="20"/>
          <w:szCs w:val="20"/>
          <w:u w:val="single"/>
          <w:lang w:eastAsia="pl-PL"/>
        </w:rPr>
        <w:br w:type="page"/>
      </w:r>
    </w:p>
    <w:p w14:paraId="7F4D49AA" w14:textId="071E15BC" w:rsidR="00412EC1" w:rsidRPr="00686214" w:rsidRDefault="00926602" w:rsidP="00926602">
      <w:pPr>
        <w:pStyle w:val="Nagwek1"/>
        <w:autoSpaceDN w:val="0"/>
        <w:spacing w:line="242" w:lineRule="auto"/>
        <w:textAlignment w:val="baseline"/>
        <w:rPr>
          <w:rFonts w:ascii="Times New Roman" w:hAnsi="Times New Roman" w:cs="Times New Roman"/>
          <w:b/>
          <w:color w:val="auto"/>
          <w:sz w:val="20"/>
          <w:szCs w:val="20"/>
          <w:u w:val="single"/>
        </w:rPr>
      </w:pPr>
      <w:r w:rsidRPr="00686214">
        <w:rPr>
          <w:rFonts w:ascii="Times New Roman" w:hAnsi="Times New Roman" w:cs="Times New Roman"/>
          <w:b/>
          <w:color w:val="auto"/>
          <w:sz w:val="20"/>
          <w:szCs w:val="20"/>
          <w:u w:val="single"/>
        </w:rPr>
        <w:lastRenderedPageBreak/>
        <w:t>Dedykowany</w:t>
      </w:r>
      <w:r w:rsidR="008B51C2" w:rsidRPr="00686214">
        <w:rPr>
          <w:rFonts w:ascii="Times New Roman" w:hAnsi="Times New Roman" w:cs="Times New Roman"/>
          <w:b/>
          <w:color w:val="auto"/>
          <w:sz w:val="20"/>
          <w:szCs w:val="20"/>
          <w:u w:val="single"/>
        </w:rPr>
        <w:t>,</w:t>
      </w:r>
      <w:r w:rsidRPr="00686214">
        <w:rPr>
          <w:rFonts w:ascii="Times New Roman" w:hAnsi="Times New Roman" w:cs="Times New Roman"/>
          <w:b/>
          <w:color w:val="auto"/>
          <w:sz w:val="20"/>
          <w:szCs w:val="20"/>
          <w:u w:val="single"/>
        </w:rPr>
        <w:t xml:space="preserve"> </w:t>
      </w:r>
      <w:r w:rsidR="008B51C2" w:rsidRPr="00686214">
        <w:rPr>
          <w:rFonts w:ascii="Times New Roman" w:hAnsi="Times New Roman" w:cs="Times New Roman"/>
          <w:b/>
          <w:color w:val="auto"/>
          <w:sz w:val="20"/>
          <w:szCs w:val="20"/>
          <w:u w:val="single"/>
        </w:rPr>
        <w:t>Zintegrowany</w:t>
      </w:r>
      <w:r w:rsidRPr="00686214">
        <w:rPr>
          <w:rFonts w:ascii="Times New Roman" w:hAnsi="Times New Roman" w:cs="Times New Roman"/>
          <w:b/>
          <w:color w:val="auto"/>
          <w:sz w:val="20"/>
          <w:szCs w:val="20"/>
          <w:u w:val="single"/>
        </w:rPr>
        <w:t xml:space="preserve"> System Informatyczny Wspomagający proces Zarządzania Badaniami Klinicznymi </w:t>
      </w:r>
      <w:r w:rsidR="00325FCC" w:rsidRPr="00686214">
        <w:rPr>
          <w:rFonts w:ascii="Times New Roman" w:hAnsi="Times New Roman" w:cs="Times New Roman"/>
          <w:b/>
          <w:color w:val="auto"/>
          <w:sz w:val="20"/>
          <w:szCs w:val="20"/>
          <w:u w:val="single"/>
          <w:lang w:eastAsia="pl-PL"/>
        </w:rPr>
        <w:t xml:space="preserve">– </w:t>
      </w:r>
      <w:r w:rsidR="00BE0CCA" w:rsidRPr="00686214">
        <w:rPr>
          <w:rFonts w:ascii="Times New Roman" w:hAnsi="Times New Roman" w:cs="Times New Roman"/>
          <w:b/>
          <w:color w:val="auto"/>
          <w:sz w:val="20"/>
          <w:szCs w:val="20"/>
          <w:u w:val="single"/>
          <w:lang w:eastAsia="pl-PL"/>
        </w:rPr>
        <w:t xml:space="preserve"> Pozostałe </w:t>
      </w:r>
      <w:r w:rsidR="00325FCC" w:rsidRPr="00686214">
        <w:rPr>
          <w:rFonts w:ascii="Times New Roman" w:hAnsi="Times New Roman" w:cs="Times New Roman"/>
          <w:b/>
          <w:color w:val="auto"/>
          <w:sz w:val="20"/>
          <w:szCs w:val="20"/>
          <w:u w:val="single"/>
          <w:lang w:eastAsia="pl-PL"/>
        </w:rPr>
        <w:t>Wymagania</w:t>
      </w:r>
    </w:p>
    <w:p w14:paraId="27284EA3" w14:textId="77777777" w:rsidR="00BC2788" w:rsidRPr="00686214" w:rsidRDefault="00BC2788" w:rsidP="00BC2788">
      <w:pPr>
        <w:rPr>
          <w:rFonts w:ascii="Times New Roman" w:hAnsi="Times New Roman" w:cs="Times New Roman"/>
          <w:sz w:val="20"/>
          <w:szCs w:val="20"/>
          <w:lang w:eastAsia="pl-PL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9499"/>
      </w:tblGrid>
      <w:tr w:rsidR="003F7D55" w:rsidRPr="00686214" w14:paraId="0FB5D04C" w14:textId="77777777" w:rsidTr="005A4AB5">
        <w:trPr>
          <w:trHeight w:val="535"/>
        </w:trPr>
        <w:tc>
          <w:tcPr>
            <w:tcW w:w="279" w:type="pct"/>
            <w:shd w:val="clear" w:color="auto" w:fill="00B0F0"/>
            <w:noWrap/>
            <w:vAlign w:val="center"/>
            <w:hideMark/>
          </w:tcPr>
          <w:p w14:paraId="49093BAD" w14:textId="77777777" w:rsidR="00FD77E9" w:rsidRPr="00686214" w:rsidRDefault="00FD77E9" w:rsidP="00325393">
            <w:pPr>
              <w:spacing w:before="60"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  <w:p w14:paraId="3083EC5B" w14:textId="500F3E5E" w:rsidR="00FD77E9" w:rsidRPr="00686214" w:rsidRDefault="00FD77E9" w:rsidP="00325393">
            <w:pPr>
              <w:spacing w:before="60"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21" w:type="pct"/>
            <w:shd w:val="clear" w:color="auto" w:fill="00B0F0"/>
            <w:vAlign w:val="center"/>
          </w:tcPr>
          <w:p w14:paraId="642C39E4" w14:textId="5591D12D" w:rsidR="00FD77E9" w:rsidRPr="00686214" w:rsidRDefault="00BE0CCA" w:rsidP="00325393">
            <w:pPr>
              <w:spacing w:before="60" w:after="0" w:line="276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Wymagania ogólne:</w:t>
            </w:r>
          </w:p>
        </w:tc>
      </w:tr>
      <w:tr w:rsidR="00BE0CCA" w:rsidRPr="00686214" w14:paraId="124552CD" w14:textId="77777777" w:rsidTr="005A4AB5">
        <w:trPr>
          <w:cantSplit/>
          <w:trHeight w:val="344"/>
        </w:trPr>
        <w:tc>
          <w:tcPr>
            <w:tcW w:w="279" w:type="pct"/>
            <w:noWrap/>
          </w:tcPr>
          <w:p w14:paraId="7CF0B180" w14:textId="77777777" w:rsidR="00BE0CCA" w:rsidRPr="00686214" w:rsidRDefault="00BE0CCA" w:rsidP="0032539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  <w:p w14:paraId="57027172" w14:textId="189F0B58" w:rsidR="00BE0CCA" w:rsidRPr="00686214" w:rsidRDefault="00BE0CCA" w:rsidP="00D94B19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75CE9C0B" w14:textId="6D316FC8" w:rsidR="00BE0CCA" w:rsidRPr="00686214" w:rsidRDefault="00BE0CCA" w:rsidP="00BE0CCA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Dostarczony </w:t>
            </w:r>
            <w:r w:rsidR="0027279A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 musi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w zakresie wszystkich modułów pracować w środowisku graficznym na dowolnych powszechnie dostępnych systemach operacyjnych</w:t>
            </w:r>
            <w:r w:rsidR="00797CB8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E0CCA" w:rsidRPr="00686214" w14:paraId="6D344AC1" w14:textId="77777777" w:rsidTr="005A4AB5">
        <w:trPr>
          <w:cantSplit/>
          <w:trHeight w:val="344"/>
        </w:trPr>
        <w:tc>
          <w:tcPr>
            <w:tcW w:w="279" w:type="pct"/>
            <w:noWrap/>
          </w:tcPr>
          <w:p w14:paraId="7F16F023" w14:textId="6C31E7BB" w:rsidR="00BE0CCA" w:rsidRPr="00686214" w:rsidRDefault="00CF0E70" w:rsidP="0032539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21" w:type="pct"/>
          </w:tcPr>
          <w:p w14:paraId="2E07682D" w14:textId="6829D266" w:rsidR="00BE0CCA" w:rsidRPr="00686214" w:rsidRDefault="00BE0CCA" w:rsidP="00D94B19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Interfejs użytkownika musi być dostępny z poziomu przeglądarek internetowych (co najmniej FireFox w wersji 98.0.0 i wyżej, Google Chrome w wersji 80.0. i wyżej oraz kompatybilnych).</w:t>
            </w:r>
          </w:p>
        </w:tc>
      </w:tr>
      <w:tr w:rsidR="00BE0CCA" w:rsidRPr="00686214" w14:paraId="3BA7028C" w14:textId="77777777" w:rsidTr="005A4AB5">
        <w:trPr>
          <w:cantSplit/>
          <w:trHeight w:val="344"/>
        </w:trPr>
        <w:tc>
          <w:tcPr>
            <w:tcW w:w="279" w:type="pct"/>
            <w:noWrap/>
          </w:tcPr>
          <w:p w14:paraId="0A24C81A" w14:textId="301E6580" w:rsidR="00BE0CCA" w:rsidRPr="00686214" w:rsidRDefault="00CF0E70" w:rsidP="0032539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721" w:type="pct"/>
          </w:tcPr>
          <w:p w14:paraId="401D35D5" w14:textId="56BFCE49" w:rsidR="00BE0CCA" w:rsidRPr="00686214" w:rsidRDefault="00BE0CCA" w:rsidP="00D94B19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integracji z Active Directory</w:t>
            </w:r>
            <w:r w:rsidR="00797CB8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BE0CCA" w:rsidRPr="00686214" w14:paraId="1BD8C0C3" w14:textId="77777777" w:rsidTr="005A4AB5">
        <w:trPr>
          <w:cantSplit/>
          <w:trHeight w:val="344"/>
        </w:trPr>
        <w:tc>
          <w:tcPr>
            <w:tcW w:w="279" w:type="pct"/>
            <w:noWrap/>
          </w:tcPr>
          <w:p w14:paraId="11198A5B" w14:textId="47BD4E69" w:rsidR="00BE0CCA" w:rsidRPr="00686214" w:rsidRDefault="00CF0E70" w:rsidP="0032539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721" w:type="pct"/>
          </w:tcPr>
          <w:p w14:paraId="1BDD8234" w14:textId="1B373E80" w:rsidR="00BE0CCA" w:rsidRPr="00686214" w:rsidRDefault="00BE0CCA" w:rsidP="00D94B19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Wraz z systemem </w:t>
            </w:r>
            <w:r w:rsidR="00A45CC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602FB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oferowanej cenie Wykonawca zobowiązany jest dostarczyć licencje na bazę danych na potrzeby systemu</w:t>
            </w:r>
            <w:r w:rsidR="00797CB8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0602FB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45CC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E0CCA" w:rsidRPr="00686214" w14:paraId="004F5C26" w14:textId="77777777" w:rsidTr="005A4AB5">
        <w:trPr>
          <w:cantSplit/>
          <w:trHeight w:val="344"/>
        </w:trPr>
        <w:tc>
          <w:tcPr>
            <w:tcW w:w="279" w:type="pct"/>
            <w:noWrap/>
          </w:tcPr>
          <w:p w14:paraId="6567B155" w14:textId="7B04D30D" w:rsidR="00BE0CCA" w:rsidRPr="00686214" w:rsidRDefault="00CF0E70" w:rsidP="0032539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721" w:type="pct"/>
          </w:tcPr>
          <w:p w14:paraId="560B086F" w14:textId="08FA34BA" w:rsidR="00BE0CCA" w:rsidRPr="00686214" w:rsidRDefault="00BE0CCA" w:rsidP="00D94B19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ramach zamówienia Wykonawca uruchomi co najmniej 2 niezależne instancje środowisk: testowo - szkoleniowego i produkcyjnego.</w:t>
            </w:r>
          </w:p>
        </w:tc>
      </w:tr>
      <w:tr w:rsidR="00BE0CCA" w:rsidRPr="00686214" w14:paraId="03B3891D" w14:textId="77777777" w:rsidTr="005A4AB5">
        <w:trPr>
          <w:cantSplit/>
          <w:trHeight w:val="344"/>
        </w:trPr>
        <w:tc>
          <w:tcPr>
            <w:tcW w:w="279" w:type="pct"/>
            <w:noWrap/>
          </w:tcPr>
          <w:p w14:paraId="7F8EDEC4" w14:textId="3B3A897F" w:rsidR="00BE0CCA" w:rsidRPr="00686214" w:rsidRDefault="00CF0E70" w:rsidP="0032539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721" w:type="pct"/>
          </w:tcPr>
          <w:p w14:paraId="2704F18E" w14:textId="6D8FD0F1" w:rsidR="00BE0CCA" w:rsidRPr="00686214" w:rsidRDefault="00BE0CCA" w:rsidP="00D94B19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Wykonawca musi zapewnić niezbędne licencje na oprogramowanie do obsługi tych środowisk (baza danych, system operacyjny</w:t>
            </w:r>
            <w:r w:rsidR="004722F4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oprogramowanie do wirtualizacji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797CB8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BE0CCA" w:rsidRPr="00686214" w14:paraId="3E57C6C0" w14:textId="77777777" w:rsidTr="005A4AB5">
        <w:trPr>
          <w:cantSplit/>
          <w:trHeight w:val="344"/>
        </w:trPr>
        <w:tc>
          <w:tcPr>
            <w:tcW w:w="279" w:type="pct"/>
            <w:noWrap/>
          </w:tcPr>
          <w:p w14:paraId="199FDDAD" w14:textId="72C5ADF2" w:rsidR="00BE0CCA" w:rsidRPr="00686214" w:rsidRDefault="00CF0E70" w:rsidP="0032539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721" w:type="pct"/>
          </w:tcPr>
          <w:p w14:paraId="2507FBE8" w14:textId="5C3E0ABB" w:rsidR="00BE0CCA" w:rsidRPr="00686214" w:rsidRDefault="00BE0CCA" w:rsidP="00D94B19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Dostarczony system</w:t>
            </w:r>
            <w:r w:rsidR="006B33EB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musi być wykonany w technologii klient-serwer, dane muszą być przechowywane w modelu relacyjnym baz danych z wykorzystaniem aktywnego serwera baz danych.</w:t>
            </w:r>
          </w:p>
        </w:tc>
      </w:tr>
      <w:tr w:rsidR="00BE0CCA" w:rsidRPr="00686214" w14:paraId="125AD3F9" w14:textId="77777777" w:rsidTr="005A4AB5">
        <w:trPr>
          <w:cantSplit/>
          <w:trHeight w:val="344"/>
        </w:trPr>
        <w:tc>
          <w:tcPr>
            <w:tcW w:w="279" w:type="pct"/>
            <w:noWrap/>
          </w:tcPr>
          <w:p w14:paraId="48709AED" w14:textId="6A81964D" w:rsidR="00BE0CCA" w:rsidRPr="00686214" w:rsidRDefault="00CF0E70" w:rsidP="0032539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721" w:type="pct"/>
          </w:tcPr>
          <w:p w14:paraId="22F45482" w14:textId="19663865" w:rsidR="00BE0CCA" w:rsidRPr="00686214" w:rsidRDefault="00BE0CCA" w:rsidP="00D94B19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automatycznego oczyszczania danych pobieranych z systemu źródłowego do potrzeb analitycznych na poziomie importu danych. Automatyczne oczyszczanie danych podczas importu ma na celu uporządkowanie importowanych danych po przez np. usunięcie zbędnych spacji, przecinków, pustych kolumn itp.</w:t>
            </w:r>
          </w:p>
        </w:tc>
      </w:tr>
      <w:tr w:rsidR="00BE0CCA" w:rsidRPr="00686214" w14:paraId="00467326" w14:textId="77777777" w:rsidTr="005A4AB5">
        <w:trPr>
          <w:cantSplit/>
          <w:trHeight w:val="344"/>
        </w:trPr>
        <w:tc>
          <w:tcPr>
            <w:tcW w:w="279" w:type="pct"/>
            <w:noWrap/>
          </w:tcPr>
          <w:p w14:paraId="4182BBA4" w14:textId="610DE3DA" w:rsidR="00BE0CCA" w:rsidRPr="00686214" w:rsidRDefault="00CF0E70" w:rsidP="0032539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721" w:type="pct"/>
          </w:tcPr>
          <w:p w14:paraId="4F6567A8" w14:textId="5578894E" w:rsidR="00BE0CCA" w:rsidRPr="00686214" w:rsidRDefault="00BE0CCA" w:rsidP="00D94B19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monitorowania aktualnego obciążenia systemu (z podziałem na procesy użytkowników).</w:t>
            </w:r>
          </w:p>
        </w:tc>
      </w:tr>
      <w:tr w:rsidR="008A40AC" w:rsidRPr="00686214" w14:paraId="4AC72C72" w14:textId="77777777" w:rsidTr="005A4AB5">
        <w:trPr>
          <w:trHeight w:val="58"/>
        </w:trPr>
        <w:tc>
          <w:tcPr>
            <w:tcW w:w="279" w:type="pct"/>
            <w:noWrap/>
          </w:tcPr>
          <w:p w14:paraId="2772A24C" w14:textId="301DA195" w:rsidR="008A40AC" w:rsidRPr="00686214" w:rsidRDefault="00CF0E70" w:rsidP="007A0021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721" w:type="pct"/>
          </w:tcPr>
          <w:p w14:paraId="0336076A" w14:textId="5FDF98FB" w:rsidR="008A40AC" w:rsidRPr="00686214" w:rsidRDefault="008A40AC" w:rsidP="007A0021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uruchomienia dostarczonego systemu</w:t>
            </w:r>
            <w:r w:rsidR="006B33EB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6097A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zarówno na komputerach stacjonarnych jak i urządzeniach mobilnych  </w:t>
            </w:r>
          </w:p>
        </w:tc>
      </w:tr>
      <w:tr w:rsidR="008A40AC" w:rsidRPr="00686214" w14:paraId="16705EFB" w14:textId="77777777" w:rsidTr="005A4AB5">
        <w:trPr>
          <w:trHeight w:val="198"/>
        </w:trPr>
        <w:tc>
          <w:tcPr>
            <w:tcW w:w="279" w:type="pct"/>
            <w:noWrap/>
          </w:tcPr>
          <w:p w14:paraId="5F8F5C63" w14:textId="2342F7B9" w:rsidR="008A40AC" w:rsidRPr="00686214" w:rsidRDefault="00CF0E70" w:rsidP="007A002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721" w:type="pct"/>
          </w:tcPr>
          <w:p w14:paraId="465BEBE9" w14:textId="6FE38ED5" w:rsidR="0068529E" w:rsidRPr="00686214" w:rsidRDefault="008A40AC" w:rsidP="007A002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Dostarczony system </w:t>
            </w:r>
            <w:r w:rsidR="00A45CC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97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musi być zgodny z WCAG, po przeprowadzonym wdrożeniu Wykonawca zobowiązany jest </w:t>
            </w: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przeprowadzić test zgodności z WCAG i dostarczyć wyniki</w:t>
            </w:r>
            <w:r w:rsidR="0027279A"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tych testów</w:t>
            </w:r>
            <w:r w:rsidR="00797CB8"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27279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95371F" w14:textId="27A7830F" w:rsidR="008A40AC" w:rsidRPr="00686214" w:rsidRDefault="0068529E" w:rsidP="0068529E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System</w:t>
            </w:r>
            <w:r w:rsidR="0006097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musi spełniać wytyczne W3C (http://www.w3.org/TR/WCAG20/) względem eDostępności, co oznacza, że </w:t>
            </w:r>
            <w:r w:rsidR="0006097A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ystem</w:t>
            </w:r>
            <w:r w:rsidR="0006097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musi spełniać wszystkie punkty kontrolne WCAG o priorytecie 1 co najmniej na poziomie zgodności AA. Strony WWW muszą być poprawnie wyświetlane we wszystkich typach przeglądarek internetowych, niezależnie od ustawionych rozdzielczości i wielkości okna w przeglądarce. System musi spełniać wymogi KRI oraz zapisy Ustawy z dn. 4 kwietnia 2019 r. o dostępności cyfrowej stron internetowych i aplikacji mobilnych pomiotów publicznych (Dz. U. Poz. 848</w:t>
            </w:r>
            <w:r w:rsidR="0006097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z późni. zm.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97CB8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A40AC" w:rsidRPr="0068621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8A40AC" w:rsidRPr="00686214" w14:paraId="452C6223" w14:textId="77777777" w:rsidTr="005A4AB5">
        <w:trPr>
          <w:trHeight w:val="198"/>
        </w:trPr>
        <w:tc>
          <w:tcPr>
            <w:tcW w:w="279" w:type="pct"/>
            <w:noWrap/>
          </w:tcPr>
          <w:p w14:paraId="56C0F5F8" w14:textId="6722A451" w:rsidR="008A40AC" w:rsidRPr="00686214" w:rsidRDefault="00926602" w:rsidP="007A002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E70" w:rsidRPr="0068621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21" w:type="pct"/>
          </w:tcPr>
          <w:p w14:paraId="43A8FE30" w14:textId="4017D51A" w:rsidR="008A40AC" w:rsidRPr="00686214" w:rsidRDefault="008A40AC" w:rsidP="007A002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Wykonawca razem z systemem</w:t>
            </w:r>
            <w:r w:rsidR="0006097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dostarczy wszystkie niezbędne certyfikaty konieczne do bezpiecznego korzystania z oprogramowania (np. certyfikaty SSL)</w:t>
            </w:r>
            <w:r w:rsidR="009B13E7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8A40AC" w:rsidRPr="00686214" w14:paraId="7DB705A7" w14:textId="77777777" w:rsidTr="005A4AB5">
        <w:trPr>
          <w:trHeight w:val="198"/>
        </w:trPr>
        <w:tc>
          <w:tcPr>
            <w:tcW w:w="279" w:type="pct"/>
            <w:noWrap/>
          </w:tcPr>
          <w:p w14:paraId="1C4115D4" w14:textId="70D82B86" w:rsidR="008A40AC" w:rsidRPr="00686214" w:rsidRDefault="00CF0E70" w:rsidP="007A002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721" w:type="pct"/>
          </w:tcPr>
          <w:p w14:paraId="07EF2DA7" w14:textId="02ACD743" w:rsidR="008A40AC" w:rsidRPr="00686214" w:rsidRDefault="008A40AC" w:rsidP="007A002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Podpisywanie dokumentacji podpisem elektronicznym</w:t>
            </w:r>
            <w:r w:rsidR="009B13E7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A40AC" w:rsidRPr="00686214" w14:paraId="6173E8EB" w14:textId="77777777" w:rsidTr="005A4AB5">
        <w:trPr>
          <w:trHeight w:val="58"/>
        </w:trPr>
        <w:tc>
          <w:tcPr>
            <w:tcW w:w="279" w:type="pct"/>
            <w:noWrap/>
          </w:tcPr>
          <w:p w14:paraId="1D2B177A" w14:textId="1E015A3F" w:rsidR="008A40AC" w:rsidRPr="00686214" w:rsidRDefault="00CF0E70" w:rsidP="007A0021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721" w:type="pct"/>
          </w:tcPr>
          <w:p w14:paraId="3B3AC287" w14:textId="1E7969D5" w:rsidR="008A40AC" w:rsidRPr="00686214" w:rsidRDefault="008A40AC" w:rsidP="00D94B19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Dostarczony system</w:t>
            </w:r>
            <w:r w:rsidR="0006097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musi posiadać interfejs </w:t>
            </w:r>
            <w:r w:rsidR="00CF0E70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oraz podręcznik użytkownika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 min. dwóch wersjach językowych tj. język polski oraz angielski</w:t>
            </w:r>
            <w:r w:rsidR="009B13E7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457794" w14:textId="24F722A9" w:rsidR="008A40AC" w:rsidRPr="00686214" w:rsidRDefault="008A40AC" w:rsidP="00D94B19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Użytkownik musi mieć możliwość wybrania wersji językowej</w:t>
            </w:r>
            <w:r w:rsidR="009B13E7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A315418" w14:textId="3D2C4138" w:rsidR="008A40AC" w:rsidRPr="00686214" w:rsidRDefault="008A40AC" w:rsidP="00D94B19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Musi istnieć także możliwość przypisania użytkownikowi lub grupie użytkowników domyślnej wersji językowej, tak, aby dla tego użytkownika system</w:t>
            </w:r>
            <w:r w:rsidR="006B33EB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uruchamiał się we właściwym dla niego języku.</w:t>
            </w:r>
          </w:p>
        </w:tc>
      </w:tr>
      <w:tr w:rsidR="00CF0E70" w:rsidRPr="00686214" w14:paraId="73B5610D" w14:textId="77777777" w:rsidTr="005A4AB5">
        <w:trPr>
          <w:trHeight w:val="585"/>
        </w:trPr>
        <w:tc>
          <w:tcPr>
            <w:tcW w:w="279" w:type="pct"/>
            <w:noWrap/>
          </w:tcPr>
          <w:p w14:paraId="0BEA485C" w14:textId="09B1E7BC" w:rsidR="00CF0E70" w:rsidRPr="00686214" w:rsidRDefault="00CF0E70" w:rsidP="00D94B19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721" w:type="pct"/>
          </w:tcPr>
          <w:p w14:paraId="50FF7842" w14:textId="227481A1" w:rsidR="00CF0E70" w:rsidRPr="00686214" w:rsidRDefault="00CF0E70" w:rsidP="00076CDE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System</w:t>
            </w:r>
            <w:r w:rsidR="0006097A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musi zapamiętywać kryteria wybrane przez użytkownika (np. filtrowanie tabeli), min. na cały czas trwania sesji użytkownika.</w:t>
            </w:r>
          </w:p>
        </w:tc>
      </w:tr>
      <w:tr w:rsidR="00CF0E70" w:rsidRPr="00686214" w14:paraId="63F8ED72" w14:textId="77777777" w:rsidTr="005A4AB5">
        <w:trPr>
          <w:trHeight w:val="585"/>
        </w:trPr>
        <w:tc>
          <w:tcPr>
            <w:tcW w:w="279" w:type="pct"/>
            <w:noWrap/>
          </w:tcPr>
          <w:p w14:paraId="58C372F5" w14:textId="0A25B03C" w:rsidR="00CF0E70" w:rsidRPr="00686214" w:rsidRDefault="00CF0E70" w:rsidP="00D94B19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721" w:type="pct"/>
          </w:tcPr>
          <w:p w14:paraId="740CF44E" w14:textId="307E234C" w:rsidR="00CF0E70" w:rsidRPr="00686214" w:rsidRDefault="00CF0E70" w:rsidP="00CF0E70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Dane raz wprowadzone powinny być widoczne w każdym module, który tych danych potrzebuje tak aby nie trzeba było wprowadzać po raz kolejny tych samych danych</w:t>
            </w:r>
            <w:r w:rsidR="009B13E7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1E06D4" w14:textId="300541E2" w:rsidR="00CF0E70" w:rsidRPr="00686214" w:rsidRDefault="00CF0E70" w:rsidP="00CF0E70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Wymiana danych pomiędzy modułami musi odbywać się na poziomie bazy danych.</w:t>
            </w:r>
          </w:p>
        </w:tc>
      </w:tr>
      <w:tr w:rsidR="00CF0E70" w:rsidRPr="00686214" w14:paraId="45AD5163" w14:textId="77777777" w:rsidTr="005A4AB5">
        <w:trPr>
          <w:trHeight w:val="585"/>
        </w:trPr>
        <w:tc>
          <w:tcPr>
            <w:tcW w:w="279" w:type="pct"/>
            <w:noWrap/>
          </w:tcPr>
          <w:p w14:paraId="5DFA0BAA" w14:textId="1E429750" w:rsidR="00CF0E70" w:rsidRPr="00686214" w:rsidRDefault="00CF0E70" w:rsidP="00D94B19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721" w:type="pct"/>
          </w:tcPr>
          <w:p w14:paraId="5C9E72F7" w14:textId="48F6C45B" w:rsidR="00CF0E70" w:rsidRPr="00686214" w:rsidRDefault="00CF0E70" w:rsidP="00CF0E70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Wszystkie błędy, muszą być prezentowane w jednym, komunikacie z możliwością szybkiego przejścia do miejsca aplikacji, gdzie te błędy wystąpiły</w:t>
            </w:r>
            <w:r w:rsidR="009B13E7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A796C" w:rsidRPr="00686214" w14:paraId="6AE5FF4F" w14:textId="77777777" w:rsidTr="005A4AB5">
        <w:trPr>
          <w:trHeight w:val="585"/>
        </w:trPr>
        <w:tc>
          <w:tcPr>
            <w:tcW w:w="279" w:type="pct"/>
            <w:noWrap/>
          </w:tcPr>
          <w:p w14:paraId="72731ED7" w14:textId="1AC270AD" w:rsidR="000A796C" w:rsidRPr="00686214" w:rsidRDefault="000A796C" w:rsidP="00D94B19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721" w:type="pct"/>
          </w:tcPr>
          <w:p w14:paraId="4A9DC855" w14:textId="7C565AD3" w:rsidR="000A796C" w:rsidRPr="00686214" w:rsidRDefault="000A796C" w:rsidP="00CF0E70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Dostarczony system musi być zgodny z wymaganiami ICH GCP E6(R2)</w:t>
            </w:r>
            <w:r w:rsidR="00177554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tj. międzynarodowym standardem dotyczącym zasad prawidłowego prowadzenia badań klinicznych, tzw. Dobrej Praktyki Klinicznej  (Good  Clinical  Practice).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, normą ISO 9001 oraz ISO 27001</w:t>
            </w:r>
            <w:r w:rsidR="00177554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="00177554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zakresem art. 6 Ustawy z dnia 19 lipca 2019 r. o zapewnianiu dostępności osobom ze szczególnymi potrzebami.</w:t>
            </w:r>
          </w:p>
          <w:p w14:paraId="14D9A52A" w14:textId="77777777" w:rsidR="00177554" w:rsidRPr="00686214" w:rsidRDefault="00177554" w:rsidP="0017755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Certyfikaty wskazane powyżej mogą być zastąpione certyfikatami równoważnymi.</w:t>
            </w:r>
          </w:p>
          <w:p w14:paraId="7CA202E9" w14:textId="77777777" w:rsidR="00177554" w:rsidRPr="00686214" w:rsidRDefault="00177554" w:rsidP="0017755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Jako certyfikat równoważny Zamawiający rozumie certyfikat analogiczny co do zakresu wskazanego certyfikatu, co jest rozumiane jako:</w:t>
            </w:r>
          </w:p>
          <w:p w14:paraId="6E56AFDC" w14:textId="77777777" w:rsidR="00177554" w:rsidRPr="00686214" w:rsidRDefault="00177554" w:rsidP="0017755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analogiczna dziedzina merytoryczna wynikająca z wiedzy, której dotyczy certyfikat (np. zarządzenie bazami danych, testowaniem, administracją bazami danych, programowanie, etc.),</w:t>
            </w:r>
          </w:p>
          <w:p w14:paraId="0EA577A5" w14:textId="77777777" w:rsidR="00177554" w:rsidRPr="00686214" w:rsidRDefault="00177554" w:rsidP="0017755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analogiczny stopień poziomu kompetencji (np. podstawowy, zaawansowany, ekspert),</w:t>
            </w:r>
          </w:p>
          <w:p w14:paraId="7CEBBDFE" w14:textId="77777777" w:rsidR="00177554" w:rsidRPr="00686214" w:rsidRDefault="00177554" w:rsidP="0017755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c)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analogiczny poziom doświadczenia zawodowego wymagany dla otrzymania danego certyfikatu (np.: konieczność wykazania się uczestnictwem w określonej liczbie projektów w danej roli, etc.),</w:t>
            </w:r>
          </w:p>
          <w:p w14:paraId="7AE4BD4B" w14:textId="77777777" w:rsidR="00177554" w:rsidRPr="00686214" w:rsidRDefault="00177554" w:rsidP="0017755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uzyskanie certyfikatu potwierdzone jest egzaminem, o ile był wymagany.</w:t>
            </w:r>
          </w:p>
          <w:p w14:paraId="4573147E" w14:textId="343EE88C" w:rsidR="00177554" w:rsidRPr="00686214" w:rsidRDefault="00177554" w:rsidP="00177554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Certyfikat równoważny nie może być wystawiony przez Wykonawcę lub podmiot zależny od Wykonawcy.</w:t>
            </w:r>
          </w:p>
        </w:tc>
      </w:tr>
      <w:tr w:rsidR="00CF0E70" w:rsidRPr="00686214" w14:paraId="4CFEFBA6" w14:textId="77777777" w:rsidTr="005A4AB5">
        <w:trPr>
          <w:trHeight w:val="58"/>
        </w:trPr>
        <w:tc>
          <w:tcPr>
            <w:tcW w:w="279" w:type="pct"/>
            <w:shd w:val="clear" w:color="auto" w:fill="00B0F0"/>
            <w:noWrap/>
          </w:tcPr>
          <w:p w14:paraId="760F19BB" w14:textId="1242FB01" w:rsidR="00CF0E70" w:rsidRPr="00686214" w:rsidRDefault="00CF0E70" w:rsidP="00D94B19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21" w:type="pct"/>
            <w:shd w:val="clear" w:color="auto" w:fill="00B0F0"/>
          </w:tcPr>
          <w:p w14:paraId="019BB1C1" w14:textId="79F1FC78" w:rsidR="00CF0E70" w:rsidRPr="00686214" w:rsidRDefault="00CF0E70" w:rsidP="00D94B19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Wymagania Integracyjne:</w:t>
            </w:r>
          </w:p>
        </w:tc>
      </w:tr>
      <w:tr w:rsidR="00377960" w:rsidRPr="00686214" w14:paraId="5FF79063" w14:textId="77777777" w:rsidTr="005A4AB5">
        <w:tc>
          <w:tcPr>
            <w:tcW w:w="279" w:type="pct"/>
            <w:noWrap/>
          </w:tcPr>
          <w:p w14:paraId="26C8B270" w14:textId="136814A1" w:rsidR="00377960" w:rsidRPr="00686214" w:rsidRDefault="00926602" w:rsidP="0032539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  <w:p w14:paraId="00E8B6FB" w14:textId="25E1F85E" w:rsidR="00377960" w:rsidRPr="00686214" w:rsidRDefault="00377960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6985E66B" w14:textId="6A45A84B" w:rsidR="00AB079B" w:rsidRPr="00686214" w:rsidRDefault="00377960" w:rsidP="0096369A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ramach przedmiotu zamówienia Wykonawca</w:t>
            </w:r>
            <w:r w:rsidR="0003239C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wykona integrację dostarczonego systemu z</w:t>
            </w:r>
            <w:r w:rsidR="00AB079B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40F566FC" w14:textId="6BF67659" w:rsidR="0027279A" w:rsidRPr="00686214" w:rsidRDefault="0027279A" w:rsidP="0081494D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systemem URPM poprzez linkowanie (czyli wywołanie URPM bezpośrednio z poziomu systemu) do modułu wyszukiwania przypadków medycznych</w:t>
            </w:r>
          </w:p>
          <w:p w14:paraId="6927253F" w14:textId="4F405854" w:rsidR="0027279A" w:rsidRPr="00686214" w:rsidRDefault="0027279A" w:rsidP="0027279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oraz zapewni możliwość w przyszłości integracji dostarczonego systemu </w:t>
            </w:r>
            <w:r w:rsidR="0050362D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 UWAGA Integracja nie jest przedmiotem niniejszego zamówienia)</w:t>
            </w:r>
          </w:p>
          <w:p w14:paraId="289AEEC7" w14:textId="414F9789" w:rsidR="002F3980" w:rsidRPr="00686214" w:rsidRDefault="00AB079B" w:rsidP="0081494D">
            <w:pPr>
              <w:pStyle w:val="Akapitzlist"/>
              <w:numPr>
                <w:ilvl w:val="0"/>
                <w:numId w:val="40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system</w:t>
            </w:r>
            <w:r w:rsidR="00C46B1D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em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77960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 (AMMS produkcji Asseco Poland) zainstalowanym w Górnośląskim Centrum Medycznym im. prof. Leszka Gieca Śląskiego Uniwersytetu Medycznego w Katowicach.  Integracja musi umożliwić odczyt danych z system</w:t>
            </w:r>
            <w:r w:rsidR="00C46B1D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</w:t>
            </w:r>
            <w:r w:rsidR="00377960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HIS</w:t>
            </w:r>
            <w:r w:rsidR="009B13E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77960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F127630" w14:textId="1356DCE2" w:rsidR="005B06C2" w:rsidRPr="00686214" w:rsidRDefault="005B06C2" w:rsidP="0081494D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  systemem HIS (AMMS produkcji Asseco Poland) zainstalowanym w Uniwersyteckim Centrum Klinicznym im. prof. K. Gibińskiego Śląskiego Uniwersytetu Medycznego w Katowicach.  Integracja musi umożliwić odczyt danych z systemu HIS. </w:t>
            </w:r>
          </w:p>
          <w:p w14:paraId="79B64164" w14:textId="2251D254" w:rsidR="0060559D" w:rsidRPr="00686214" w:rsidRDefault="0060559D" w:rsidP="00C46B1D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77960" w:rsidRPr="00686214" w14:paraId="779B8CD8" w14:textId="77777777" w:rsidTr="005A4AB5">
        <w:trPr>
          <w:trHeight w:val="528"/>
        </w:trPr>
        <w:tc>
          <w:tcPr>
            <w:tcW w:w="279" w:type="pct"/>
            <w:noWrap/>
          </w:tcPr>
          <w:p w14:paraId="02C556E4" w14:textId="2F92E321" w:rsidR="00377960" w:rsidRPr="00686214" w:rsidRDefault="001737A1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26602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721" w:type="pct"/>
          </w:tcPr>
          <w:p w14:paraId="6DC773E9" w14:textId="3A2A5A65" w:rsidR="00910FF6" w:rsidRPr="00686214" w:rsidRDefault="00910FF6" w:rsidP="00F525D8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Wymagana dotyczące integracji z systemem URPM</w:t>
            </w:r>
          </w:p>
          <w:p w14:paraId="2A17E893" w14:textId="5536BD1B" w:rsidR="00910FF6" w:rsidRPr="00686214" w:rsidRDefault="00910FF6" w:rsidP="0081494D">
            <w:pPr>
              <w:pStyle w:val="Akapitzlist"/>
              <w:numPr>
                <w:ilvl w:val="0"/>
                <w:numId w:val="32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Integracja </w:t>
            </w:r>
            <w:r w:rsidR="00C87BDC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 polegać na przygotowaniu w systemie</w:t>
            </w:r>
            <w:r w:rsidR="0006097A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87BDC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możliwości wywołania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URPM bezpośrednio z poziomu systemu</w:t>
            </w:r>
            <w:r w:rsidR="00C87BDC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poprzez linkowanie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modułu wyszukiwania przypadków medycznych</w:t>
            </w:r>
          </w:p>
          <w:p w14:paraId="663A115A" w14:textId="72518B89" w:rsidR="00B70622" w:rsidRPr="00686214" w:rsidRDefault="00B70622" w:rsidP="00B7062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="00C87BDC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musi umożliwić następujące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operacje: </w:t>
            </w:r>
          </w:p>
          <w:p w14:paraId="46B16D84" w14:textId="52DB5A30" w:rsidR="00C87BDC" w:rsidRPr="00686214" w:rsidRDefault="00B70622" w:rsidP="0081494D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Wywołanie</w:t>
            </w:r>
            <w:r w:rsidR="00C87BDC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systemu URPM bezpośrednio z systemu</w:t>
            </w:r>
            <w:r w:rsidR="00B10A70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celem w</w:t>
            </w:r>
            <w:r w:rsidR="00C87BDC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yszukani</w:t>
            </w:r>
            <w:r w:rsidR="00B10A70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C87BDC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10A70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już bezpośrednio </w:t>
            </w:r>
            <w:r w:rsidR="00C87BDC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systemie URPM określonych grup pacjentów uwzględniając pełen zakres historyczny danych, </w:t>
            </w:r>
          </w:p>
          <w:p w14:paraId="352EEC89" w14:textId="25754D3F" w:rsidR="00C87BDC" w:rsidRPr="00686214" w:rsidRDefault="00C87BDC" w:rsidP="0081494D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Możliwość zapisania w </w:t>
            </w:r>
            <w:r w:rsidR="0006097A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ystemie wyszukanych zestawów danych generowanych w systemie URPM, w formacie .xlsx oraz .csv zawierających zbiór danych do badań statystycznych</w:t>
            </w:r>
            <w:r w:rsidR="009B13E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7A31CFA" w14:textId="4290DA1E" w:rsidR="00B616F4" w:rsidRPr="00686214" w:rsidRDefault="00B616F4" w:rsidP="0081494D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 wyszukaniu danych system</w:t>
            </w:r>
            <w:r w:rsidR="0006097A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musi umożliwić wizualizację uzyskanych danych wynikowych  w formacie pdf, xls, xlsx oraz wyznaczenie podstawowych parametrów statystycznych na podstawie ustalonego na etapie analizy potrzeb repozytorium grafów xlsx, xls</w:t>
            </w:r>
            <w:r w:rsidR="009B13E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77960" w:rsidRPr="00686214" w14:paraId="3C2E2480" w14:textId="77777777" w:rsidTr="001737A1">
        <w:trPr>
          <w:trHeight w:val="373"/>
        </w:trPr>
        <w:tc>
          <w:tcPr>
            <w:tcW w:w="279" w:type="pct"/>
            <w:noWrap/>
          </w:tcPr>
          <w:p w14:paraId="14D1874A" w14:textId="398620AB" w:rsidR="00377960" w:rsidRPr="00686214" w:rsidRDefault="001737A1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926602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721" w:type="pct"/>
          </w:tcPr>
          <w:p w14:paraId="453FD07D" w14:textId="522F7FCF" w:rsidR="00910FF6" w:rsidRPr="00686214" w:rsidRDefault="00910FF6" w:rsidP="005F12A7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Dostarczony system</w:t>
            </w:r>
            <w:r w:rsidR="0006097A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powinien być oparty o relacyjne Bazy Danych lub relacyjną Bazę danych</w:t>
            </w:r>
            <w:r w:rsidR="009B13E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7960" w:rsidRPr="00686214" w14:paraId="1252A53F" w14:textId="77777777" w:rsidTr="005A4AB5">
        <w:trPr>
          <w:cantSplit/>
          <w:trHeight w:val="264"/>
        </w:trPr>
        <w:tc>
          <w:tcPr>
            <w:tcW w:w="279" w:type="pct"/>
            <w:noWrap/>
          </w:tcPr>
          <w:p w14:paraId="335421FE" w14:textId="0D2261C3" w:rsidR="00377960" w:rsidRPr="00686214" w:rsidRDefault="001737A1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926602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721" w:type="pct"/>
          </w:tcPr>
          <w:p w14:paraId="3DA8DDD2" w14:textId="510D0003" w:rsidR="00377960" w:rsidRPr="00686214" w:rsidRDefault="00377960" w:rsidP="0096369A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Wszystkie koszty integracji, niezbędnych licencji</w:t>
            </w:r>
            <w:r w:rsidR="00816E16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oraz wsparcia techniczneg</w:t>
            </w:r>
            <w:r w:rsidR="001737A1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dla integracji zarówno po stronie </w:t>
            </w:r>
            <w:r w:rsidR="0050362D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producenta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oprogramowania</w:t>
            </w:r>
            <w:r w:rsidR="00F23733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URPM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jak i </w:t>
            </w:r>
            <w:r w:rsidR="00D81115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systemu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będącego przedmiotem tego zamówienia pokrywa Wykonawca i</w:t>
            </w:r>
            <w:r w:rsidR="001737A1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powinny one zostać ujęte w wycenie kosztów integracji z uwzględnieniem wykorzystania w dowolnej jednostce organizacyjnej Zamawiającego oraz pozostałych podmiotów tworzących Śląskie Centrum Badań Klinicznych.</w:t>
            </w:r>
          </w:p>
        </w:tc>
      </w:tr>
      <w:tr w:rsidR="00CF0E70" w:rsidRPr="00686214" w14:paraId="3DD7908E" w14:textId="77777777" w:rsidTr="005A4AB5">
        <w:trPr>
          <w:trHeight w:val="264"/>
        </w:trPr>
        <w:tc>
          <w:tcPr>
            <w:tcW w:w="279" w:type="pct"/>
            <w:shd w:val="clear" w:color="auto" w:fill="00B0F0"/>
            <w:noWrap/>
          </w:tcPr>
          <w:p w14:paraId="75E6687E" w14:textId="1A3BDCC2" w:rsidR="00CF0E70" w:rsidRPr="00686214" w:rsidRDefault="00CF0E70" w:rsidP="0096369A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  <w:shd w:val="clear" w:color="auto" w:fill="00B0F0"/>
          </w:tcPr>
          <w:p w14:paraId="2AD4B95B" w14:textId="2EEEA018" w:rsidR="00CF0E70" w:rsidRPr="00686214" w:rsidRDefault="00CF0E70" w:rsidP="0096369A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13" w:name="_Hlk161383157"/>
            <w:r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Wymagania Sprzętowe</w:t>
            </w:r>
            <w:r w:rsidR="00F31533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oraz warunki gwarancji</w:t>
            </w:r>
            <w:bookmarkEnd w:id="13"/>
          </w:p>
        </w:tc>
      </w:tr>
      <w:tr w:rsidR="00377960" w:rsidRPr="00686214" w14:paraId="34ABD0C9" w14:textId="77777777" w:rsidTr="005A4AB5">
        <w:trPr>
          <w:trHeight w:val="432"/>
        </w:trPr>
        <w:tc>
          <w:tcPr>
            <w:tcW w:w="279" w:type="pct"/>
            <w:noWrap/>
          </w:tcPr>
          <w:p w14:paraId="798F0B6B" w14:textId="0210CB1B" w:rsidR="00377960" w:rsidRPr="00686214" w:rsidRDefault="00C464F9" w:rsidP="00325393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  <w:p w14:paraId="08E2D195" w14:textId="7FB60B38" w:rsidR="00377960" w:rsidRPr="00686214" w:rsidRDefault="00377960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1ADD3E4D" w14:textId="39E528E1" w:rsidR="00D81115" w:rsidRPr="00686214" w:rsidRDefault="00377960" w:rsidP="00D81115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Wraz z dostawą </w:t>
            </w:r>
            <w:r w:rsidR="004134D3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licencji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Zamawiający wymaga aby Wykonawca udostępnił kompletną infrastrukturę sprzętową na potrzeby dostarczonego systemu</w:t>
            </w:r>
            <w:r w:rsidR="004134D3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chmurze na cały okres gwarancji</w:t>
            </w:r>
            <w:r w:rsidR="009B13E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7960" w:rsidRPr="00686214" w14:paraId="18D30E53" w14:textId="77777777" w:rsidTr="005A4AB5">
        <w:trPr>
          <w:trHeight w:val="432"/>
        </w:trPr>
        <w:tc>
          <w:tcPr>
            <w:tcW w:w="279" w:type="pct"/>
            <w:noWrap/>
          </w:tcPr>
          <w:p w14:paraId="41F9E295" w14:textId="18B62B6B" w:rsidR="00377960" w:rsidRPr="00686214" w:rsidRDefault="00C464F9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21" w:type="pct"/>
          </w:tcPr>
          <w:p w14:paraId="2A765622" w14:textId="0F211778" w:rsidR="00377960" w:rsidRPr="00686214" w:rsidRDefault="00377960" w:rsidP="00F525D8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Wraz z infrastrukturą sprzętową wykonawca zobowiązany jest dostarczyć wszystkie niezbędne licencje min.: system operacyjny serwera, licencje baz danych oraz inne wymagane do prawidłowego funkcjonowania dostarczonego systemu</w:t>
            </w:r>
            <w:r w:rsidR="009B13E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A45CC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7960" w:rsidRPr="00686214" w14:paraId="5FC8FADC" w14:textId="77777777" w:rsidTr="005A4AB5">
        <w:trPr>
          <w:trHeight w:val="222"/>
        </w:trPr>
        <w:tc>
          <w:tcPr>
            <w:tcW w:w="279" w:type="pct"/>
            <w:noWrap/>
          </w:tcPr>
          <w:p w14:paraId="737599C4" w14:textId="0482C321" w:rsidR="00377960" w:rsidRPr="00686214" w:rsidRDefault="00C464F9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721" w:type="pct"/>
          </w:tcPr>
          <w:p w14:paraId="0198D8FC" w14:textId="48665FA0" w:rsidR="00377960" w:rsidRPr="00686214" w:rsidRDefault="00377960" w:rsidP="00F525D8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Udostępniona infrastruktura musi zapewnić bezkolizyjne, poprawne działanie wszystkich modułów dostarczonego </w:t>
            </w:r>
            <w:r w:rsidR="00353489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systemu</w:t>
            </w:r>
            <w:r w:rsidR="009B13E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A45CC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53489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377960" w:rsidRPr="00686214" w14:paraId="7C419B00" w14:textId="77777777" w:rsidTr="005A4AB5">
        <w:trPr>
          <w:trHeight w:val="564"/>
        </w:trPr>
        <w:tc>
          <w:tcPr>
            <w:tcW w:w="279" w:type="pct"/>
            <w:noWrap/>
          </w:tcPr>
          <w:p w14:paraId="6832E93E" w14:textId="08C60572" w:rsidR="00377960" w:rsidRPr="00686214" w:rsidRDefault="00C464F9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721" w:type="pct"/>
          </w:tcPr>
          <w:p w14:paraId="042AE28B" w14:textId="7B400BC5" w:rsidR="00377960" w:rsidRPr="00686214" w:rsidRDefault="00377960" w:rsidP="00F525D8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Zamawiający dopuszcza aby baza była umieszczona na odrębnym serwerze.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</w:tr>
      <w:tr w:rsidR="00377960" w:rsidRPr="00686214" w14:paraId="374C1A2F" w14:textId="77777777" w:rsidTr="005A4AB5">
        <w:trPr>
          <w:trHeight w:val="256"/>
        </w:trPr>
        <w:tc>
          <w:tcPr>
            <w:tcW w:w="279" w:type="pct"/>
            <w:noWrap/>
          </w:tcPr>
          <w:p w14:paraId="5F69554F" w14:textId="23D1A591" w:rsidR="00377960" w:rsidRPr="00686214" w:rsidRDefault="00C464F9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721" w:type="pct"/>
          </w:tcPr>
          <w:p w14:paraId="66FA9C53" w14:textId="5CC22462" w:rsidR="00377960" w:rsidRPr="00686214" w:rsidRDefault="00377960" w:rsidP="005C1AA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Wykonawca udostępni infrastrukturę sprzętową w chmurze w trybie 24h/7 dni </w:t>
            </w:r>
            <w:r w:rsidR="005F77A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spełniającą wszystkie obowiązujące przepisy prawa w zakresie przechowywania i przetwarzania danych osobowych oraz danych medycznych pacjenta</w:t>
            </w:r>
            <w:r w:rsidR="009B13E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77960" w:rsidRPr="00686214" w14:paraId="186B17EE" w14:textId="77777777" w:rsidTr="005A4AB5">
        <w:trPr>
          <w:trHeight w:val="126"/>
        </w:trPr>
        <w:tc>
          <w:tcPr>
            <w:tcW w:w="279" w:type="pct"/>
            <w:noWrap/>
          </w:tcPr>
          <w:p w14:paraId="2D707043" w14:textId="44D2222C" w:rsidR="00377960" w:rsidRPr="00686214" w:rsidRDefault="00C464F9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4721" w:type="pct"/>
          </w:tcPr>
          <w:p w14:paraId="4D8F959A" w14:textId="450274DC" w:rsidR="00377960" w:rsidRPr="00686214" w:rsidRDefault="00377960" w:rsidP="005C1AA2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Wykonawca podpisze stosowane zobowiązania o poufności oraz o powierzeniu przetwarzania danych osobowych</w:t>
            </w:r>
            <w:r w:rsidR="009B13E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7960" w:rsidRPr="00686214" w14:paraId="609819D6" w14:textId="77777777" w:rsidTr="005A4AB5">
        <w:trPr>
          <w:trHeight w:val="1404"/>
        </w:trPr>
        <w:tc>
          <w:tcPr>
            <w:tcW w:w="279" w:type="pct"/>
            <w:noWrap/>
          </w:tcPr>
          <w:p w14:paraId="06CDD2A0" w14:textId="17615D92" w:rsidR="00377960" w:rsidRPr="00686214" w:rsidRDefault="00C464F9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721" w:type="pct"/>
          </w:tcPr>
          <w:p w14:paraId="4B4E8905" w14:textId="3DC1DFC7" w:rsidR="00377960" w:rsidRPr="00686214" w:rsidRDefault="00377960" w:rsidP="006573E5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4" w:name="_Hlk158363055"/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okresie świadczenia usługi udostępniania sprzętu w chmurze </w:t>
            </w:r>
            <w:bookmarkEnd w:id="14"/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Wykonawca zagwarantuje pełną dostępność dostarczonego </w:t>
            </w:r>
            <w:r w:rsidR="00353489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systemu 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 udostępnionej infrastrukturze, przy czym czasy usunięcia awarii infrastruktury będą zależne od rodzaju awarii: </w:t>
            </w:r>
          </w:p>
          <w:p w14:paraId="02D133CA" w14:textId="119558F8" w:rsidR="00377960" w:rsidRPr="00686214" w:rsidRDefault="00D84FEC" w:rsidP="006573E5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Czas usunięcia a</w:t>
            </w:r>
            <w:r w:rsidR="00377960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wari</w:t>
            </w:r>
            <w:r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i</w:t>
            </w:r>
            <w:r w:rsidR="00377960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 krytyczn</w:t>
            </w:r>
            <w:r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ej dla udostępnionej w chmurze infrastruktury sprzętowej to </w:t>
            </w:r>
            <w:r w:rsidR="00377960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r w:rsidR="00550B18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maksymalnie </w:t>
            </w:r>
            <w:r w:rsidR="00377960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24 godziny</w:t>
            </w:r>
            <w:r w:rsidR="009F5E21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 (kryterium ocen</w:t>
            </w:r>
            <w:r w:rsidR="000621DA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y</w:t>
            </w:r>
            <w:r w:rsidR="00E538BF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 ofert </w:t>
            </w:r>
            <w:r w:rsidR="009F5E21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)</w:t>
            </w:r>
          </w:p>
          <w:p w14:paraId="1B0D7EA9" w14:textId="4D8971A9" w:rsidR="0035035A" w:rsidRPr="00686214" w:rsidRDefault="00D84FEC" w:rsidP="006573E5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Czas usunięcia  a</w:t>
            </w:r>
            <w:r w:rsidR="00377960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wari</w:t>
            </w:r>
            <w:r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i</w:t>
            </w:r>
            <w:r w:rsidR="00377960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 zwykł</w:t>
            </w:r>
            <w:r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ej</w:t>
            </w:r>
            <w:r w:rsidR="00377960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r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dla udostępnionej w chmurze infrastruktury sprzętowej to  </w:t>
            </w:r>
            <w:r w:rsidR="00550B18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 xml:space="preserve">maksymalnie </w:t>
            </w:r>
            <w:r w:rsidR="00377960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72 godziny</w:t>
            </w:r>
            <w:r w:rsidR="00377960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9F5E21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(kryterium oceny</w:t>
            </w:r>
            <w:r w:rsidR="00E538BF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ofert </w:t>
            </w:r>
            <w:r w:rsidR="009F5E21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  <w:p w14:paraId="3765F81D" w14:textId="77777777" w:rsidR="00550B18" w:rsidRPr="00686214" w:rsidRDefault="00550B18" w:rsidP="00550B18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Zamawiający określa kategorię awarii, zgodnie z definicją wynikającą z Umowy.</w:t>
            </w:r>
          </w:p>
          <w:p w14:paraId="2115E8FE" w14:textId="63039239" w:rsidR="00550B18" w:rsidRPr="00686214" w:rsidRDefault="00550B18" w:rsidP="006573E5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7960" w:rsidRPr="00686214" w14:paraId="307C4B97" w14:textId="77777777" w:rsidTr="005A4AB5">
        <w:trPr>
          <w:trHeight w:val="996"/>
        </w:trPr>
        <w:tc>
          <w:tcPr>
            <w:tcW w:w="279" w:type="pct"/>
            <w:noWrap/>
          </w:tcPr>
          <w:p w14:paraId="6F948995" w14:textId="36636722" w:rsidR="00377960" w:rsidRPr="00686214" w:rsidRDefault="00C464F9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721" w:type="pct"/>
          </w:tcPr>
          <w:p w14:paraId="306F14C3" w14:textId="202121A3" w:rsidR="00377960" w:rsidRPr="00686214" w:rsidRDefault="00377960" w:rsidP="00562DC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Wykonawca w zakresie udostępnionej w chmurze infrastruktury sprzętowej przekaże Zamawiającemu pełną informację o wszystkich fizycznych lokalizacjach serwerów, na których przetwarzane będą dane zawarte w bazie danych systemu </w:t>
            </w:r>
            <w:r w:rsidR="00A45CC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– z zastrzeżeniem, że żadne z tych miejsc nie może być zlokalizowane poza granicami Unii Europejskiej</w:t>
            </w:r>
            <w:r w:rsidR="009B13E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77960" w:rsidRPr="00686214" w14:paraId="2D62A9B5" w14:textId="77777777" w:rsidTr="005A4AB5">
        <w:trPr>
          <w:trHeight w:val="984"/>
        </w:trPr>
        <w:tc>
          <w:tcPr>
            <w:tcW w:w="279" w:type="pct"/>
            <w:noWrap/>
          </w:tcPr>
          <w:p w14:paraId="6A9B33DE" w14:textId="647B6ADB" w:rsidR="00377960" w:rsidRPr="00686214" w:rsidRDefault="00C464F9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721" w:type="pct"/>
          </w:tcPr>
          <w:p w14:paraId="5F21C3D5" w14:textId="32142316" w:rsidR="00377960" w:rsidRPr="00686214" w:rsidRDefault="00377960" w:rsidP="00562DC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Wykonawca w zakresie udostępnionej w chmurze infrastruktury sprzętowej będzie zobowiązany do każdorazowego przekazania Zamawiającemu informacji o planowanej zmianie lokalizacji udostępnionej w chmurze infrastruktury sprzętowej w terminie umożliwiającym podjęcie decyzji o ewentualnym rozwiązaniu umowy, tj. nie później niż 2 miesiące przed dniem planowanej zmiany lokalizacji</w:t>
            </w:r>
            <w:r w:rsidR="009B13E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77960" w:rsidRPr="00686214" w14:paraId="5AC89AA7" w14:textId="77777777" w:rsidTr="005A4AB5">
        <w:trPr>
          <w:trHeight w:val="924"/>
        </w:trPr>
        <w:tc>
          <w:tcPr>
            <w:tcW w:w="279" w:type="pct"/>
            <w:noWrap/>
          </w:tcPr>
          <w:p w14:paraId="06269502" w14:textId="2AF80014" w:rsidR="00377960" w:rsidRPr="00686214" w:rsidRDefault="00C464F9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721" w:type="pct"/>
          </w:tcPr>
          <w:p w14:paraId="112F331D" w14:textId="58D578CC" w:rsidR="00377960" w:rsidRPr="00686214" w:rsidRDefault="00377960" w:rsidP="00562DC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Wykonawca w zakresie udostępnionej w chmurze infrastruktury sprzętowej umożliwi Zamawiającemu pełny dostęp do dokumentacji dotyczącej zasad bezpieczeństwa oraz środków technicznych przyjmowanych w poszczególnych centrach przetwarzania danych.</w:t>
            </w:r>
          </w:p>
        </w:tc>
      </w:tr>
      <w:tr w:rsidR="00377960" w:rsidRPr="00686214" w14:paraId="7C658225" w14:textId="77777777" w:rsidTr="005A4AB5">
        <w:trPr>
          <w:trHeight w:val="1548"/>
        </w:trPr>
        <w:tc>
          <w:tcPr>
            <w:tcW w:w="279" w:type="pct"/>
            <w:noWrap/>
          </w:tcPr>
          <w:p w14:paraId="7B9209F8" w14:textId="79F4BEED" w:rsidR="00377960" w:rsidRPr="00686214" w:rsidRDefault="00C464F9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721" w:type="pct"/>
          </w:tcPr>
          <w:p w14:paraId="374778E3" w14:textId="77777777" w:rsidR="00377960" w:rsidRPr="00686214" w:rsidRDefault="00377960" w:rsidP="00562DC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Wykonawca w zakresie udostępnionej w chmurze infrastruktury sprzętowej jest zobowiązany przekazać Zamawiającemu pełną informację dotyczącą podwykonawców i współpracujących instytucji mających udział w realizacji usługi chmurowej. </w:t>
            </w:r>
          </w:p>
          <w:p w14:paraId="2C9572E5" w14:textId="4992D7A9" w:rsidR="00377960" w:rsidRPr="00686214" w:rsidRDefault="00377960" w:rsidP="00562DC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Przekazana informacja powinna umożliwić Zamawiającemu ocenę wszystkich podwykonawców w „stosie chmur” oraz umożliwić mu ocenę roli każdego z tych podmiotów jako przetwarzającego dane osobowe</w:t>
            </w:r>
            <w:r w:rsidR="009B13E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202C3F" w:rsidRPr="00686214" w14:paraId="578DA822" w14:textId="77777777" w:rsidTr="005A4AB5">
        <w:trPr>
          <w:trHeight w:val="1548"/>
        </w:trPr>
        <w:tc>
          <w:tcPr>
            <w:tcW w:w="279" w:type="pct"/>
            <w:noWrap/>
          </w:tcPr>
          <w:p w14:paraId="3AC3E01C" w14:textId="64FABE30" w:rsidR="00202C3F" w:rsidRPr="00686214" w:rsidRDefault="00202C3F" w:rsidP="00784AF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5" w:name="_Hlk161381872"/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721" w:type="pct"/>
          </w:tcPr>
          <w:p w14:paraId="2C00201E" w14:textId="3BC35186" w:rsidR="00202C3F" w:rsidRPr="00686214" w:rsidRDefault="00202C3F" w:rsidP="00562DC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Przed zakończeniem okresu gwarancji, Wykonawca zobowiązany jest przygotować obrazy wszystkich maszyn wirtualnych oraz kopię całego środowiska celem ewentualnego przeniesienia do innej chmury w przypadku wyłonienia innego dostawcy chmury.</w:t>
            </w:r>
          </w:p>
          <w:p w14:paraId="4F1B4D95" w14:textId="38D82FCA" w:rsidR="004E4FE2" w:rsidRPr="00686214" w:rsidRDefault="004E4FE2" w:rsidP="00562DC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Wraz z obrazami Wykonawca dostarczy dokładną dokumentację, umożliwiająca uruchomienie środowiska w innej chmurze, która musi zawierać minimum  wersję wymaganego wirtualizatora, minimalne parametry techniczne maszyn informację na temat ilości potrzebnych maszyn oraz dokładny opis procedury uruchomienia całego środowiska wraz z wszelkimi niezbędnymi poświadczeniami. </w:t>
            </w:r>
          </w:p>
          <w:p w14:paraId="3B901A0B" w14:textId="77777777" w:rsidR="00202C3F" w:rsidRPr="00686214" w:rsidRDefault="00202C3F" w:rsidP="00562DC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Udostępnienie w/w danych musi nastąpić w dwóch iteracjach,</w:t>
            </w:r>
          </w:p>
          <w:p w14:paraId="3893E1DC" w14:textId="77777777" w:rsidR="00202C3F" w:rsidRPr="00686214" w:rsidRDefault="00202C3F" w:rsidP="0081494D">
            <w:pPr>
              <w:pStyle w:val="Akapitzlist"/>
              <w:numPr>
                <w:ilvl w:val="0"/>
                <w:numId w:val="42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terminie 30 dni przed zakończeniem okresu gwarancji </w:t>
            </w:r>
          </w:p>
          <w:p w14:paraId="077967BE" w14:textId="18CC78BD" w:rsidR="00202C3F" w:rsidRPr="00686214" w:rsidRDefault="00202C3F" w:rsidP="0081494D">
            <w:pPr>
              <w:pStyle w:val="Akapitzlist"/>
              <w:numPr>
                <w:ilvl w:val="0"/>
                <w:numId w:val="42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 dniu zakończenia umowy celem uaktualnienia danych, które przyrosły od czasu przekazania </w:t>
            </w:r>
            <w:r w:rsidR="004E4FE2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pierwszej</w:t>
            </w: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iteracji danych    </w:t>
            </w:r>
          </w:p>
        </w:tc>
      </w:tr>
      <w:bookmarkEnd w:id="15"/>
      <w:tr w:rsidR="005A4AB5" w:rsidRPr="00686214" w14:paraId="7FBF0C30" w14:textId="77777777" w:rsidTr="005A4AB5">
        <w:tc>
          <w:tcPr>
            <w:tcW w:w="5000" w:type="pct"/>
            <w:gridSpan w:val="2"/>
            <w:shd w:val="clear" w:color="auto" w:fill="00B0F0"/>
            <w:noWrap/>
          </w:tcPr>
          <w:p w14:paraId="5B26EF81" w14:textId="004FE17B" w:rsidR="005A4AB5" w:rsidRPr="00686214" w:rsidRDefault="005A4AB5" w:rsidP="00562DC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Warunki gwarancji</w:t>
            </w:r>
            <w:r w:rsidR="00A97595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dla systemu CW</w:t>
            </w:r>
            <w:r w:rsidR="003A15D0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B</w:t>
            </w:r>
            <w:r w:rsidR="00A97595"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K</w:t>
            </w:r>
            <w:r w:rsidRPr="0068621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9D7918" w:rsidRPr="00686214" w14:paraId="10131975" w14:textId="77777777" w:rsidTr="005A4AB5">
        <w:tc>
          <w:tcPr>
            <w:tcW w:w="279" w:type="pct"/>
            <w:noWrap/>
          </w:tcPr>
          <w:p w14:paraId="175B3839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218896EF" w14:textId="39D38843" w:rsidR="009D7918" w:rsidRPr="00686214" w:rsidRDefault="009D7918" w:rsidP="009D7918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Wykonawca udzieli Zamawiającemu gwarancji na cały </w:t>
            </w:r>
            <w:r w:rsidR="007E5D5E" w:rsidRPr="0068621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rzedmiot </w:t>
            </w:r>
            <w:r w:rsidR="007E5D5E" w:rsidRPr="0068621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amówienia.</w:t>
            </w:r>
          </w:p>
        </w:tc>
      </w:tr>
      <w:tr w:rsidR="009D7918" w:rsidRPr="00686214" w14:paraId="25EFA0CA" w14:textId="77777777" w:rsidTr="001737A1">
        <w:trPr>
          <w:trHeight w:val="653"/>
        </w:trPr>
        <w:tc>
          <w:tcPr>
            <w:tcW w:w="279" w:type="pct"/>
            <w:noWrap/>
          </w:tcPr>
          <w:p w14:paraId="0DCFD148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789C798A" w14:textId="751D220F" w:rsidR="00EC0522" w:rsidRPr="00686214" w:rsidRDefault="009D7918" w:rsidP="007E5D5E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Okres gwarancji na dostarczany system wynosi </w:t>
            </w:r>
            <w:r w:rsidR="001737A1" w:rsidRPr="0068621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C25395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miesięcy </w:t>
            </w:r>
            <w:r w:rsidR="00B82B40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rozpoczyna się w dniu podpisania </w:t>
            </w:r>
            <w:r w:rsidR="007E5D5E" w:rsidRPr="0068621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rotokołu </w:t>
            </w:r>
            <w:r w:rsidR="007E5D5E" w:rsidRPr="0068621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dbioru  bez zastrzeżeń. </w:t>
            </w:r>
          </w:p>
        </w:tc>
      </w:tr>
      <w:tr w:rsidR="009D7918" w:rsidRPr="00686214" w14:paraId="568BE30F" w14:textId="77777777" w:rsidTr="005A4AB5">
        <w:tc>
          <w:tcPr>
            <w:tcW w:w="279" w:type="pct"/>
            <w:noWrap/>
          </w:tcPr>
          <w:p w14:paraId="4B5FF7A4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3BAC281E" w14:textId="4F92A053" w:rsidR="009D7918" w:rsidRPr="00686214" w:rsidRDefault="009D7918" w:rsidP="009D7918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De</w:t>
            </w:r>
            <w:r w:rsidRPr="00686214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BFBFBF" w:themeFill="background1" w:themeFillShade="BF"/>
              </w:rPr>
              <w:t>finic</w:t>
            </w: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je błędów:</w:t>
            </w:r>
          </w:p>
        </w:tc>
      </w:tr>
      <w:tr w:rsidR="009D7918" w:rsidRPr="00686214" w14:paraId="0BC9CF7F" w14:textId="77777777" w:rsidTr="005A4AB5">
        <w:trPr>
          <w:trHeight w:val="1548"/>
        </w:trPr>
        <w:tc>
          <w:tcPr>
            <w:tcW w:w="279" w:type="pct"/>
            <w:noWrap/>
          </w:tcPr>
          <w:p w14:paraId="0B8CE871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37BDEA14" w14:textId="03CB143A" w:rsidR="007E5D5E" w:rsidRPr="00686214" w:rsidRDefault="009D7918" w:rsidP="009D7918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Błąd krytyczny: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błąd, w wyniku którego niemożliwe jest użytkowanie </w:t>
            </w:r>
            <w:r w:rsidR="0067389E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ystemu w zakresie jego funkcjonalności wskazanej w dokumentacji użytkownika, a w szczególności nieprawidłowe działanie </w:t>
            </w:r>
            <w:r w:rsidR="0067389E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ystemu, w wyniku którego następuje zatrzymanie pracy </w:t>
            </w:r>
            <w:r w:rsidR="00217CB9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ystemu</w:t>
            </w:r>
            <w:r w:rsidR="0067389E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lub modułu lub niedostępne są istotne funkcje</w:t>
            </w:r>
            <w:r w:rsidR="0067389E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7CB9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ystemu niezbędne do realizacji celów i zadań Zamawiającego (np. brak możliwości pobrania obrazów z zasobów VNA) lub</w:t>
            </w:r>
            <w:r w:rsidR="0067389E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ystem</w:t>
            </w:r>
            <w:r w:rsidR="00E97B29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utracił dane lub wystąpiły zaburzenia ich integralności, do zastąpienia wadliwej funkcjonalności wymagana jest praca manualna.</w:t>
            </w:r>
          </w:p>
        </w:tc>
      </w:tr>
      <w:tr w:rsidR="009D7918" w:rsidRPr="00686214" w14:paraId="28060605" w14:textId="77777777" w:rsidTr="005A4AB5">
        <w:trPr>
          <w:trHeight w:val="1548"/>
        </w:trPr>
        <w:tc>
          <w:tcPr>
            <w:tcW w:w="279" w:type="pct"/>
            <w:noWrap/>
          </w:tcPr>
          <w:p w14:paraId="6CC5A68B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75931E80" w14:textId="0BA5288A" w:rsidR="009D7918" w:rsidRPr="00686214" w:rsidRDefault="009D7918" w:rsidP="009D7918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Błąd istotny: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działanie </w:t>
            </w:r>
            <w:r w:rsidR="00E97B29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ystemu</w:t>
            </w:r>
            <w:r w:rsidR="00E97B29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niezgodne z wymaganiami wynikającymi z Umowy, w tym dotyczącymi bezpieczeństwa, mające wpływ na poprawne funkcjonowanie </w:t>
            </w:r>
            <w:r w:rsidR="00E97B29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ystemu lub jego składowych, odbiegające od standardowego, opisanego w dokumentacji </w:t>
            </w:r>
            <w:r w:rsidR="00E97B29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ystemu</w:t>
            </w:r>
            <w:r w:rsidR="006B33EB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spowodowane błędem oprogramowania lub wadą prac serwisowych/konfiguracyjnych. Błąd istotny to błąd zakłócający rutynową eksploatację </w:t>
            </w:r>
            <w:r w:rsidR="00E97B29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ystemu i czynności w pracy bezpośrednich użytkowników - rutynowa eksploatacja </w:t>
            </w:r>
            <w:r w:rsidR="00E97B29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systemu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wprawdzie jest możliwa, ale wiąże się z utrudnieniami dla użytkownika (np. spowolnienie reakcji </w:t>
            </w:r>
            <w:r w:rsidR="00E97B29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systemu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przy otwieraniu okna, zapisywaniu dokumentu, podpisywaniu dokumentu).</w:t>
            </w:r>
          </w:p>
        </w:tc>
      </w:tr>
      <w:tr w:rsidR="009D7918" w:rsidRPr="00686214" w14:paraId="43447275" w14:textId="77777777" w:rsidTr="005A4AB5">
        <w:trPr>
          <w:trHeight w:val="1548"/>
        </w:trPr>
        <w:tc>
          <w:tcPr>
            <w:tcW w:w="279" w:type="pct"/>
            <w:noWrap/>
          </w:tcPr>
          <w:p w14:paraId="00470D89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40DEED5A" w14:textId="75804C61" w:rsidR="009D7918" w:rsidRPr="00686214" w:rsidRDefault="009D7918" w:rsidP="009D7918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Błąd zwykły: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błąd nie będący Błędem krytycznym ani istotnym. Stan </w:t>
            </w:r>
            <w:r w:rsidR="00E97B29" w:rsidRPr="00686214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  <w:r w:rsidR="006B33EB" w:rsidRPr="006862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mający wpływ na poprawne funkcjonowanie </w:t>
            </w:r>
            <w:r w:rsidR="00E97B29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systemu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lub jego składowych, odbiegający od założeń funkcjonowania </w:t>
            </w:r>
            <w:r w:rsidR="00E97B29" w:rsidRPr="00686214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, niezakłócający rutynowej eksploatacji </w:t>
            </w:r>
            <w:r w:rsidR="00E97B29" w:rsidRPr="00686214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i czynności w pracy bezpośrednich użytkowników - rutynowa eksploatacja </w:t>
            </w:r>
            <w:r w:rsidR="0034664F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systemu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jest możliwa, ale wiąże się z drobnymi utrudnieniami dla użytkownika (np. wizualizacja dokumentu zawierająca wszystkie wymagane dane ale nieprawidłowo sformatowana;  pojawiający się komunikat ostrzegawczy, który nie blokuje funkcjonalności, itp.).</w:t>
            </w:r>
          </w:p>
        </w:tc>
      </w:tr>
      <w:tr w:rsidR="009D7918" w:rsidRPr="00686214" w14:paraId="0329B0B0" w14:textId="77777777" w:rsidTr="001737A1">
        <w:trPr>
          <w:trHeight w:val="691"/>
        </w:trPr>
        <w:tc>
          <w:tcPr>
            <w:tcW w:w="279" w:type="pct"/>
            <w:noWrap/>
          </w:tcPr>
          <w:p w14:paraId="1D7072DF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716C104C" w14:textId="676E95EF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 okresie świadczenia usług serwisu gwarancyjnego Wykonawca gwarantuje poniższe terminy naprawy błędów (czas naprawy błędu to czas liczony od momentu </w:t>
            </w:r>
            <w:r w:rsidR="008A7AD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zgłoszenia przez Zamawiającego informacji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o zaistnieniu błędu do czasu dostarczenia oraz zainstalowania  poprawki w środowisku produkcyjnym zgodnie z warunkami zawartymi w Umowie.</w:t>
            </w:r>
          </w:p>
          <w:p w14:paraId="59BA34F0" w14:textId="77777777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Status zgłoszenia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Maksymalny czas naprawy</w:t>
            </w:r>
          </w:p>
          <w:p w14:paraId="578DB95F" w14:textId="77777777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Błąd krytyczny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   2 dni robocze</w:t>
            </w:r>
          </w:p>
          <w:p w14:paraId="730D57B6" w14:textId="7AFDF266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Błąd istotny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   </w:t>
            </w:r>
            <w:r w:rsidR="005173ED" w:rsidRPr="006862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dni robocz</w:t>
            </w:r>
            <w:r w:rsidR="005173ED" w:rsidRPr="00686214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</w:p>
          <w:p w14:paraId="7DF38B08" w14:textId="79B09B12" w:rsidR="007E5D5E" w:rsidRPr="00686214" w:rsidRDefault="009D7918" w:rsidP="009F5E21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Błąd zwykły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   10 dni roboczych</w:t>
            </w:r>
          </w:p>
        </w:tc>
      </w:tr>
      <w:tr w:rsidR="009D7918" w:rsidRPr="00686214" w14:paraId="6E1E14C2" w14:textId="77777777" w:rsidTr="005A4AB5">
        <w:trPr>
          <w:trHeight w:val="1548"/>
        </w:trPr>
        <w:tc>
          <w:tcPr>
            <w:tcW w:w="279" w:type="pct"/>
            <w:noWrap/>
          </w:tcPr>
          <w:p w14:paraId="23B142F4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130F42E7" w14:textId="55FF2776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Usługi serwisu gwarancyjnego w okresie obowiązywania gwarancji będą polegać na obsłudze wszystkich zgłoszeń oraz zapytań dotyczących nieprawidłowego funkcjonowania systemu </w:t>
            </w:r>
            <w:r w:rsidR="00A45CC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439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oraz na:</w:t>
            </w:r>
          </w:p>
          <w:p w14:paraId="4B864519" w14:textId="4EF3A627" w:rsidR="009D7918" w:rsidRPr="00686214" w:rsidRDefault="009D7918" w:rsidP="0081494D">
            <w:pPr>
              <w:pStyle w:val="Akapitzlist"/>
              <w:numPr>
                <w:ilvl w:val="0"/>
                <w:numId w:val="28"/>
              </w:numPr>
              <w:autoSpaceDN w:val="0"/>
              <w:spacing w:after="120" w:line="276" w:lineRule="auto"/>
              <w:ind w:left="317" w:hanging="28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usuwaniu błędów (krytycznych, istotnych, zwykłych) wykrytych w dostarczonym oprogramowaniu w wymaganych terminach, określonych w tabeli powyżej;</w:t>
            </w:r>
          </w:p>
          <w:p w14:paraId="522F915C" w14:textId="77777777" w:rsidR="009D7918" w:rsidRPr="00686214" w:rsidRDefault="009D7918" w:rsidP="0081494D">
            <w:pPr>
              <w:pStyle w:val="Akapitzlist"/>
              <w:numPr>
                <w:ilvl w:val="0"/>
                <w:numId w:val="28"/>
              </w:numPr>
              <w:autoSpaceDN w:val="0"/>
              <w:spacing w:after="120" w:line="276" w:lineRule="auto"/>
              <w:ind w:left="317" w:hanging="28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dostarczanie i instalacja uaktualnień, poprawek i nowych wersji dostarczonego oprogramowania w terminach uzgodnionych z Zamawiającym;</w:t>
            </w:r>
          </w:p>
          <w:p w14:paraId="05E84B9F" w14:textId="77777777" w:rsidR="009D7918" w:rsidRPr="00686214" w:rsidRDefault="009D7918" w:rsidP="0081494D">
            <w:pPr>
              <w:pStyle w:val="Akapitzlist"/>
              <w:numPr>
                <w:ilvl w:val="0"/>
                <w:numId w:val="28"/>
              </w:numPr>
              <w:autoSpaceDN w:val="0"/>
              <w:spacing w:after="120" w:line="242" w:lineRule="auto"/>
              <w:ind w:left="317" w:hanging="28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dostosowywanie oprogramowania do wymogów prawa (zgodność, co najmniej w randze rozporządzenia, w rozumieniu art. 87 ust. 1 Konstytucji RP z dnia 2 kwietnia 1997 roku oraz obowiązującymi wykładniami prawnymi lub wskazówkami jednostek nadrzędnych - Narodowy Fundusz Zdrowia, Ministerstwo Zdrowia, Samorządowy Wydział Zdrowia i inne);</w:t>
            </w:r>
          </w:p>
          <w:p w14:paraId="7D12279D" w14:textId="77777777" w:rsidR="009D7918" w:rsidRPr="00686214" w:rsidRDefault="009D7918" w:rsidP="0081494D">
            <w:pPr>
              <w:pStyle w:val="Akapitzlist"/>
              <w:numPr>
                <w:ilvl w:val="0"/>
                <w:numId w:val="28"/>
              </w:numPr>
              <w:autoSpaceDN w:val="0"/>
              <w:spacing w:after="120" w:line="242" w:lineRule="auto"/>
              <w:ind w:left="317" w:hanging="28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przeprowadzeniu  przed zakończeniem każdego roku gwarancji strojenia wydajnościowego serwera bazy danych.</w:t>
            </w:r>
          </w:p>
          <w:p w14:paraId="62623F2A" w14:textId="1C8CF086" w:rsidR="009D7918" w:rsidRPr="00686214" w:rsidRDefault="009D7918" w:rsidP="0081494D">
            <w:pPr>
              <w:pStyle w:val="Akapitzlist"/>
              <w:numPr>
                <w:ilvl w:val="0"/>
                <w:numId w:val="28"/>
              </w:numPr>
              <w:autoSpaceDN w:val="0"/>
              <w:spacing w:after="120" w:line="242" w:lineRule="auto"/>
              <w:ind w:left="317" w:hanging="28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aktualizacji Dokumentacji powdrożeniowej.</w:t>
            </w:r>
          </w:p>
        </w:tc>
      </w:tr>
      <w:tr w:rsidR="009D7918" w:rsidRPr="00686214" w14:paraId="35BB2DE8" w14:textId="77777777" w:rsidTr="005A4AB5">
        <w:tc>
          <w:tcPr>
            <w:tcW w:w="279" w:type="pct"/>
            <w:noWrap/>
          </w:tcPr>
          <w:p w14:paraId="3461CD1A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27063F68" w14:textId="21DEEE99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Zamawiający określa kategorię błędu, zgodnie z definicją wynikającą z Umowy, w momencie dokonywania zgłoszenia oraz może dokonać jej zmiany na uzasadniony wniosek Wykonawcy.</w:t>
            </w:r>
          </w:p>
        </w:tc>
      </w:tr>
      <w:tr w:rsidR="009D7918" w:rsidRPr="00686214" w14:paraId="05B231BF" w14:textId="77777777" w:rsidTr="005A4AB5">
        <w:tc>
          <w:tcPr>
            <w:tcW w:w="279" w:type="pct"/>
            <w:noWrap/>
          </w:tcPr>
          <w:p w14:paraId="380480D9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1FCFE5DE" w14:textId="5BEC934D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Wykonawca zobowiązuje się do naprawy błędów w sposób zapobiegający utracie jakichkolwiek danych. W przypadku, gdy wykonanie naprawy błędu wiąże się z ryzykiem utraty danych, Wykonawca jest zobowiązany poinformować Zamawiającego o tym przed przystąpieniem do wykonania naprawy błędu.</w:t>
            </w:r>
          </w:p>
        </w:tc>
      </w:tr>
      <w:tr w:rsidR="009D7918" w:rsidRPr="00686214" w14:paraId="23955E23" w14:textId="77777777" w:rsidTr="005A4AB5">
        <w:tc>
          <w:tcPr>
            <w:tcW w:w="279" w:type="pct"/>
            <w:noWrap/>
          </w:tcPr>
          <w:p w14:paraId="23948142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132F95E0" w14:textId="2D6443C6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 przypadku, gdy naprawa zgłoszonego błędu lub aktualizacja do nowszej wersji spowoduje awarię funkcjonalności, która działała poprawnie przez wprowadzeniem zmian w </w:t>
            </w:r>
            <w:r w:rsidR="00146691" w:rsidRPr="0068621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programowaniu Zamawiającego Wykonawca usunie taką awarię w trybie określonym dla danej kategorii błędu zgodnie z definicją przyjętą w niniejszym zamówieniu.</w:t>
            </w:r>
          </w:p>
        </w:tc>
      </w:tr>
      <w:tr w:rsidR="009D7918" w:rsidRPr="00686214" w14:paraId="135A3485" w14:textId="77777777" w:rsidTr="005A4AB5">
        <w:tc>
          <w:tcPr>
            <w:tcW w:w="279" w:type="pct"/>
            <w:noWrap/>
          </w:tcPr>
          <w:p w14:paraId="36D084BE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78814C54" w14:textId="073A0B09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Po </w:t>
            </w:r>
            <w:r w:rsidR="00B10A70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naprawie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błędu Wykonawca dokonuje niezwłocznie wpisu w Systemie Obsługi Zgłoszeń Serwisowych oraz wysyła wiadomość  e-mail z informacją do Zamawiającego. </w:t>
            </w:r>
          </w:p>
        </w:tc>
      </w:tr>
      <w:tr w:rsidR="009D7918" w:rsidRPr="00686214" w14:paraId="24C7C2D4" w14:textId="77777777" w:rsidTr="005A4AB5">
        <w:tc>
          <w:tcPr>
            <w:tcW w:w="279" w:type="pct"/>
            <w:noWrap/>
          </w:tcPr>
          <w:p w14:paraId="4CC03FFA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0663267A" w14:textId="216851FA" w:rsidR="009D7918" w:rsidRPr="00686214" w:rsidRDefault="0013228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Wykonawca po dokonaniu naprawy błędu </w:t>
            </w:r>
            <w:r w:rsidR="009D7918" w:rsidRPr="00686214">
              <w:rPr>
                <w:rFonts w:ascii="Times New Roman" w:hAnsi="Times New Roman" w:cs="Times New Roman"/>
                <w:sz w:val="20"/>
                <w:szCs w:val="20"/>
              </w:rPr>
              <w:t>dokon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uje </w:t>
            </w:r>
            <w:r w:rsidR="009D7918" w:rsidRPr="00686214">
              <w:rPr>
                <w:rFonts w:ascii="Times New Roman" w:hAnsi="Times New Roman" w:cs="Times New Roman"/>
                <w:sz w:val="20"/>
                <w:szCs w:val="20"/>
              </w:rPr>
              <w:t>wpisu w Systemie Obsługi Zgłoszeń Serwisowych oraz inform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uje</w:t>
            </w:r>
            <w:r w:rsidR="009D7918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Zamawiającego poprzez e-mail o </w:t>
            </w:r>
            <w:r w:rsidR="00B10A70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naprawie </w:t>
            </w:r>
            <w:r w:rsidR="009D7918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błędu w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D7918" w:rsidRPr="00686214">
              <w:rPr>
                <w:rFonts w:ascii="Times New Roman" w:hAnsi="Times New Roman" w:cs="Times New Roman"/>
                <w:sz w:val="20"/>
                <w:szCs w:val="20"/>
              </w:rPr>
              <w:t>ystemie</w:t>
            </w:r>
            <w:r w:rsidR="00B73CA3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918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7918" w:rsidRPr="00686214" w14:paraId="47BDAECE" w14:textId="77777777" w:rsidTr="005A4AB5">
        <w:tc>
          <w:tcPr>
            <w:tcW w:w="279" w:type="pct"/>
            <w:noWrap/>
          </w:tcPr>
          <w:p w14:paraId="60B2E4ED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4A054891" w14:textId="5F1B36C0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 weryfikacji naprawy błędu l Zmawiający niezwłocznie potwierdza skuteczność lub stwierdza nieskuteczność dokonanych czynności Wykonawcy w zakresie poprawy błędu. Naprawa błędu , co do których Wykonawca poinformował o ich wykonaniu, a która został</w:t>
            </w:r>
            <w:r w:rsidR="004735EC" w:rsidRPr="006862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odrzucon</w:t>
            </w:r>
            <w:r w:rsidR="004735EC" w:rsidRPr="006862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przez Zamawiającego w wyniku przeprowadzonych testów, trwa do czasu  skutecznego wykonania i  potwierdzenia przez Zamawiającego.</w:t>
            </w:r>
          </w:p>
        </w:tc>
      </w:tr>
      <w:tr w:rsidR="009D7918" w:rsidRPr="00686214" w14:paraId="7B4454F1" w14:textId="77777777" w:rsidTr="005A4AB5">
        <w:tc>
          <w:tcPr>
            <w:tcW w:w="279" w:type="pct"/>
            <w:noWrap/>
          </w:tcPr>
          <w:p w14:paraId="7E9A5DEF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077BA32F" w14:textId="2A82F759" w:rsidR="009D7918" w:rsidRPr="00686214" w:rsidRDefault="009D7918" w:rsidP="009D791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Jeżeli Wykonawca nie usunie błędu w terminie określonym w</w:t>
            </w:r>
            <w:r w:rsidR="00BC1F34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tabeli pkt </w:t>
            </w:r>
            <w:r w:rsidR="009F5E21" w:rsidRPr="006862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, Zamawiający może: </w:t>
            </w:r>
          </w:p>
          <w:p w14:paraId="2D2FEF68" w14:textId="77777777" w:rsidR="009D7918" w:rsidRPr="00686214" w:rsidRDefault="009D7918" w:rsidP="009D791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zawiadamiając uprzednio Wykonawcę, </w:t>
            </w:r>
          </w:p>
          <w:p w14:paraId="23003E80" w14:textId="56EF7601" w:rsidR="009D7918" w:rsidRPr="00686214" w:rsidRDefault="009D7918" w:rsidP="0081494D">
            <w:pPr>
              <w:pStyle w:val="Bezodstpw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usunąć błąd we własnym zakresie lub powierzyć jego usunięcie innemu podmiotowi na koszt i ryzyko Wykonawcy, co nie spowoduje utraty przysługujących Zamawiającemu uprawnień z tytułu gwarancji.</w:t>
            </w:r>
          </w:p>
          <w:p w14:paraId="5B6A868C" w14:textId="42CEAEDD" w:rsidR="009D7918" w:rsidRPr="00686214" w:rsidRDefault="009D7918" w:rsidP="0081494D">
            <w:pPr>
              <w:pStyle w:val="Bezodstpw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koszty poniesione przez Zamawiającego przy usunięciu błędu mogą zostać potrącone z wynagrodzenia przysługującego Wykonawcy, na co Wykonawca wyraża zgodę.</w:t>
            </w:r>
          </w:p>
          <w:p w14:paraId="03129755" w14:textId="7C350515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7918" w:rsidRPr="00686214" w14:paraId="73A96E8C" w14:textId="77777777" w:rsidTr="005A4AB5">
        <w:tc>
          <w:tcPr>
            <w:tcW w:w="279" w:type="pct"/>
            <w:noWrap/>
          </w:tcPr>
          <w:p w14:paraId="0EA0065A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2C20715B" w14:textId="4602DD6E" w:rsidR="009D7918" w:rsidRPr="00686214" w:rsidRDefault="009D7918" w:rsidP="009D791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 okresie gwarancyjnym wszelkie koszty związane z serwisem gwarancyjnym ponosi Wykonawca.</w:t>
            </w:r>
          </w:p>
        </w:tc>
      </w:tr>
      <w:tr w:rsidR="009D7918" w:rsidRPr="00686214" w14:paraId="2DF53EDA" w14:textId="77777777" w:rsidTr="005A4AB5">
        <w:tc>
          <w:tcPr>
            <w:tcW w:w="279" w:type="pct"/>
            <w:noWrap/>
          </w:tcPr>
          <w:p w14:paraId="7EECC5AD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5C687249" w14:textId="0EED70DA" w:rsidR="009D7918" w:rsidRPr="00686214" w:rsidRDefault="009D7918" w:rsidP="009D791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Zamawiający wymaga, aby Wykonawca do celów wykonania świadczeń gwarancyjnych udostępniał aplikację internetową do przyjmowania i obsługi zgłoszeń.</w:t>
            </w:r>
          </w:p>
        </w:tc>
      </w:tr>
      <w:tr w:rsidR="009D7918" w:rsidRPr="00686214" w14:paraId="3674FADB" w14:textId="77777777" w:rsidTr="005A4AB5">
        <w:tc>
          <w:tcPr>
            <w:tcW w:w="279" w:type="pct"/>
            <w:noWrap/>
          </w:tcPr>
          <w:p w14:paraId="470AD977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06459515" w14:textId="7F8F4A62" w:rsidR="009D7918" w:rsidRPr="00686214" w:rsidRDefault="009D7918" w:rsidP="009D791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Zamawiający wymaga dostarczenia od Wykonawcy mechanizmu ciągłego, proaktywnego monitorowania kluczowych parametrów życiowych systemu</w:t>
            </w:r>
            <w:r w:rsidR="005E6148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5CC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D7918" w:rsidRPr="00686214" w14:paraId="4B4BE66D" w14:textId="77777777" w:rsidTr="005A4AB5">
        <w:tc>
          <w:tcPr>
            <w:tcW w:w="279" w:type="pct"/>
            <w:noWrap/>
          </w:tcPr>
          <w:p w14:paraId="419DC56E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5CABF110" w14:textId="39D3C7DA" w:rsidR="009D7918" w:rsidRPr="00686214" w:rsidRDefault="009D7918" w:rsidP="009D791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 okresie trwania gwarancji jakości/rękojmi za wady na przedmiot umowy wszelkie koszty usuwania wad i awarii, których przyczyna nie leży po stronie Zamawiającego ponosi Wykonawca</w:t>
            </w:r>
          </w:p>
        </w:tc>
      </w:tr>
      <w:tr w:rsidR="009D7918" w:rsidRPr="00686214" w14:paraId="6729C98E" w14:textId="77777777" w:rsidTr="005A4AB5">
        <w:tc>
          <w:tcPr>
            <w:tcW w:w="279" w:type="pct"/>
            <w:noWrap/>
          </w:tcPr>
          <w:p w14:paraId="110EFAFA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4926478B" w14:textId="77777777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Aplikacja internetowa do przyjmowania i obsługi zgłoszeń (</w:t>
            </w:r>
            <w:r w:rsidRPr="006862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System Obsługi Zgłoszeń Serwisowych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Pr="00686214" w:rsidDel="009434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musi umożliwiać realizację co najmniej następujących funkcji:</w:t>
            </w:r>
          </w:p>
          <w:p w14:paraId="5C937C1B" w14:textId="37258810" w:rsidR="009D7918" w:rsidRPr="00686214" w:rsidRDefault="009D7918" w:rsidP="009D7918">
            <w:pPr>
              <w:pStyle w:val="Akapitzlist"/>
              <w:spacing w:after="12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wysyłanie zgłoszeń błędów oraz pytań dotyczących dostarczonego</w:t>
            </w:r>
            <w:r w:rsidR="009F5E21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oprogramowania/systemu </w:t>
            </w:r>
            <w:r w:rsidR="00A45CC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5E21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poprzez serwis www oraz nadawanie statusu i identyfikatora zgłoszeniom;</w:t>
            </w:r>
          </w:p>
          <w:p w14:paraId="210D0522" w14:textId="40AA1714" w:rsidR="009D7918" w:rsidRPr="00686214" w:rsidRDefault="009D7918" w:rsidP="009D7918">
            <w:pPr>
              <w:pStyle w:val="Akapitzlist"/>
              <w:spacing w:after="12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przypisanie kategorii błędu przez Zamawiającego;</w:t>
            </w:r>
          </w:p>
          <w:p w14:paraId="0B8A9D5B" w14:textId="7F2FA39D" w:rsidR="009D7918" w:rsidRPr="00686214" w:rsidRDefault="009D7918" w:rsidP="009D7918">
            <w:pPr>
              <w:pStyle w:val="Akapitzlist"/>
              <w:spacing w:after="12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powiadamianie zwrotne o statusie wysłanych zgłoszeń (wiadomość e-mail), w tym o przyjęciu zgłoszenia i naprawie błędu;</w:t>
            </w:r>
          </w:p>
          <w:p w14:paraId="5FC361C8" w14:textId="77777777" w:rsidR="009D7918" w:rsidRPr="00686214" w:rsidRDefault="009D7918" w:rsidP="009D7918">
            <w:pPr>
              <w:pStyle w:val="Akapitzlist"/>
              <w:spacing w:after="12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dostęp do treści historycznych zgłoszeń wysyłanych przez Zamawiającego z możliwością wyszukania zgłoszeń i zbiorczego eksportu zgłoszeń;</w:t>
            </w:r>
          </w:p>
          <w:p w14:paraId="658B188F" w14:textId="77777777" w:rsidR="009D7918" w:rsidRPr="00686214" w:rsidRDefault="009D7918" w:rsidP="009D7918">
            <w:pPr>
              <w:pStyle w:val="Akapitzlist"/>
              <w:spacing w:after="12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serwis zawierający odpowiedzi na najczęściej zadawane pytania związane z poprawnym funkcjonowaniem oprogramowania;</w:t>
            </w:r>
          </w:p>
          <w:p w14:paraId="243A1D2A" w14:textId="35E1AE65" w:rsidR="009D7918" w:rsidRPr="00686214" w:rsidRDefault="009D7918" w:rsidP="009D7918">
            <w:pPr>
              <w:pStyle w:val="Akapitzlist"/>
              <w:spacing w:after="12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publikowanie na bieżąco wszystkich informacji o nowych aktualizacjach systemu</w:t>
            </w:r>
            <w:r w:rsidR="00C854A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5CC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, ważnych komunikatach oraz udostępnianie tych informacji przez kanał RSS;</w:t>
            </w:r>
          </w:p>
          <w:p w14:paraId="647D875B" w14:textId="77777777" w:rsidR="009D7918" w:rsidRPr="00686214" w:rsidRDefault="009D7918" w:rsidP="009D7918">
            <w:pPr>
              <w:pStyle w:val="Akapitzlist"/>
              <w:spacing w:after="12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7)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ab/>
              <w:t>wszelkie uaktualnienia dostarczonego oprogramowania w zakresie adekwatnym do zakresu tego oprogramowania posiadanego przez Zamawiającego oraz instrukcje dla użytkowników zamieszczane na serwerze ftp lub udostępniane poprzez aplikację;</w:t>
            </w:r>
          </w:p>
          <w:p w14:paraId="3EBEA99E" w14:textId="2DEC37B4" w:rsidR="009D7918" w:rsidRPr="00686214" w:rsidRDefault="009D7918" w:rsidP="009D7918">
            <w:pPr>
              <w:pStyle w:val="Akapitzlist"/>
              <w:spacing w:after="12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8) Zamawiający dopuszcza wykonywanie aktualizacji </w:t>
            </w:r>
            <w:r w:rsidR="00747444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ystemu </w:t>
            </w:r>
            <w:r w:rsidR="00A45CC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54A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przez Wykonawcę po uzgodnieniu jej zakresu i terminu z Zamawiającym,</w:t>
            </w:r>
          </w:p>
          <w:p w14:paraId="06BEF781" w14:textId="337DDA08" w:rsidR="009D7918" w:rsidRPr="00686214" w:rsidRDefault="009D7918" w:rsidP="009D7918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9) aplikacja umożliwi definiowanie grup użytkowników, do których będą kierowane powiadomienia e-mail.</w:t>
            </w:r>
          </w:p>
        </w:tc>
      </w:tr>
      <w:tr w:rsidR="009D7918" w:rsidRPr="00686214" w14:paraId="345DD27F" w14:textId="77777777" w:rsidTr="005A4AB5">
        <w:tc>
          <w:tcPr>
            <w:tcW w:w="279" w:type="pct"/>
            <w:noWrap/>
          </w:tcPr>
          <w:p w14:paraId="29095FAC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67A80893" w14:textId="165D2E05" w:rsidR="009D7918" w:rsidRPr="00686214" w:rsidRDefault="009D7918" w:rsidP="0038237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 ramach wynagrodzenia Wykonawca zapewni Zamawiającemu przez czas trwania zobowiązań wynikających z Umowy, w tym zobowiązań dotyczących świadczenia Usług serwisu gwarancyjnego, niewyłączną, ograniczoną czasowo</w:t>
            </w:r>
            <w:r w:rsidR="00382376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tj zgodną </w:t>
            </w:r>
            <w:r w:rsidR="001A4412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="00382376" w:rsidRPr="00686214">
              <w:rPr>
                <w:rFonts w:ascii="Times New Roman" w:hAnsi="Times New Roman" w:cs="Times New Roman"/>
                <w:sz w:val="20"/>
                <w:szCs w:val="20"/>
              </w:rPr>
              <w:t>okresem gwarancji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licencję na korzystanie z Systemu Obsługi Zgłoszeń Serwisowych dla co najmniej 10 pracowników Zamawiającego, o ile taka licencja będzie niezbędna do zapewnienia Zamawiającemu dostępu do Systemu Obsługi Zgłoszeń Serwisowych w zakresie wymaganym w OPZ.</w:t>
            </w:r>
          </w:p>
        </w:tc>
      </w:tr>
      <w:tr w:rsidR="009D7918" w:rsidRPr="00686214" w14:paraId="766CC3B2" w14:textId="77777777" w:rsidTr="005A4AB5">
        <w:tc>
          <w:tcPr>
            <w:tcW w:w="279" w:type="pct"/>
            <w:noWrap/>
          </w:tcPr>
          <w:p w14:paraId="27DB9A7D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2EC27E1C" w14:textId="1E8F55C6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Zamawiający ma prawo do konsultacji zdalnych z Wykonawcą bez ograniczeń czasowych w okresie trwania gwarancji – w odniesieniu do zidentyfikowanych błędów w </w:t>
            </w:r>
            <w:r w:rsidR="00747444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ystemie. W tym celu Wykonawca udostępni numer telefonu Infolinii. Koszt połączenia z numerem Infolinii będzie naliczany zgodnie z taryfą operatora osoby dzwoniącej.</w:t>
            </w:r>
          </w:p>
        </w:tc>
      </w:tr>
      <w:tr w:rsidR="00B521C3" w:rsidRPr="00686214" w14:paraId="21173097" w14:textId="77777777" w:rsidTr="005A4AB5">
        <w:tc>
          <w:tcPr>
            <w:tcW w:w="279" w:type="pct"/>
            <w:noWrap/>
          </w:tcPr>
          <w:p w14:paraId="5B1F331D" w14:textId="77777777" w:rsidR="00B521C3" w:rsidRPr="00686214" w:rsidRDefault="00B521C3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727F3D68" w14:textId="728B52E3" w:rsidR="00B521C3" w:rsidRPr="00686214" w:rsidRDefault="004C28B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 celu </w:t>
            </w:r>
            <w:r w:rsidR="00E073BF" w:rsidRPr="00686214">
              <w:rPr>
                <w:rFonts w:ascii="Times New Roman" w:hAnsi="Times New Roman" w:cs="Times New Roman"/>
                <w:sz w:val="20"/>
                <w:szCs w:val="20"/>
              </w:rPr>
              <w:t>zintegrowania</w:t>
            </w:r>
            <w:r w:rsidR="00B521C3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w przyszłości </w:t>
            </w:r>
            <w:r w:rsidR="00E073BF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z regionalnym </w:t>
            </w:r>
            <w:r w:rsidR="00B521C3" w:rsidRPr="00686214">
              <w:rPr>
                <w:rFonts w:ascii="Times New Roman" w:hAnsi="Times New Roman" w:cs="Times New Roman"/>
                <w:sz w:val="20"/>
                <w:szCs w:val="20"/>
              </w:rPr>
              <w:t>centrum</w:t>
            </w:r>
            <w:r w:rsidR="00E073BF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medycyny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cyfrowej Wykonawca dostarczy dla systemu  API wraz z dokumentacją, umożliwiające granularny eksport danych z wykorzystaniem standardu HL7 oraz xml</w:t>
            </w:r>
            <w:r w:rsidR="004801A9" w:rsidRPr="006862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6F8C7D6" w14:textId="42CBC69C" w:rsidR="004C28B8" w:rsidRPr="00686214" w:rsidRDefault="004C28B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UWAGA: integracja ta nie stanowi przedmiotu obecnego zamówienia</w:t>
            </w:r>
          </w:p>
        </w:tc>
      </w:tr>
      <w:tr w:rsidR="009D7918" w:rsidRPr="00686214" w14:paraId="58CD5447" w14:textId="77777777" w:rsidTr="005A4AB5">
        <w:tc>
          <w:tcPr>
            <w:tcW w:w="279" w:type="pct"/>
            <w:noWrap/>
          </w:tcPr>
          <w:p w14:paraId="1DD0B290" w14:textId="77777777" w:rsidR="009D7918" w:rsidRPr="00686214" w:rsidRDefault="009D7918" w:rsidP="0081494D">
            <w:pPr>
              <w:pStyle w:val="Akapitzlist"/>
              <w:numPr>
                <w:ilvl w:val="0"/>
                <w:numId w:val="30"/>
              </w:numPr>
              <w:spacing w:before="60" w:after="0" w:line="276" w:lineRule="auto"/>
              <w:ind w:left="209" w:hanging="2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</w:tcPr>
          <w:p w14:paraId="6A5EFAED" w14:textId="5826FD23" w:rsidR="009D7918" w:rsidRPr="00686214" w:rsidRDefault="009D7918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Usługi serwisu gwarancyjnego muszą być świadczone w języku polskim.</w:t>
            </w:r>
          </w:p>
        </w:tc>
      </w:tr>
      <w:tr w:rsidR="00A72B28" w:rsidRPr="00686214" w14:paraId="22812372" w14:textId="77777777" w:rsidTr="005A4AB5">
        <w:tc>
          <w:tcPr>
            <w:tcW w:w="279" w:type="pct"/>
            <w:shd w:val="clear" w:color="auto" w:fill="00B0F0"/>
            <w:noWrap/>
          </w:tcPr>
          <w:p w14:paraId="48EFC0A8" w14:textId="77777777" w:rsidR="00A72B28" w:rsidRPr="00686214" w:rsidRDefault="00A72B28" w:rsidP="009D7918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21" w:type="pct"/>
            <w:shd w:val="clear" w:color="auto" w:fill="00B0F0"/>
          </w:tcPr>
          <w:p w14:paraId="30BECB11" w14:textId="764146CF" w:rsidR="00A72B28" w:rsidRPr="00686214" w:rsidRDefault="0071306C" w:rsidP="009D7918">
            <w:pPr>
              <w:autoSpaceDN w:val="0"/>
              <w:spacing w:after="120" w:line="276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Prawa autorskie </w:t>
            </w:r>
          </w:p>
        </w:tc>
      </w:tr>
    </w:tbl>
    <w:tbl>
      <w:tblPr>
        <w:tblStyle w:val="Tabela-Siatka"/>
        <w:tblW w:w="10096" w:type="dxa"/>
        <w:tblLook w:val="04A0" w:firstRow="1" w:lastRow="0" w:firstColumn="1" w:lastColumn="0" w:noHBand="0" w:noVBand="1"/>
      </w:tblPr>
      <w:tblGrid>
        <w:gridCol w:w="562"/>
        <w:gridCol w:w="9534"/>
      </w:tblGrid>
      <w:tr w:rsidR="00A72B28" w:rsidRPr="00686214" w14:paraId="2F518C61" w14:textId="77777777" w:rsidTr="00D005DE">
        <w:tc>
          <w:tcPr>
            <w:tcW w:w="562" w:type="dxa"/>
          </w:tcPr>
          <w:p w14:paraId="1F08B004" w14:textId="32D0CF72" w:rsidR="00A72B28" w:rsidRPr="00686214" w:rsidRDefault="00D005DE" w:rsidP="007130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534" w:type="dxa"/>
          </w:tcPr>
          <w:p w14:paraId="27A63BD1" w14:textId="1B76A8E0" w:rsidR="00A72B28" w:rsidRPr="00686214" w:rsidRDefault="00A72B28" w:rsidP="007130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Wykonawca zapewnia, że wszelkie Utwory, w rozumieniu przepisów ustawy z 4 lutego 1994 r. o prawie autorskim i prawach pokrewnych (Dz. U. z </w:t>
            </w:r>
            <w:r w:rsidR="00C30387" w:rsidRPr="00686214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C30387" w:rsidRPr="00686214">
              <w:rPr>
                <w:rFonts w:ascii="Times New Roman" w:hAnsi="Times New Roman" w:cs="Times New Roman"/>
                <w:sz w:val="20"/>
                <w:szCs w:val="20"/>
              </w:rPr>
              <w:t>1062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), wykonane na podstawie Umowy będą wolne od wad prawnych. </w:t>
            </w:r>
            <w:bookmarkStart w:id="16" w:name="_Hlk33615381"/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 szczególności Wykonawca zapewnia, iż rozporządzanie Utworami dostarczonymi przez Wykonawcę  i korzystanie z nich przez Zamawiającego, jego licencjobiorców lub następców prawnych, nie będzie naruszać jakichkolwiek praw Wykonawcy oraz osób trzecich, w szczególności przysługujących takim osobom osobistych lub majątkowych praw autorskich, tajemnicy przedsiębiorstwa, praw własności przemysłowej lub dóbr osobistych.</w:t>
            </w:r>
            <w:bookmarkEnd w:id="16"/>
          </w:p>
        </w:tc>
      </w:tr>
      <w:tr w:rsidR="00A72B28" w:rsidRPr="00686214" w14:paraId="4F6A2082" w14:textId="77777777" w:rsidTr="00D005DE">
        <w:tc>
          <w:tcPr>
            <w:tcW w:w="562" w:type="dxa"/>
          </w:tcPr>
          <w:p w14:paraId="4DACD518" w14:textId="21AA0D29" w:rsidR="00A72B28" w:rsidRPr="00686214" w:rsidRDefault="00D005DE" w:rsidP="007130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534" w:type="dxa"/>
          </w:tcPr>
          <w:p w14:paraId="64A2AA3F" w14:textId="2BC7EEC0" w:rsidR="00A72B28" w:rsidRPr="00686214" w:rsidRDefault="00A72B28" w:rsidP="007130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Hlk33615663"/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Wykonawca zapewni, że osoby uprawnione z tytułu osobistych praw autorskich do Utworów dostarczonych przez niego w ramach realizacji Umowy, a także osoby uprawnione do wykonywania takich praw, nie będą ich wykonywać w stosunku do Zamawiającego, jego następców prawnych lub licencjobiorców.</w:t>
            </w:r>
            <w:bookmarkEnd w:id="17"/>
          </w:p>
        </w:tc>
      </w:tr>
      <w:tr w:rsidR="00A72B28" w:rsidRPr="00686214" w14:paraId="54E1100C" w14:textId="77777777" w:rsidTr="00D005DE">
        <w:tc>
          <w:tcPr>
            <w:tcW w:w="562" w:type="dxa"/>
          </w:tcPr>
          <w:p w14:paraId="636BD611" w14:textId="6F08E2AA" w:rsidR="00A72B28" w:rsidRPr="00686214" w:rsidRDefault="00D005DE" w:rsidP="007130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9534" w:type="dxa"/>
          </w:tcPr>
          <w:p w14:paraId="356DEB1A" w14:textId="7EB4C9A6" w:rsidR="00A72B28" w:rsidRPr="00686214" w:rsidRDefault="00A72B28" w:rsidP="007130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Wykonawca oświadcza i gwarantuje, że warunki korzystania z </w:t>
            </w:r>
            <w:r w:rsidR="0071306C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dostarczonego </w:t>
            </w:r>
            <w:r w:rsidR="00C30387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ystemu </w:t>
            </w:r>
            <w:r w:rsidR="00A45CC7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306C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nie wymagają ponoszenia dodatkowych opłat na rzecz Wykonawcy lub producentów elementów </w:t>
            </w:r>
            <w:r w:rsidR="00C30387" w:rsidRPr="006862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ystemu. </w:t>
            </w:r>
          </w:p>
        </w:tc>
      </w:tr>
    </w:tbl>
    <w:p w14:paraId="79D0658D" w14:textId="1610DFF3" w:rsidR="00F45138" w:rsidRPr="00686214" w:rsidRDefault="00F45138" w:rsidP="00076CDE">
      <w:pPr>
        <w:pStyle w:val="Nagwek1"/>
        <w:autoSpaceDN w:val="0"/>
        <w:spacing w:line="242" w:lineRule="auto"/>
        <w:textAlignment w:val="baseline"/>
        <w:rPr>
          <w:rFonts w:ascii="Times New Roman" w:hAnsi="Times New Roman" w:cs="Times New Roman"/>
          <w:b/>
          <w:color w:val="auto"/>
          <w:sz w:val="20"/>
          <w:szCs w:val="20"/>
          <w:u w:val="single"/>
        </w:rPr>
      </w:pPr>
      <w:r w:rsidRPr="00686214">
        <w:rPr>
          <w:rFonts w:ascii="Times New Roman" w:hAnsi="Times New Roman" w:cs="Times New Roman"/>
          <w:b/>
          <w:color w:val="auto"/>
          <w:sz w:val="20"/>
          <w:szCs w:val="20"/>
          <w:u w:val="single"/>
        </w:rPr>
        <w:t>Usługa instalacji i konfiguracji środowisk</w:t>
      </w:r>
      <w:r w:rsidR="004D5345" w:rsidRPr="00686214">
        <w:rPr>
          <w:rFonts w:ascii="Times New Roman" w:hAnsi="Times New Roman" w:cs="Times New Roman"/>
          <w:b/>
          <w:color w:val="auto"/>
          <w:sz w:val="20"/>
          <w:szCs w:val="20"/>
          <w:u w:val="single"/>
        </w:rPr>
        <w:t>a</w:t>
      </w:r>
    </w:p>
    <w:p w14:paraId="183F1D25" w14:textId="77777777" w:rsidR="00C50099" w:rsidRPr="00686214" w:rsidRDefault="00C50099" w:rsidP="00C50099">
      <w:pPr>
        <w:rPr>
          <w:rFonts w:ascii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9650"/>
      </w:tblGrid>
      <w:tr w:rsidR="00926602" w:rsidRPr="00686214" w14:paraId="4B8DBDDC" w14:textId="77777777" w:rsidTr="00B01B42">
        <w:trPr>
          <w:trHeight w:val="300"/>
        </w:trPr>
        <w:tc>
          <w:tcPr>
            <w:tcW w:w="221" w:type="pct"/>
            <w:shd w:val="clear" w:color="auto" w:fill="00B0F0"/>
            <w:noWrap/>
            <w:vAlign w:val="center"/>
            <w:hideMark/>
          </w:tcPr>
          <w:p w14:paraId="4AD4CE14" w14:textId="77777777" w:rsidR="00926602" w:rsidRPr="00686214" w:rsidRDefault="00926602" w:rsidP="00D42F74">
            <w:pPr>
              <w:spacing w:before="60"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779" w:type="pct"/>
            <w:shd w:val="clear" w:color="auto" w:fill="00B0F0"/>
            <w:noWrap/>
            <w:vAlign w:val="center"/>
            <w:hideMark/>
          </w:tcPr>
          <w:p w14:paraId="5AAA1FAB" w14:textId="2CA459AC" w:rsidR="00926602" w:rsidRPr="00686214" w:rsidRDefault="00926602" w:rsidP="00D42F74">
            <w:pPr>
              <w:spacing w:before="60"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Wymagan</w:t>
            </w:r>
            <w:r w:rsidR="00A03F24"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>ia</w:t>
            </w:r>
            <w:r w:rsidRPr="00686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minimalne </w:t>
            </w:r>
          </w:p>
        </w:tc>
      </w:tr>
      <w:tr w:rsidR="00200577" w:rsidRPr="00686214" w14:paraId="41767EB6" w14:textId="77777777" w:rsidTr="00926602">
        <w:trPr>
          <w:cantSplit/>
        </w:trPr>
        <w:tc>
          <w:tcPr>
            <w:tcW w:w="5000" w:type="pct"/>
            <w:gridSpan w:val="2"/>
            <w:shd w:val="clear" w:color="auto" w:fill="00B0F0"/>
            <w:noWrap/>
          </w:tcPr>
          <w:p w14:paraId="17B9797D" w14:textId="3590AF6D" w:rsidR="00F45138" w:rsidRPr="00686214" w:rsidRDefault="00F45138" w:rsidP="00D42F74">
            <w:pPr>
              <w:spacing w:before="60" w:after="0" w:line="276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Usługa instalacji i konfiguracji środowiska </w:t>
            </w:r>
          </w:p>
        </w:tc>
      </w:tr>
      <w:tr w:rsidR="00200577" w:rsidRPr="00686214" w14:paraId="2EFC3DFF" w14:textId="77777777" w:rsidTr="00F45138">
        <w:trPr>
          <w:trHeight w:val="58"/>
        </w:trPr>
        <w:tc>
          <w:tcPr>
            <w:tcW w:w="5000" w:type="pct"/>
            <w:gridSpan w:val="2"/>
            <w:noWrap/>
          </w:tcPr>
          <w:p w14:paraId="3057AFB3" w14:textId="7DB6EA5D" w:rsidR="00F45138" w:rsidRPr="00686214" w:rsidRDefault="00F45138" w:rsidP="00D42F7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Usługa polega na instalacji </w:t>
            </w:r>
            <w:r w:rsidR="00100087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 konfiguracji </w:t>
            </w:r>
            <w:r w:rsidR="00C50099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dostarczonego </w:t>
            </w:r>
            <w:r w:rsidR="00462E50" w:rsidRPr="006862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systemu </w:t>
            </w:r>
          </w:p>
        </w:tc>
      </w:tr>
      <w:tr w:rsidR="00377960" w:rsidRPr="00686214" w14:paraId="7E0C03DF" w14:textId="77777777" w:rsidTr="00B01B42">
        <w:trPr>
          <w:trHeight w:val="58"/>
        </w:trPr>
        <w:tc>
          <w:tcPr>
            <w:tcW w:w="221" w:type="pct"/>
            <w:noWrap/>
          </w:tcPr>
          <w:p w14:paraId="5F167D45" w14:textId="4630C7C6" w:rsidR="00377960" w:rsidRPr="00686214" w:rsidRDefault="00377960" w:rsidP="00D42F7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C464F9" w:rsidRPr="006862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3A47D09" w14:textId="6B2E599F" w:rsidR="00377960" w:rsidRPr="00686214" w:rsidRDefault="00377960" w:rsidP="00D42F7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9" w:type="pct"/>
          </w:tcPr>
          <w:p w14:paraId="385DB596" w14:textId="35138379" w:rsidR="00377960" w:rsidRPr="00686214" w:rsidRDefault="00377960" w:rsidP="00B22287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Usługa może być wykonana jedynie przez tych Wykonawców, którzy posiadają niezbędną wiedzę i doświadczenie oraz dysponują odpowiednim potencjałem technicznym i osobami zdolnymi do należytego wykonania zamówienia</w:t>
            </w:r>
            <w:r w:rsidR="004801A9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377960" w:rsidRPr="00686214" w14:paraId="4AF981EE" w14:textId="77777777" w:rsidTr="00B01B42">
        <w:trPr>
          <w:trHeight w:val="58"/>
        </w:trPr>
        <w:tc>
          <w:tcPr>
            <w:tcW w:w="221" w:type="pct"/>
            <w:noWrap/>
          </w:tcPr>
          <w:p w14:paraId="181CB6B4" w14:textId="3F161243" w:rsidR="00377960" w:rsidRPr="00686214" w:rsidRDefault="00C464F9" w:rsidP="00D42F7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79" w:type="pct"/>
          </w:tcPr>
          <w:p w14:paraId="2099E52C" w14:textId="075E583B" w:rsidR="00377960" w:rsidRPr="00686214" w:rsidRDefault="00377960" w:rsidP="00B22287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Wykonawca dokona instalacji i konfiguracji udostępnionej w ramach niniejszego zamówienia infrastruktury sprzętowej w chmurze.</w:t>
            </w:r>
          </w:p>
        </w:tc>
      </w:tr>
      <w:tr w:rsidR="00C464F9" w:rsidRPr="00686214" w14:paraId="0937A251" w14:textId="77777777" w:rsidTr="00B01B42">
        <w:trPr>
          <w:trHeight w:val="270"/>
        </w:trPr>
        <w:tc>
          <w:tcPr>
            <w:tcW w:w="221" w:type="pct"/>
            <w:vMerge w:val="restart"/>
            <w:noWrap/>
          </w:tcPr>
          <w:p w14:paraId="481444C4" w14:textId="63C77533" w:rsidR="00C464F9" w:rsidRPr="00686214" w:rsidRDefault="00C464F9" w:rsidP="00D42F7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79" w:type="pct"/>
          </w:tcPr>
          <w:p w14:paraId="4C9EF55C" w14:textId="75AF2039" w:rsidR="00C464F9" w:rsidRPr="00686214" w:rsidRDefault="00C464F9" w:rsidP="00100087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Wykonawca dokona instalacji i konfiguracji oprogramowania bazodanowego  oraz systemu dostarczonego w ramach zamówienia na udostępnionej infrastrukturze sprzętowej oraz na wskazanych przez Zamawiającego stacjach roboczych (będących w posiadaniu Zamawiającego)</w:t>
            </w:r>
            <w:r w:rsidR="004801A9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C464F9" w:rsidRPr="00686214" w14:paraId="348D4AB4" w14:textId="77777777" w:rsidTr="00B01B42">
        <w:trPr>
          <w:trHeight w:val="270"/>
        </w:trPr>
        <w:tc>
          <w:tcPr>
            <w:tcW w:w="221" w:type="pct"/>
            <w:vMerge/>
            <w:noWrap/>
          </w:tcPr>
          <w:p w14:paraId="4BD95FF3" w14:textId="77777777" w:rsidR="00C464F9" w:rsidRPr="00686214" w:rsidRDefault="00C464F9" w:rsidP="00D42F7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9" w:type="pct"/>
          </w:tcPr>
          <w:p w14:paraId="6D42BE59" w14:textId="091C78A8" w:rsidR="00C464F9" w:rsidRPr="00686214" w:rsidRDefault="00C464F9" w:rsidP="00100087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Wykonawca przygotuje dwa środowiska</w:t>
            </w:r>
            <w:r w:rsidR="00813999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testowe oraz produkcyjne</w:t>
            </w:r>
            <w:r w:rsidR="004801A9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377960" w:rsidRPr="00686214" w14:paraId="245109BF" w14:textId="77777777" w:rsidTr="00B01B42">
        <w:trPr>
          <w:trHeight w:val="58"/>
        </w:trPr>
        <w:tc>
          <w:tcPr>
            <w:tcW w:w="221" w:type="pct"/>
            <w:noWrap/>
          </w:tcPr>
          <w:p w14:paraId="76C62FFB" w14:textId="6634ADCF" w:rsidR="00377960" w:rsidRPr="00686214" w:rsidRDefault="00C464F9" w:rsidP="00D42F7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79" w:type="pct"/>
          </w:tcPr>
          <w:p w14:paraId="478C60D1" w14:textId="4E83E039" w:rsidR="00377960" w:rsidRPr="00686214" w:rsidRDefault="00377960" w:rsidP="004B255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Wykonawca dokona testowania zainstalowanego oprogramowania ze szczególnym uwzględnieniem</w:t>
            </w:r>
          </w:p>
          <w:p w14:paraId="74C7EE64" w14:textId="034C3AA2" w:rsidR="00377960" w:rsidRPr="00686214" w:rsidRDefault="00377960" w:rsidP="00E21554">
            <w:pPr>
              <w:pStyle w:val="Akapitzlist"/>
              <w:numPr>
                <w:ilvl w:val="0"/>
                <w:numId w:val="4"/>
              </w:numPr>
              <w:spacing w:before="60" w:after="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konfiguracji sprzętu</w:t>
            </w:r>
          </w:p>
          <w:p w14:paraId="154AE017" w14:textId="7C9FC605" w:rsidR="00377960" w:rsidRPr="00686214" w:rsidRDefault="00377960" w:rsidP="00E21554">
            <w:pPr>
              <w:pStyle w:val="Akapitzlist"/>
              <w:numPr>
                <w:ilvl w:val="0"/>
                <w:numId w:val="4"/>
              </w:numPr>
              <w:spacing w:before="60" w:after="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konfiguracji stacji końcowych </w:t>
            </w:r>
          </w:p>
          <w:p w14:paraId="61F72997" w14:textId="77777777" w:rsidR="000668E2" w:rsidRPr="00686214" w:rsidRDefault="00377960" w:rsidP="00E21554">
            <w:pPr>
              <w:pStyle w:val="Akapitzlist"/>
              <w:numPr>
                <w:ilvl w:val="0"/>
                <w:numId w:val="4"/>
              </w:numPr>
              <w:spacing w:before="60" w:after="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procedury odtwarzania kopii zapasowej </w:t>
            </w:r>
          </w:p>
          <w:p w14:paraId="25968C57" w14:textId="40ECA45D" w:rsidR="000668E2" w:rsidRPr="00686214" w:rsidRDefault="000668E2" w:rsidP="004B255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Wykonawca przeprowadzi następujące rodzaje testów: </w:t>
            </w:r>
          </w:p>
          <w:p w14:paraId="1B92BB40" w14:textId="2C51CF08" w:rsidR="000668E2" w:rsidRPr="00686214" w:rsidRDefault="000668E2" w:rsidP="0081494D">
            <w:pPr>
              <w:pStyle w:val="Akapitzlist"/>
              <w:numPr>
                <w:ilvl w:val="0"/>
                <w:numId w:val="37"/>
              </w:numPr>
              <w:spacing w:before="60" w:after="0" w:line="276" w:lineRule="auto"/>
              <w:ind w:left="361" w:hanging="3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testy wewnętrzne –w ramach testów wewnętrznych Wykonawca przeprowadzi testy zgodności z WCAG 2.1 zgodnie z wymaganiami opisanymi</w:t>
            </w:r>
            <w:r w:rsidR="007747C3" w:rsidRPr="006862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7C3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Ustawie o dostępności cyfrowej stron internetowych i aplikacji mobilnych podmiotów publicznych, która weszła w życie 23 maja br.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z wykorzystaniem publicznie dostępnych walidatorów WCAG, i</w:t>
            </w:r>
            <w:r w:rsidR="006B33EB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przedstawi ich wyniki Zamawiającemu.</w:t>
            </w:r>
          </w:p>
          <w:p w14:paraId="67265153" w14:textId="31A43731" w:rsidR="000668E2" w:rsidRPr="00686214" w:rsidRDefault="000668E2" w:rsidP="0081494D">
            <w:pPr>
              <w:pStyle w:val="Akapitzlist"/>
              <w:numPr>
                <w:ilvl w:val="0"/>
                <w:numId w:val="37"/>
              </w:numPr>
              <w:spacing w:before="60" w:after="0" w:line="276" w:lineRule="auto"/>
              <w:ind w:left="361" w:hanging="3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testy akceptacyjne – przeprowadzane z udziałem wyznaczonych przedstawicieli zespołu Zamawiającego w celu potwierdzenia prawidłowości działania </w:t>
            </w:r>
            <w:r w:rsidR="006A690B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systemu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; przypadki testowe w ramach testów akceptacyjnych obejmą wszystkie funkcjonalności będące przedmiotem wdrożenia.</w:t>
            </w:r>
          </w:p>
          <w:p w14:paraId="440ADD81" w14:textId="24BAC94A" w:rsidR="000668E2" w:rsidRPr="00686214" w:rsidRDefault="000668E2" w:rsidP="0081494D">
            <w:pPr>
              <w:pStyle w:val="Akapitzlist"/>
              <w:numPr>
                <w:ilvl w:val="0"/>
                <w:numId w:val="37"/>
              </w:numPr>
              <w:spacing w:before="60" w:after="0" w:line="276" w:lineRule="auto"/>
              <w:ind w:left="361" w:hanging="3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testy wydajnościowe - przeprowadzane z udziałem wyznaczonych przedstawicieli zespołu Zamawiającego w celu potwierdzenia prawidłowości </w:t>
            </w:r>
            <w:r w:rsidR="007747C3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wydajnego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działania </w:t>
            </w:r>
            <w:r w:rsidR="007747C3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systemu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; przypadki testowe w ramach testów akceptacyjnych obejmą wszystkie funkcjonalności będące przedmiotem wdrożenia.</w:t>
            </w:r>
          </w:p>
          <w:p w14:paraId="63E6A5F4" w14:textId="7881DF10" w:rsidR="000668E2" w:rsidRPr="00686214" w:rsidRDefault="000668E2" w:rsidP="0081494D">
            <w:pPr>
              <w:pStyle w:val="Akapitzlist"/>
              <w:numPr>
                <w:ilvl w:val="0"/>
                <w:numId w:val="37"/>
              </w:numPr>
              <w:spacing w:before="60" w:after="0" w:line="276" w:lineRule="auto"/>
              <w:ind w:left="361" w:hanging="3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testy bezpieczeństwa:</w:t>
            </w:r>
            <w:r w:rsidR="007747C3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przeprowadzane z udziałem wyznaczonych przedstawicieli zespołu Zamawiającego w celu potwierdzenia zapewnienia skutecznej ochrony danych przechowywanych w </w:t>
            </w:r>
            <w:r w:rsidR="00E21554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ystemie</w:t>
            </w:r>
            <w:r w:rsidR="006A690B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45CC7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, testy bezpieczeństwa zostaną przeprowadzone w minimum dwóch iteracjach na środowisku testowym oraz produkcyjnym,</w:t>
            </w:r>
            <w:r w:rsidR="00E21554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zakres testów </w:t>
            </w:r>
            <w:r w:rsidR="007747C3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bezpieczeństwa musi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obejm</w:t>
            </w:r>
            <w:r w:rsidR="007747C3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ować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minimum:</w:t>
            </w:r>
          </w:p>
          <w:p w14:paraId="227966B9" w14:textId="66ED1538" w:rsidR="000668E2" w:rsidRPr="00686214" w:rsidRDefault="000668E2" w:rsidP="0081494D">
            <w:pPr>
              <w:pStyle w:val="Akapitzlist"/>
              <w:numPr>
                <w:ilvl w:val="0"/>
                <w:numId w:val="38"/>
              </w:numPr>
              <w:spacing w:before="60" w:after="0" w:line="276" w:lineRule="auto"/>
              <w:ind w:left="64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testy penetracyjne wskazanych zasobów wykonywane metodą white-box – testy o charakterze strukturalnym oraz w sytuacjach tego wymagających – testy funkcjonalne – blackbox (kristalbox); </w:t>
            </w:r>
          </w:p>
          <w:p w14:paraId="31E5EE01" w14:textId="2EDB45BC" w:rsidR="000668E2" w:rsidRPr="00686214" w:rsidRDefault="000668E2" w:rsidP="0081494D">
            <w:pPr>
              <w:pStyle w:val="Akapitzlist"/>
              <w:numPr>
                <w:ilvl w:val="0"/>
                <w:numId w:val="38"/>
              </w:numPr>
              <w:spacing w:before="60" w:after="0" w:line="276" w:lineRule="auto"/>
              <w:ind w:left="64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testy bezpieczeństwa i skany podatności wszystkich składowych elementów (authenticated scan) dostarczonego oprogramowania;</w:t>
            </w:r>
          </w:p>
          <w:p w14:paraId="6B1C1B6A" w14:textId="6EE663D4" w:rsidR="000668E2" w:rsidRPr="00686214" w:rsidRDefault="000668E2" w:rsidP="0081494D">
            <w:pPr>
              <w:pStyle w:val="Akapitzlist"/>
              <w:numPr>
                <w:ilvl w:val="0"/>
                <w:numId w:val="38"/>
              </w:numPr>
              <w:spacing w:before="60" w:after="0" w:line="276" w:lineRule="auto"/>
              <w:ind w:left="64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testy poprawności konfiguracji i parametryzacji sprzętu serwerowego oraz aktywnego sprzętu sieciowego m.in. w oparciu o wytyczne OWASP, </w:t>
            </w:r>
          </w:p>
          <w:p w14:paraId="3054AC77" w14:textId="3AC56F1D" w:rsidR="000668E2" w:rsidRPr="00686214" w:rsidRDefault="000668E2" w:rsidP="0081494D">
            <w:pPr>
              <w:pStyle w:val="Akapitzlist"/>
              <w:numPr>
                <w:ilvl w:val="0"/>
                <w:numId w:val="38"/>
              </w:numPr>
              <w:spacing w:before="60" w:after="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Zamawiający wymaga, aby testy bezpieczeństwa na zlecenie </w:t>
            </w:r>
            <w:r w:rsidR="003D6DE8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ykonawcy przeprowadził ekspert, który posiada certyfikat OSCP lub równoważny.</w:t>
            </w:r>
          </w:p>
          <w:p w14:paraId="3B692DEB" w14:textId="48057322" w:rsidR="000668E2" w:rsidRPr="00686214" w:rsidRDefault="000668E2" w:rsidP="0081494D">
            <w:pPr>
              <w:pStyle w:val="Akapitzlist"/>
              <w:numPr>
                <w:ilvl w:val="0"/>
                <w:numId w:val="37"/>
              </w:numPr>
              <w:spacing w:before="60" w:after="0" w:line="276" w:lineRule="auto"/>
              <w:ind w:left="219" w:hanging="21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testy wydajnościowe – przeprowadzone z udziałem wyznaczonych przedstawicieli zespołu Zamawiającego w celu potwierdzania wystarczającej </w:t>
            </w:r>
            <w:r w:rsidR="003D6DE8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wydajności </w:t>
            </w:r>
            <w:r w:rsidR="006A690B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systemu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dla użytkowników zapewniającej możliwość bieżącej pracy zgodnie z wymaganiami poniżej:</w:t>
            </w:r>
          </w:p>
          <w:p w14:paraId="4D135E4C" w14:textId="03876A3E" w:rsidR="000668E2" w:rsidRPr="00686214" w:rsidRDefault="000668E2" w:rsidP="004B255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Zamawiający wymaga, aby </w:t>
            </w:r>
            <w:r w:rsidR="004C3252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ystem wdrożony przez Wykonawcę umożliwi</w:t>
            </w:r>
            <w:r w:rsidR="006A690B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ł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pracę około </w:t>
            </w:r>
            <w:r w:rsidR="006A690B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użytkowników jednocześnie, przy założeniu wydajności opisanej poniżej.</w:t>
            </w:r>
          </w:p>
          <w:p w14:paraId="7B155FD9" w14:textId="77777777" w:rsidR="000668E2" w:rsidRPr="00686214" w:rsidRDefault="000668E2" w:rsidP="004B255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Zaproponowane rozwiązanie musi zapewnić następujące czasy odpowiedzi:</w:t>
            </w:r>
          </w:p>
          <w:p w14:paraId="7E0B0AA7" w14:textId="1D1B7747" w:rsidR="000668E2" w:rsidRPr="00686214" w:rsidRDefault="000668E2" w:rsidP="004B2556">
            <w:pPr>
              <w:spacing w:before="60" w:after="0" w:line="276" w:lineRule="auto"/>
              <w:ind w:left="21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a)</w:t>
            </w:r>
            <w:r w:rsidR="004B2556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średni czas odpowiedzi przy transakcjach bez zapisu informacji do bazy danych nie może przekraczać 5 sek., czas maksymalny 20 sek. – okres weryfikacji to 10 min;</w:t>
            </w:r>
          </w:p>
          <w:p w14:paraId="08A4AE92" w14:textId="54740C66" w:rsidR="000668E2" w:rsidRPr="00686214" w:rsidRDefault="000668E2" w:rsidP="003D6DE8">
            <w:pPr>
              <w:tabs>
                <w:tab w:val="left" w:pos="503"/>
              </w:tabs>
              <w:spacing w:before="60" w:after="0" w:line="276" w:lineRule="auto"/>
              <w:ind w:left="503" w:hanging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b)</w:t>
            </w:r>
            <w:r w:rsidR="004B2556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średni czas odpowiedzi przy transakcjach z zapisem informacji do bazy danych nie może przekraczać 10 sek., czas maksymalny 30 sek.- okres weryfikacji to 10 min;</w:t>
            </w:r>
          </w:p>
          <w:p w14:paraId="30C9BAEE" w14:textId="159758E3" w:rsidR="000668E2" w:rsidRPr="00686214" w:rsidRDefault="000668E2" w:rsidP="004B2556">
            <w:pPr>
              <w:spacing w:before="60" w:after="0" w:line="276" w:lineRule="auto"/>
              <w:ind w:left="21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c)</w:t>
            </w:r>
            <w:r w:rsidR="004B2556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przez czas odpowiedzi rozumie się czas upływający  od momentu wykonania przez użytkownika w interfejsie aplikacji na końcówce </w:t>
            </w:r>
            <w:r w:rsidR="006A690B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ystemu (stacji roboczej) akcji wyzwalającej działanie </w:t>
            </w:r>
            <w:r w:rsidR="006A690B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ystemu (naciśnięcie odpowiedniego do sytuacji klawisza lub kontrolki w oknie aplikacji, itp.) do momentu uzyskania oczekiwanych (zgodnych z dokumentacją oprogramowania) wyników tej akcji na końcówce użytkownika – ekranie aplikacji.</w:t>
            </w:r>
          </w:p>
          <w:p w14:paraId="46151686" w14:textId="77777777" w:rsidR="000668E2" w:rsidRPr="00686214" w:rsidRDefault="000668E2" w:rsidP="004B255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Wymagane czasy odpowiedzi wskazane w lit. a - c nie dotyczą wykonywania raportów okresowych, dla których maksymalny czas odpowiedzi nie może przekraczać 10 min.</w:t>
            </w:r>
          </w:p>
          <w:p w14:paraId="320DF942" w14:textId="4921E642" w:rsidR="000668E2" w:rsidRPr="00686214" w:rsidRDefault="000668E2" w:rsidP="004B255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7)</w:t>
            </w:r>
            <w:r w:rsidR="006A690B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testy powdrożeniowe – przeprowadzane z udziałem wyznaczonych przedstawicieli zespołu Zamawiającego w celu potwierdzenia wdrożenia </w:t>
            </w:r>
            <w:r w:rsidR="003D6DE8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systemu </w:t>
            </w:r>
            <w:r w:rsidR="00A45CC7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zapewniające prawidłowe </w:t>
            </w:r>
            <w:r w:rsidR="003D6DE8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jego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działanie</w:t>
            </w:r>
            <w:r w:rsidR="003D6DE8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D202600" w14:textId="5F1810DB" w:rsidR="000668E2" w:rsidRPr="00686214" w:rsidRDefault="006A690B" w:rsidP="004B255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8) </w:t>
            </w:r>
            <w:r w:rsidR="000668E2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Weryfikacja i walidacja oprogramowania (kontrola użyteczności docelowej produktu) obejmować będzie w szczególności testy prowadzone metodami: </w:t>
            </w:r>
          </w:p>
          <w:p w14:paraId="355EC3B7" w14:textId="48D91745" w:rsidR="000668E2" w:rsidRPr="00686214" w:rsidRDefault="000668E2" w:rsidP="0081494D">
            <w:pPr>
              <w:pStyle w:val="Akapitzlist"/>
              <w:numPr>
                <w:ilvl w:val="0"/>
                <w:numId w:val="39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testów UAT (ang. User Acceptance Test – testy akceptacyjne), które pozwalają na ocenę przez użytkowników końcowych czy zaimplementowane funkcjonalności są zgodne z wyspecyfikowanymi potrzebami użytkowników oraz czy system w pełni realizuje procesy biznesowe; </w:t>
            </w:r>
          </w:p>
          <w:p w14:paraId="49CAEF02" w14:textId="4B5E93B3" w:rsidR="000668E2" w:rsidRPr="00686214" w:rsidRDefault="000668E2" w:rsidP="0081494D">
            <w:pPr>
              <w:pStyle w:val="Akapitzlist"/>
              <w:numPr>
                <w:ilvl w:val="0"/>
                <w:numId w:val="39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testów dynamicznych polegających na weryfikacji czy poprawnie działa całość Systemu lub jego wybrany moduł poprzez uruchomienie danego procesu biznesowego i zweryfikowanie czy dane wyjściowe są zgodne z oczekiwanymi wynikami.  </w:t>
            </w:r>
          </w:p>
          <w:p w14:paraId="0940063B" w14:textId="2B3CC836" w:rsidR="000668E2" w:rsidRPr="00686214" w:rsidRDefault="000668E2" w:rsidP="004B255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Przed przystąpieniem do testów akceptacyjnych przez Zamawiającego, Wykonawca dostarczy </w:t>
            </w:r>
            <w:r w:rsidR="003D6DE8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scenariusze testowe wraz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raport</w:t>
            </w:r>
            <w:r w:rsidR="003D6DE8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em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testów wewnętrznych</w:t>
            </w:r>
            <w:r w:rsidR="003D6DE8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zakończonych wynikiem pozytywnym tzn. nie zawierających błędów krytycznych oraz istotnych.</w:t>
            </w:r>
          </w:p>
          <w:p w14:paraId="2C2BB87B" w14:textId="331D6C03" w:rsidR="000668E2" w:rsidRPr="00686214" w:rsidRDefault="000668E2" w:rsidP="004B2556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Dodatkowo Zamawiający, na etapie </w:t>
            </w:r>
            <w:r w:rsidR="001A0203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dbioru ma prawo do opracowania własnych scenariuszy testowych w oparciu, o które będzie dokonywał Odbioru, a także przeprowadzenie testów bez scenariuszy.</w:t>
            </w:r>
          </w:p>
        </w:tc>
      </w:tr>
      <w:tr w:rsidR="00377960" w:rsidRPr="00686214" w14:paraId="5614E8FD" w14:textId="77777777" w:rsidTr="00B01B42">
        <w:trPr>
          <w:trHeight w:val="58"/>
        </w:trPr>
        <w:tc>
          <w:tcPr>
            <w:tcW w:w="221" w:type="pct"/>
            <w:noWrap/>
          </w:tcPr>
          <w:p w14:paraId="328DE841" w14:textId="3A2FABD0" w:rsidR="00377960" w:rsidRPr="00686214" w:rsidRDefault="00C464F9" w:rsidP="00D42F7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4779" w:type="pct"/>
          </w:tcPr>
          <w:p w14:paraId="136B594E" w14:textId="404108E6" w:rsidR="00377960" w:rsidRPr="00686214" w:rsidRDefault="00377960" w:rsidP="00B22287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Wykonawca dostarczy pełną dokumentację powdrożeniową  zastosowanej/wdrożonej konfiguracji nowego środowiska zawierającą:</w:t>
            </w:r>
          </w:p>
          <w:p w14:paraId="2536D9CE" w14:textId="2C830E9D" w:rsidR="00377960" w:rsidRPr="00686214" w:rsidRDefault="00377960" w:rsidP="007B0056">
            <w:pPr>
              <w:pStyle w:val="Akapitzlist"/>
              <w:numPr>
                <w:ilvl w:val="0"/>
                <w:numId w:val="3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opis konfiguracji całego systemu</w:t>
            </w:r>
            <w:r w:rsidR="004801A9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A10624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45CC7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B5C82E9" w14:textId="77DE911B" w:rsidR="00377960" w:rsidRPr="00686214" w:rsidRDefault="00377960" w:rsidP="007B0056">
            <w:pPr>
              <w:pStyle w:val="Akapitzlist"/>
              <w:numPr>
                <w:ilvl w:val="0"/>
                <w:numId w:val="3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instrukcję postepowania w przypadku awarii systemu</w:t>
            </w:r>
            <w:r w:rsidR="00A10624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45CC7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procedurę przywracania kopii zapasowych konfiguracji systemu</w:t>
            </w:r>
            <w:r w:rsidR="004801A9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A10624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45CC7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913C262" w14:textId="7D9B3196" w:rsidR="00377960" w:rsidRPr="00686214" w:rsidRDefault="00377960" w:rsidP="007B0056">
            <w:pPr>
              <w:pStyle w:val="Akapitzlist"/>
              <w:numPr>
                <w:ilvl w:val="0"/>
                <w:numId w:val="3"/>
              </w:num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instrukcje administrowania nowym środowiskiem</w:t>
            </w:r>
            <w:r w:rsidR="004801A9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377960" w:rsidRPr="00686214" w14:paraId="5F7C9B61" w14:textId="77777777" w:rsidTr="00B01B42">
        <w:trPr>
          <w:trHeight w:val="58"/>
        </w:trPr>
        <w:tc>
          <w:tcPr>
            <w:tcW w:w="221" w:type="pct"/>
            <w:noWrap/>
          </w:tcPr>
          <w:p w14:paraId="7BCAFB78" w14:textId="2703BB10" w:rsidR="00377960" w:rsidRPr="00686214" w:rsidRDefault="00C464F9" w:rsidP="00D42F7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779" w:type="pct"/>
          </w:tcPr>
          <w:p w14:paraId="351E1E49" w14:textId="797FFCE7" w:rsidR="00377960" w:rsidRPr="00686214" w:rsidRDefault="00377960" w:rsidP="00AC3AEA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Wykonawca dokona wzorcowej instalacji oprogramowania klienckiego na wskazanej stacji roboczej i / lub serwerze</w:t>
            </w:r>
            <w:r w:rsidR="004801A9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377960" w:rsidRPr="00686214" w14:paraId="10AFA5EF" w14:textId="77777777" w:rsidTr="00B01B42">
        <w:trPr>
          <w:trHeight w:val="58"/>
        </w:trPr>
        <w:tc>
          <w:tcPr>
            <w:tcW w:w="221" w:type="pct"/>
            <w:noWrap/>
          </w:tcPr>
          <w:p w14:paraId="6E2EF085" w14:textId="7FD00F57" w:rsidR="00377960" w:rsidRPr="00686214" w:rsidRDefault="00C464F9" w:rsidP="00D42F74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779" w:type="pct"/>
          </w:tcPr>
          <w:p w14:paraId="19CE0C04" w14:textId="78A8DE76" w:rsidR="00377960" w:rsidRPr="00686214" w:rsidRDefault="00377960" w:rsidP="00AC3AEA">
            <w:pPr>
              <w:spacing w:before="60" w:after="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Wykonawca zorganizuje minimum 5 dniowy instruktaż z praktycznej obsługi systemu dla  m</w:t>
            </w:r>
            <w:r w:rsidR="00EB67C3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aksymalnie</w:t>
            </w:r>
            <w:r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 os</w:t>
            </w:r>
            <w:r w:rsidR="00CF0E70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ób</w:t>
            </w:r>
            <w:r w:rsidR="004801A9" w:rsidRPr="0068621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bookmarkEnd w:id="0"/>
    </w:tbl>
    <w:p w14:paraId="7D13A203" w14:textId="0A7F6FA0" w:rsidR="0027279C" w:rsidRPr="00686214" w:rsidRDefault="0027279C" w:rsidP="0027279C">
      <w:pPr>
        <w:pStyle w:val="Nagwek2"/>
        <w:rPr>
          <w:rFonts w:ascii="Times New Roman" w:hAnsi="Times New Roman" w:cs="Times New Roman"/>
          <w:sz w:val="20"/>
          <w:szCs w:val="20"/>
        </w:rPr>
      </w:pPr>
    </w:p>
    <w:p w14:paraId="55EA1415" w14:textId="101143FF" w:rsidR="00A04D21" w:rsidRPr="00686214" w:rsidRDefault="00A04D21" w:rsidP="00A04D21">
      <w:pPr>
        <w:rPr>
          <w:rFonts w:ascii="Times New Roman" w:hAnsi="Times New Roman" w:cs="Times New Roman"/>
          <w:sz w:val="20"/>
          <w:szCs w:val="20"/>
        </w:rPr>
      </w:pPr>
    </w:p>
    <w:p w14:paraId="016A435D" w14:textId="64A70353" w:rsidR="00A04D21" w:rsidRPr="00686214" w:rsidRDefault="00A04D21" w:rsidP="00A04D21">
      <w:pPr>
        <w:rPr>
          <w:rFonts w:ascii="Times New Roman" w:hAnsi="Times New Roman" w:cs="Times New Roman"/>
          <w:sz w:val="20"/>
          <w:szCs w:val="20"/>
        </w:rPr>
      </w:pPr>
    </w:p>
    <w:bookmarkEnd w:id="1"/>
    <w:p w14:paraId="51EE0833" w14:textId="23F61F6F" w:rsidR="00A04D21" w:rsidRPr="00686214" w:rsidRDefault="00A04D21" w:rsidP="00A04D21">
      <w:pPr>
        <w:rPr>
          <w:rFonts w:ascii="Times New Roman" w:hAnsi="Times New Roman" w:cs="Times New Roman"/>
          <w:sz w:val="20"/>
          <w:szCs w:val="20"/>
        </w:rPr>
      </w:pPr>
    </w:p>
    <w:p w14:paraId="45B912E1" w14:textId="77777777" w:rsidR="00686214" w:rsidRPr="00686214" w:rsidRDefault="00686214">
      <w:pPr>
        <w:rPr>
          <w:rFonts w:ascii="Times New Roman" w:hAnsi="Times New Roman" w:cs="Times New Roman"/>
          <w:sz w:val="20"/>
          <w:szCs w:val="20"/>
        </w:rPr>
      </w:pPr>
    </w:p>
    <w:sectPr w:rsidR="00686214" w:rsidRPr="00686214" w:rsidSect="00B07916">
      <w:headerReference w:type="default" r:id="rId8"/>
      <w:pgSz w:w="11906" w:h="16838" w:code="9"/>
      <w:pgMar w:top="1546" w:right="900" w:bottom="284" w:left="900" w:header="142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5B608" w14:textId="77777777" w:rsidR="004E4FE2" w:rsidRDefault="004E4FE2" w:rsidP="00DE26D6">
      <w:pPr>
        <w:spacing w:after="0" w:line="240" w:lineRule="auto"/>
      </w:pPr>
      <w:r>
        <w:separator/>
      </w:r>
    </w:p>
  </w:endnote>
  <w:endnote w:type="continuationSeparator" w:id="0">
    <w:p w14:paraId="7D892602" w14:textId="77777777" w:rsidR="004E4FE2" w:rsidRDefault="004E4FE2" w:rsidP="00DE26D6">
      <w:pPr>
        <w:spacing w:after="0" w:line="240" w:lineRule="auto"/>
      </w:pPr>
      <w:r>
        <w:continuationSeparator/>
      </w:r>
    </w:p>
  </w:endnote>
  <w:endnote w:type="continuationNotice" w:id="1">
    <w:p w14:paraId="15D5D985" w14:textId="77777777" w:rsidR="004E4FE2" w:rsidRDefault="004E4F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DD2C5" w14:textId="77777777" w:rsidR="004E4FE2" w:rsidRDefault="004E4FE2" w:rsidP="00DE26D6">
      <w:pPr>
        <w:spacing w:after="0" w:line="240" w:lineRule="auto"/>
      </w:pPr>
      <w:r>
        <w:separator/>
      </w:r>
    </w:p>
  </w:footnote>
  <w:footnote w:type="continuationSeparator" w:id="0">
    <w:p w14:paraId="3A4BD1A0" w14:textId="77777777" w:rsidR="004E4FE2" w:rsidRDefault="004E4FE2" w:rsidP="00DE26D6">
      <w:pPr>
        <w:spacing w:after="0" w:line="240" w:lineRule="auto"/>
      </w:pPr>
      <w:r>
        <w:continuationSeparator/>
      </w:r>
    </w:p>
  </w:footnote>
  <w:footnote w:type="continuationNotice" w:id="1">
    <w:p w14:paraId="1E5C4286" w14:textId="77777777" w:rsidR="004E4FE2" w:rsidRDefault="004E4F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045B8" w14:textId="362EA977" w:rsidR="004E4FE2" w:rsidRDefault="004E4F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01BF3CB" wp14:editId="7533E434">
          <wp:simplePos x="0" y="0"/>
          <wp:positionH relativeFrom="margin">
            <wp:posOffset>2172970</wp:posOffset>
          </wp:positionH>
          <wp:positionV relativeFrom="paragraph">
            <wp:posOffset>96520</wp:posOffset>
          </wp:positionV>
          <wp:extent cx="1447800" cy="600075"/>
          <wp:effectExtent l="0" t="0" r="0" b="9525"/>
          <wp:wrapNone/>
          <wp:docPr id="10" name="Picture 8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Picture 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F9D8462" wp14:editId="46936B47">
              <wp:simplePos x="0" y="0"/>
              <wp:positionH relativeFrom="column">
                <wp:posOffset>4154805</wp:posOffset>
              </wp:positionH>
              <wp:positionV relativeFrom="paragraph">
                <wp:posOffset>63500</wp:posOffset>
              </wp:positionV>
              <wp:extent cx="2557145" cy="716280"/>
              <wp:effectExtent l="0" t="0" r="0" b="762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557145" cy="716280"/>
                        <a:chOff x="0" y="0"/>
                        <a:chExt cx="2557145" cy="716280"/>
                      </a:xfrm>
                    </wpg:grpSpPr>
                    <wps:wsp>
                      <wps:cNvPr id="307" name="Pole tekstowe 307"/>
                      <wps:cNvSpPr txBox="1">
                        <a:spLocks noChangeArrowheads="1"/>
                      </wps:cNvSpPr>
                      <wps:spPr bwMode="auto">
                        <a:xfrm>
                          <a:off x="393700" y="6350"/>
                          <a:ext cx="2163445" cy="709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C5797" w14:textId="77777777" w:rsidR="004E4FE2" w:rsidRPr="000C1232" w:rsidRDefault="004E4FE2" w:rsidP="00CF3C7C">
                            <w:pPr>
                              <w:rPr>
                                <w:rFonts w:ascii="Ubuntu" w:hAnsi="Ubuntu"/>
                                <w:b/>
                                <w:color w:val="1478AA"/>
                                <w:sz w:val="15"/>
                                <w:szCs w:val="15"/>
                              </w:rPr>
                            </w:pPr>
                            <w:r w:rsidRPr="00FC72A6">
                              <w:rPr>
                                <w:rFonts w:ascii="Ubuntu" w:hAnsi="Ubuntu"/>
                                <w:b/>
                                <w:color w:val="1478AA"/>
                                <w:sz w:val="15"/>
                                <w:szCs w:val="15"/>
                              </w:rPr>
                              <w:t>UN</w:t>
                            </w:r>
                            <w:r>
                              <w:rPr>
                                <w:rFonts w:ascii="Ubuntu" w:hAnsi="Ubuntu"/>
                                <w:b/>
                                <w:color w:val="1478AA"/>
                                <w:sz w:val="15"/>
                                <w:szCs w:val="15"/>
                              </w:rPr>
                              <w:t xml:space="preserve">IWERSYTECKIE CENTRUM KLINICZNE IM. </w:t>
                            </w:r>
                            <w:r w:rsidRPr="00EF239A">
                              <w:rPr>
                                <w:rFonts w:ascii="Ubuntu" w:hAnsi="Ubuntu"/>
                                <w:color w:val="1478AA"/>
                                <w:sz w:val="15"/>
                                <w:szCs w:val="15"/>
                              </w:rPr>
                              <w:t>PROF. K. GIBIŃSKIEGO                        Śląskiego Uniwersytetu Medycznego                  w</w:t>
                            </w:r>
                            <w:r w:rsidRPr="00FC72A6">
                              <w:rPr>
                                <w:rFonts w:ascii="Ubuntu" w:hAnsi="Ubuntu"/>
                                <w:b/>
                                <w:color w:val="1478AA"/>
                                <w:sz w:val="15"/>
                                <w:szCs w:val="15"/>
                              </w:rPr>
                              <w:t xml:space="preserve"> Katowicach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Obraz 3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4185" cy="429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9D8462" id="Grupa 1" o:spid="_x0000_s1026" style="position:absolute;margin-left:327.15pt;margin-top:5pt;width:201.35pt;height:56.4pt;z-index:251662336" coordsize="25571,71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07" o:spid="_x0000_s1027" type="#_x0000_t202" style="position:absolute;left:3937;top:63;width:21634;height:7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bmE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" stroked="f">
                <v:textbox>
                  <w:txbxContent>
                    <w:p w14:paraId="009C5797" w14:textId="77777777" w:rsidR="004E4FE2" w:rsidRPr="000C1232" w:rsidRDefault="004E4FE2" w:rsidP="00CF3C7C">
                      <w:pPr>
                        <w:rPr>
                          <w:rFonts w:ascii="Ubuntu" w:hAnsi="Ubuntu"/>
                          <w:b/>
                          <w:color w:val="1478AA"/>
                          <w:sz w:val="15"/>
                          <w:szCs w:val="15"/>
                        </w:rPr>
                      </w:pPr>
                      <w:r w:rsidRPr="00FC72A6">
                        <w:rPr>
                          <w:rFonts w:ascii="Ubuntu" w:hAnsi="Ubuntu"/>
                          <w:b/>
                          <w:color w:val="1478AA"/>
                          <w:sz w:val="15"/>
                          <w:szCs w:val="15"/>
                        </w:rPr>
                        <w:t>UN</w:t>
                      </w:r>
                      <w:r>
                        <w:rPr>
                          <w:rFonts w:ascii="Ubuntu" w:hAnsi="Ubuntu"/>
                          <w:b/>
                          <w:color w:val="1478AA"/>
                          <w:sz w:val="15"/>
                          <w:szCs w:val="15"/>
                        </w:rPr>
                        <w:t xml:space="preserve">IWERSYTECKIE CENTRUM KLINICZNE IM. </w:t>
                      </w:r>
                      <w:r w:rsidRPr="00EF239A">
                        <w:rPr>
                          <w:rFonts w:ascii="Ubuntu" w:hAnsi="Ubuntu"/>
                          <w:color w:val="1478AA"/>
                          <w:sz w:val="15"/>
                          <w:szCs w:val="15"/>
                        </w:rPr>
                        <w:t>PROF. K. GIBIŃSKIEGO                        Śląskiego Uniwersytetu Medycznego                  w</w:t>
                      </w:r>
                      <w:r w:rsidRPr="00FC72A6">
                        <w:rPr>
                          <w:rFonts w:ascii="Ubuntu" w:hAnsi="Ubuntu"/>
                          <w:b/>
                          <w:color w:val="1478AA"/>
                          <w:sz w:val="15"/>
                          <w:szCs w:val="15"/>
                        </w:rPr>
                        <w:t xml:space="preserve"> Katowicach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5" o:spid="_x0000_s1028" type="#_x0000_t75" style="position:absolute;width:4641;height:4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">
                <v:imagedata r:id="rId3" o:title=""/>
              </v:shape>
            </v:group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0F78A58" wp14:editId="13245CA8">
          <wp:simplePos x="0" y="0"/>
          <wp:positionH relativeFrom="column">
            <wp:posOffset>365760</wp:posOffset>
          </wp:positionH>
          <wp:positionV relativeFrom="paragraph">
            <wp:posOffset>91440</wp:posOffset>
          </wp:positionV>
          <wp:extent cx="1548130" cy="645795"/>
          <wp:effectExtent l="0" t="0" r="0" b="0"/>
          <wp:wrapNone/>
          <wp:docPr id="11" name="Picture 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Picture 89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8130" cy="645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7AFF"/>
    <w:multiLevelType w:val="hybridMultilevel"/>
    <w:tmpl w:val="42FC2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522A9"/>
    <w:multiLevelType w:val="hybridMultilevel"/>
    <w:tmpl w:val="07F4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A650E"/>
    <w:multiLevelType w:val="hybridMultilevel"/>
    <w:tmpl w:val="3EAE1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445A0"/>
    <w:multiLevelType w:val="hybridMultilevel"/>
    <w:tmpl w:val="D480A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B016B"/>
    <w:multiLevelType w:val="hybridMultilevel"/>
    <w:tmpl w:val="4932969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B65482D"/>
    <w:multiLevelType w:val="hybridMultilevel"/>
    <w:tmpl w:val="6C3003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CA1EF4"/>
    <w:multiLevelType w:val="hybridMultilevel"/>
    <w:tmpl w:val="4BF09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54E9F"/>
    <w:multiLevelType w:val="hybridMultilevel"/>
    <w:tmpl w:val="BC382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6530B"/>
    <w:multiLevelType w:val="hybridMultilevel"/>
    <w:tmpl w:val="0E24C7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57394"/>
    <w:multiLevelType w:val="hybridMultilevel"/>
    <w:tmpl w:val="542A3668"/>
    <w:lvl w:ilvl="0" w:tplc="4BEE6DA6">
      <w:start w:val="1"/>
      <w:numFmt w:val="decimal"/>
      <w:lvlText w:val="%1."/>
      <w:lvlJc w:val="left"/>
      <w:pPr>
        <w:ind w:left="1080" w:hanging="360"/>
      </w:pPr>
      <w:rPr>
        <w:rFonts w:ascii="Tahoma" w:hAnsi="Tahoma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0E5053"/>
    <w:multiLevelType w:val="hybridMultilevel"/>
    <w:tmpl w:val="E0908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34FB2"/>
    <w:multiLevelType w:val="hybridMultilevel"/>
    <w:tmpl w:val="44249A80"/>
    <w:lvl w:ilvl="0" w:tplc="B414FF00">
      <w:start w:val="1"/>
      <w:numFmt w:val="decimal"/>
      <w:lvlText w:val="%1."/>
      <w:lvlJc w:val="left"/>
      <w:pPr>
        <w:ind w:left="68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7" w:hanging="360"/>
      </w:pPr>
    </w:lvl>
    <w:lvl w:ilvl="2" w:tplc="0415001B" w:tentative="1">
      <w:start w:val="1"/>
      <w:numFmt w:val="lowerRoman"/>
      <w:lvlText w:val="%3."/>
      <w:lvlJc w:val="right"/>
      <w:pPr>
        <w:ind w:left="2047" w:hanging="180"/>
      </w:pPr>
    </w:lvl>
    <w:lvl w:ilvl="3" w:tplc="0415000F" w:tentative="1">
      <w:start w:val="1"/>
      <w:numFmt w:val="decimal"/>
      <w:lvlText w:val="%4."/>
      <w:lvlJc w:val="left"/>
      <w:pPr>
        <w:ind w:left="2767" w:hanging="360"/>
      </w:pPr>
    </w:lvl>
    <w:lvl w:ilvl="4" w:tplc="04150019" w:tentative="1">
      <w:start w:val="1"/>
      <w:numFmt w:val="lowerLetter"/>
      <w:lvlText w:val="%5."/>
      <w:lvlJc w:val="left"/>
      <w:pPr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ind w:left="4207" w:hanging="180"/>
      </w:pPr>
    </w:lvl>
    <w:lvl w:ilvl="6" w:tplc="0415000F" w:tentative="1">
      <w:start w:val="1"/>
      <w:numFmt w:val="decimal"/>
      <w:lvlText w:val="%7."/>
      <w:lvlJc w:val="left"/>
      <w:pPr>
        <w:ind w:left="4927" w:hanging="360"/>
      </w:pPr>
    </w:lvl>
    <w:lvl w:ilvl="7" w:tplc="04150019" w:tentative="1">
      <w:start w:val="1"/>
      <w:numFmt w:val="lowerLetter"/>
      <w:lvlText w:val="%8."/>
      <w:lvlJc w:val="left"/>
      <w:pPr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2" w15:restartNumberingAfterBreak="0">
    <w:nsid w:val="2B43693F"/>
    <w:multiLevelType w:val="hybridMultilevel"/>
    <w:tmpl w:val="C9A09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A4B45"/>
    <w:multiLevelType w:val="hybridMultilevel"/>
    <w:tmpl w:val="90D00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296E03"/>
    <w:multiLevelType w:val="hybridMultilevel"/>
    <w:tmpl w:val="7E60A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66C3A"/>
    <w:multiLevelType w:val="hybridMultilevel"/>
    <w:tmpl w:val="DFF09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B014A"/>
    <w:multiLevelType w:val="hybridMultilevel"/>
    <w:tmpl w:val="3C109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B6A00"/>
    <w:multiLevelType w:val="hybridMultilevel"/>
    <w:tmpl w:val="7F742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D80C10"/>
    <w:multiLevelType w:val="hybridMultilevel"/>
    <w:tmpl w:val="F7761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7A1569"/>
    <w:multiLevelType w:val="hybridMultilevel"/>
    <w:tmpl w:val="162CF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25019"/>
    <w:multiLevelType w:val="hybridMultilevel"/>
    <w:tmpl w:val="76DC4F26"/>
    <w:lvl w:ilvl="0" w:tplc="6FBE5D44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472055"/>
    <w:multiLevelType w:val="hybridMultilevel"/>
    <w:tmpl w:val="096A8AB2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62E0A"/>
    <w:multiLevelType w:val="hybridMultilevel"/>
    <w:tmpl w:val="E38E3B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5B87CD0">
      <w:start w:val="1"/>
      <w:numFmt w:val="lowerLetter"/>
      <w:lvlText w:val="%2)"/>
      <w:lvlJc w:val="left"/>
      <w:pPr>
        <w:ind w:left="1785" w:hanging="705"/>
      </w:pPr>
      <w:rPr>
        <w:rFonts w:ascii="Tahoma" w:eastAsiaTheme="minorHAnsi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77C94"/>
    <w:multiLevelType w:val="hybridMultilevel"/>
    <w:tmpl w:val="E2160930"/>
    <w:lvl w:ilvl="0" w:tplc="04150017">
      <w:start w:val="1"/>
      <w:numFmt w:val="lowerLetter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4" w15:restartNumberingAfterBreak="0">
    <w:nsid w:val="439F669C"/>
    <w:multiLevelType w:val="hybridMultilevel"/>
    <w:tmpl w:val="8244F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3430B"/>
    <w:multiLevelType w:val="hybridMultilevel"/>
    <w:tmpl w:val="A2087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663930"/>
    <w:multiLevelType w:val="hybridMultilevel"/>
    <w:tmpl w:val="4542704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F453E57"/>
    <w:multiLevelType w:val="hybridMultilevel"/>
    <w:tmpl w:val="8D46546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664203"/>
    <w:multiLevelType w:val="multilevel"/>
    <w:tmpl w:val="6004E8DA"/>
    <w:lvl w:ilvl="0">
      <w:start w:val="1"/>
      <w:numFmt w:val="decimal"/>
      <w:pStyle w:val="Nagl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29" w15:restartNumberingAfterBreak="0">
    <w:nsid w:val="50E4116B"/>
    <w:multiLevelType w:val="hybridMultilevel"/>
    <w:tmpl w:val="E2160930"/>
    <w:lvl w:ilvl="0" w:tplc="04150017">
      <w:start w:val="1"/>
      <w:numFmt w:val="lowerLetter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0" w15:restartNumberingAfterBreak="0">
    <w:nsid w:val="51E62D49"/>
    <w:multiLevelType w:val="hybridMultilevel"/>
    <w:tmpl w:val="2FA2CADE"/>
    <w:lvl w:ilvl="0" w:tplc="1C6CB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929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B47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BC6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03E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48E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EBE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F008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C8A6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887275"/>
    <w:multiLevelType w:val="hybridMultilevel"/>
    <w:tmpl w:val="A54CB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2D79D5"/>
    <w:multiLevelType w:val="hybridMultilevel"/>
    <w:tmpl w:val="5B52C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8043F1"/>
    <w:multiLevelType w:val="hybridMultilevel"/>
    <w:tmpl w:val="27EE54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34263E"/>
    <w:multiLevelType w:val="hybridMultilevel"/>
    <w:tmpl w:val="AE8CB15A"/>
    <w:lvl w:ilvl="0" w:tplc="5D4E03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7D1594"/>
    <w:multiLevelType w:val="hybridMultilevel"/>
    <w:tmpl w:val="29646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64A9D"/>
    <w:multiLevelType w:val="hybridMultilevel"/>
    <w:tmpl w:val="724EA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73756"/>
    <w:multiLevelType w:val="hybridMultilevel"/>
    <w:tmpl w:val="32C87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A787A"/>
    <w:multiLevelType w:val="hybridMultilevel"/>
    <w:tmpl w:val="65B09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E92B0D"/>
    <w:multiLevelType w:val="hybridMultilevel"/>
    <w:tmpl w:val="94563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B140D0"/>
    <w:multiLevelType w:val="hybridMultilevel"/>
    <w:tmpl w:val="55BC8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B31CF"/>
    <w:multiLevelType w:val="hybridMultilevel"/>
    <w:tmpl w:val="779E6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E6F1A"/>
    <w:multiLevelType w:val="hybridMultilevel"/>
    <w:tmpl w:val="0AEC5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704293"/>
    <w:multiLevelType w:val="hybridMultilevel"/>
    <w:tmpl w:val="60FAB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8006664">
    <w:abstractNumId w:val="28"/>
  </w:num>
  <w:num w:numId="2" w16cid:durableId="1432581420">
    <w:abstractNumId w:val="11"/>
  </w:num>
  <w:num w:numId="3" w16cid:durableId="948970129">
    <w:abstractNumId w:val="2"/>
  </w:num>
  <w:num w:numId="4" w16cid:durableId="1243639885">
    <w:abstractNumId w:val="38"/>
  </w:num>
  <w:num w:numId="5" w16cid:durableId="633293312">
    <w:abstractNumId w:val="7"/>
  </w:num>
  <w:num w:numId="6" w16cid:durableId="1402483391">
    <w:abstractNumId w:val="4"/>
  </w:num>
  <w:num w:numId="7" w16cid:durableId="1698920566">
    <w:abstractNumId w:val="36"/>
  </w:num>
  <w:num w:numId="8" w16cid:durableId="1701735635">
    <w:abstractNumId w:val="24"/>
  </w:num>
  <w:num w:numId="9" w16cid:durableId="1282764419">
    <w:abstractNumId w:val="26"/>
  </w:num>
  <w:num w:numId="10" w16cid:durableId="255988543">
    <w:abstractNumId w:val="30"/>
  </w:num>
  <w:num w:numId="11" w16cid:durableId="729233015">
    <w:abstractNumId w:val="10"/>
  </w:num>
  <w:num w:numId="12" w16cid:durableId="1401752942">
    <w:abstractNumId w:val="41"/>
  </w:num>
  <w:num w:numId="13" w16cid:durableId="790513850">
    <w:abstractNumId w:val="25"/>
  </w:num>
  <w:num w:numId="14" w16cid:durableId="769860777">
    <w:abstractNumId w:val="15"/>
  </w:num>
  <w:num w:numId="15" w16cid:durableId="618923511">
    <w:abstractNumId w:val="1"/>
  </w:num>
  <w:num w:numId="16" w16cid:durableId="1269190975">
    <w:abstractNumId w:val="12"/>
  </w:num>
  <w:num w:numId="17" w16cid:durableId="842672440">
    <w:abstractNumId w:val="33"/>
  </w:num>
  <w:num w:numId="18" w16cid:durableId="1171919044">
    <w:abstractNumId w:val="35"/>
  </w:num>
  <w:num w:numId="19" w16cid:durableId="1871067593">
    <w:abstractNumId w:val="40"/>
  </w:num>
  <w:num w:numId="20" w16cid:durableId="1849828715">
    <w:abstractNumId w:val="32"/>
  </w:num>
  <w:num w:numId="21" w16cid:durableId="310982571">
    <w:abstractNumId w:val="18"/>
  </w:num>
  <w:num w:numId="22" w16cid:durableId="1622690257">
    <w:abstractNumId w:val="3"/>
  </w:num>
  <w:num w:numId="23" w16cid:durableId="1112744547">
    <w:abstractNumId w:val="19"/>
  </w:num>
  <w:num w:numId="24" w16cid:durableId="7491879">
    <w:abstractNumId w:val="14"/>
  </w:num>
  <w:num w:numId="25" w16cid:durableId="1179395272">
    <w:abstractNumId w:val="43"/>
  </w:num>
  <w:num w:numId="26" w16cid:durableId="1342733340">
    <w:abstractNumId w:val="6"/>
  </w:num>
  <w:num w:numId="27" w16cid:durableId="734860238">
    <w:abstractNumId w:val="37"/>
  </w:num>
  <w:num w:numId="28" w16cid:durableId="1783570661">
    <w:abstractNumId w:val="39"/>
  </w:num>
  <w:num w:numId="29" w16cid:durableId="295258284">
    <w:abstractNumId w:val="17"/>
  </w:num>
  <w:num w:numId="30" w16cid:durableId="2057122647">
    <w:abstractNumId w:val="21"/>
  </w:num>
  <w:num w:numId="31" w16cid:durableId="454064821">
    <w:abstractNumId w:val="29"/>
  </w:num>
  <w:num w:numId="32" w16cid:durableId="886842923">
    <w:abstractNumId w:val="8"/>
  </w:num>
  <w:num w:numId="33" w16cid:durableId="2096432081">
    <w:abstractNumId w:val="5"/>
  </w:num>
  <w:num w:numId="34" w16cid:durableId="1594900120">
    <w:abstractNumId w:val="31"/>
  </w:num>
  <w:num w:numId="35" w16cid:durableId="1009256295">
    <w:abstractNumId w:val="34"/>
  </w:num>
  <w:num w:numId="36" w16cid:durableId="1006174946">
    <w:abstractNumId w:val="13"/>
  </w:num>
  <w:num w:numId="37" w16cid:durableId="768160424">
    <w:abstractNumId w:val="0"/>
  </w:num>
  <w:num w:numId="38" w16cid:durableId="782067942">
    <w:abstractNumId w:val="42"/>
  </w:num>
  <w:num w:numId="39" w16cid:durableId="107311688">
    <w:abstractNumId w:val="22"/>
  </w:num>
  <w:num w:numId="40" w16cid:durableId="1272935952">
    <w:abstractNumId w:val="23"/>
  </w:num>
  <w:num w:numId="41" w16cid:durableId="6644605">
    <w:abstractNumId w:val="20"/>
  </w:num>
  <w:num w:numId="42" w16cid:durableId="1916934374">
    <w:abstractNumId w:val="16"/>
  </w:num>
  <w:num w:numId="43" w16cid:durableId="399837408">
    <w:abstractNumId w:val="9"/>
  </w:num>
  <w:num w:numId="44" w16cid:durableId="1550725845">
    <w:abstractNumId w:val="2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02F"/>
    <w:rsid w:val="000068CB"/>
    <w:rsid w:val="00007C06"/>
    <w:rsid w:val="00011008"/>
    <w:rsid w:val="000116BA"/>
    <w:rsid w:val="00011B52"/>
    <w:rsid w:val="00012D85"/>
    <w:rsid w:val="0001361D"/>
    <w:rsid w:val="000172AA"/>
    <w:rsid w:val="0002713D"/>
    <w:rsid w:val="00031A8C"/>
    <w:rsid w:val="0003239C"/>
    <w:rsid w:val="00032E27"/>
    <w:rsid w:val="00033C3D"/>
    <w:rsid w:val="0003467B"/>
    <w:rsid w:val="000354A1"/>
    <w:rsid w:val="00036580"/>
    <w:rsid w:val="000373CC"/>
    <w:rsid w:val="0004020C"/>
    <w:rsid w:val="00041C5E"/>
    <w:rsid w:val="00043A0E"/>
    <w:rsid w:val="00043BD1"/>
    <w:rsid w:val="00046C09"/>
    <w:rsid w:val="000502B2"/>
    <w:rsid w:val="00051168"/>
    <w:rsid w:val="00052576"/>
    <w:rsid w:val="00053D35"/>
    <w:rsid w:val="00057344"/>
    <w:rsid w:val="000602FB"/>
    <w:rsid w:val="0006097A"/>
    <w:rsid w:val="000619B5"/>
    <w:rsid w:val="000621DA"/>
    <w:rsid w:val="00062E6B"/>
    <w:rsid w:val="00064FA3"/>
    <w:rsid w:val="0006567E"/>
    <w:rsid w:val="00065C0C"/>
    <w:rsid w:val="000668E2"/>
    <w:rsid w:val="0007347E"/>
    <w:rsid w:val="00073803"/>
    <w:rsid w:val="00076CDE"/>
    <w:rsid w:val="000822CD"/>
    <w:rsid w:val="000823F1"/>
    <w:rsid w:val="00083D68"/>
    <w:rsid w:val="0008657A"/>
    <w:rsid w:val="00094684"/>
    <w:rsid w:val="000953D3"/>
    <w:rsid w:val="000956C9"/>
    <w:rsid w:val="000962EA"/>
    <w:rsid w:val="0009784D"/>
    <w:rsid w:val="000A0B5E"/>
    <w:rsid w:val="000A0FBB"/>
    <w:rsid w:val="000A563C"/>
    <w:rsid w:val="000A574A"/>
    <w:rsid w:val="000A796C"/>
    <w:rsid w:val="000B63E2"/>
    <w:rsid w:val="000B71B0"/>
    <w:rsid w:val="000B720C"/>
    <w:rsid w:val="000C294C"/>
    <w:rsid w:val="000C6B4B"/>
    <w:rsid w:val="000C7E02"/>
    <w:rsid w:val="000D17DA"/>
    <w:rsid w:val="000D53F5"/>
    <w:rsid w:val="000D642E"/>
    <w:rsid w:val="000E34A5"/>
    <w:rsid w:val="000E4D3A"/>
    <w:rsid w:val="000F2572"/>
    <w:rsid w:val="000F32DC"/>
    <w:rsid w:val="000F4DA1"/>
    <w:rsid w:val="000F7A89"/>
    <w:rsid w:val="00100087"/>
    <w:rsid w:val="00101820"/>
    <w:rsid w:val="0010272A"/>
    <w:rsid w:val="00102B1D"/>
    <w:rsid w:val="00103C1C"/>
    <w:rsid w:val="00103E05"/>
    <w:rsid w:val="00107C37"/>
    <w:rsid w:val="00113136"/>
    <w:rsid w:val="00124506"/>
    <w:rsid w:val="00127EB9"/>
    <w:rsid w:val="00132288"/>
    <w:rsid w:val="00132987"/>
    <w:rsid w:val="0013346A"/>
    <w:rsid w:val="00134893"/>
    <w:rsid w:val="001364F2"/>
    <w:rsid w:val="00141C65"/>
    <w:rsid w:val="00142608"/>
    <w:rsid w:val="001428C2"/>
    <w:rsid w:val="001432F6"/>
    <w:rsid w:val="001453B6"/>
    <w:rsid w:val="00146691"/>
    <w:rsid w:val="00163535"/>
    <w:rsid w:val="0016430E"/>
    <w:rsid w:val="00165674"/>
    <w:rsid w:val="001700BF"/>
    <w:rsid w:val="00171914"/>
    <w:rsid w:val="001737A1"/>
    <w:rsid w:val="00176CB6"/>
    <w:rsid w:val="00177554"/>
    <w:rsid w:val="00177A95"/>
    <w:rsid w:val="001809E9"/>
    <w:rsid w:val="001824D8"/>
    <w:rsid w:val="001829B9"/>
    <w:rsid w:val="00185954"/>
    <w:rsid w:val="001911EB"/>
    <w:rsid w:val="00192C1A"/>
    <w:rsid w:val="00194B8F"/>
    <w:rsid w:val="0019760C"/>
    <w:rsid w:val="001A0203"/>
    <w:rsid w:val="001A0952"/>
    <w:rsid w:val="001A2AAF"/>
    <w:rsid w:val="001A4412"/>
    <w:rsid w:val="001B14AE"/>
    <w:rsid w:val="001B462F"/>
    <w:rsid w:val="001B4E7B"/>
    <w:rsid w:val="001C3947"/>
    <w:rsid w:val="001C3F1D"/>
    <w:rsid w:val="001C63C2"/>
    <w:rsid w:val="001D3F2E"/>
    <w:rsid w:val="001D5A67"/>
    <w:rsid w:val="001D6F8C"/>
    <w:rsid w:val="001E1B43"/>
    <w:rsid w:val="001E23B1"/>
    <w:rsid w:val="001E3109"/>
    <w:rsid w:val="001E5594"/>
    <w:rsid w:val="001E722E"/>
    <w:rsid w:val="001F0892"/>
    <w:rsid w:val="001F556E"/>
    <w:rsid w:val="001F6472"/>
    <w:rsid w:val="00200577"/>
    <w:rsid w:val="0020187E"/>
    <w:rsid w:val="00202C3F"/>
    <w:rsid w:val="00203AFB"/>
    <w:rsid w:val="00206118"/>
    <w:rsid w:val="00206598"/>
    <w:rsid w:val="0021213F"/>
    <w:rsid w:val="00214463"/>
    <w:rsid w:val="00214CE1"/>
    <w:rsid w:val="002159EE"/>
    <w:rsid w:val="00217449"/>
    <w:rsid w:val="00217CB9"/>
    <w:rsid w:val="002207C1"/>
    <w:rsid w:val="00220BFB"/>
    <w:rsid w:val="0022774E"/>
    <w:rsid w:val="00232558"/>
    <w:rsid w:val="00232E1B"/>
    <w:rsid w:val="00233B18"/>
    <w:rsid w:val="00236ADA"/>
    <w:rsid w:val="0024222B"/>
    <w:rsid w:val="00247542"/>
    <w:rsid w:val="00250010"/>
    <w:rsid w:val="002543A0"/>
    <w:rsid w:val="00256147"/>
    <w:rsid w:val="002565B0"/>
    <w:rsid w:val="00264397"/>
    <w:rsid w:val="00264943"/>
    <w:rsid w:val="00264EA4"/>
    <w:rsid w:val="0026642A"/>
    <w:rsid w:val="00267B64"/>
    <w:rsid w:val="0027186F"/>
    <w:rsid w:val="0027279A"/>
    <w:rsid w:val="0027279C"/>
    <w:rsid w:val="002735AF"/>
    <w:rsid w:val="00274C49"/>
    <w:rsid w:val="00275A41"/>
    <w:rsid w:val="00276AA3"/>
    <w:rsid w:val="00276EF6"/>
    <w:rsid w:val="002800DA"/>
    <w:rsid w:val="002819BA"/>
    <w:rsid w:val="00283CCE"/>
    <w:rsid w:val="002930BB"/>
    <w:rsid w:val="00293F96"/>
    <w:rsid w:val="002941A7"/>
    <w:rsid w:val="00295711"/>
    <w:rsid w:val="002A7BA0"/>
    <w:rsid w:val="002B0C14"/>
    <w:rsid w:val="002B61CE"/>
    <w:rsid w:val="002B653F"/>
    <w:rsid w:val="002C043F"/>
    <w:rsid w:val="002C25B5"/>
    <w:rsid w:val="002D0C7C"/>
    <w:rsid w:val="002D3902"/>
    <w:rsid w:val="002D50A1"/>
    <w:rsid w:val="002D692B"/>
    <w:rsid w:val="002D798F"/>
    <w:rsid w:val="002E059F"/>
    <w:rsid w:val="002E2BA3"/>
    <w:rsid w:val="002E4052"/>
    <w:rsid w:val="002E5BCD"/>
    <w:rsid w:val="002F0A49"/>
    <w:rsid w:val="002F1434"/>
    <w:rsid w:val="002F3980"/>
    <w:rsid w:val="002F4E81"/>
    <w:rsid w:val="002F7613"/>
    <w:rsid w:val="00301481"/>
    <w:rsid w:val="003021F6"/>
    <w:rsid w:val="00302393"/>
    <w:rsid w:val="00302694"/>
    <w:rsid w:val="003032D6"/>
    <w:rsid w:val="00305BFE"/>
    <w:rsid w:val="0030706E"/>
    <w:rsid w:val="00307E23"/>
    <w:rsid w:val="003106D5"/>
    <w:rsid w:val="00313852"/>
    <w:rsid w:val="003172F0"/>
    <w:rsid w:val="003203C5"/>
    <w:rsid w:val="00324A49"/>
    <w:rsid w:val="00325393"/>
    <w:rsid w:val="00325BC0"/>
    <w:rsid w:val="00325FCC"/>
    <w:rsid w:val="003260E1"/>
    <w:rsid w:val="00326371"/>
    <w:rsid w:val="00336B73"/>
    <w:rsid w:val="003411C7"/>
    <w:rsid w:val="003436E2"/>
    <w:rsid w:val="0034664F"/>
    <w:rsid w:val="0035035A"/>
    <w:rsid w:val="0035111F"/>
    <w:rsid w:val="00353489"/>
    <w:rsid w:val="0035532A"/>
    <w:rsid w:val="00360CB8"/>
    <w:rsid w:val="00363184"/>
    <w:rsid w:val="003669A5"/>
    <w:rsid w:val="003669CB"/>
    <w:rsid w:val="00377960"/>
    <w:rsid w:val="00382376"/>
    <w:rsid w:val="00383421"/>
    <w:rsid w:val="003835C6"/>
    <w:rsid w:val="003846B4"/>
    <w:rsid w:val="0039126C"/>
    <w:rsid w:val="00395A6F"/>
    <w:rsid w:val="00396289"/>
    <w:rsid w:val="003A05F5"/>
    <w:rsid w:val="003A15D0"/>
    <w:rsid w:val="003A1DF0"/>
    <w:rsid w:val="003A2192"/>
    <w:rsid w:val="003B3936"/>
    <w:rsid w:val="003B6739"/>
    <w:rsid w:val="003C6E05"/>
    <w:rsid w:val="003C6ED7"/>
    <w:rsid w:val="003D26F8"/>
    <w:rsid w:val="003D4593"/>
    <w:rsid w:val="003D4BFB"/>
    <w:rsid w:val="003D6DE8"/>
    <w:rsid w:val="003E239F"/>
    <w:rsid w:val="003E6FC5"/>
    <w:rsid w:val="003F3C70"/>
    <w:rsid w:val="003F4F44"/>
    <w:rsid w:val="003F573A"/>
    <w:rsid w:val="003F7D55"/>
    <w:rsid w:val="00400124"/>
    <w:rsid w:val="00400A4D"/>
    <w:rsid w:val="00401FE2"/>
    <w:rsid w:val="004043D6"/>
    <w:rsid w:val="0040462E"/>
    <w:rsid w:val="00406A09"/>
    <w:rsid w:val="00410F46"/>
    <w:rsid w:val="00412EA8"/>
    <w:rsid w:val="00412EC1"/>
    <w:rsid w:val="004134D3"/>
    <w:rsid w:val="00413635"/>
    <w:rsid w:val="00417B62"/>
    <w:rsid w:val="004252D9"/>
    <w:rsid w:val="0042624F"/>
    <w:rsid w:val="00431AAC"/>
    <w:rsid w:val="00432D35"/>
    <w:rsid w:val="00440CDF"/>
    <w:rsid w:val="00442374"/>
    <w:rsid w:val="00444E8C"/>
    <w:rsid w:val="00446659"/>
    <w:rsid w:val="004516D1"/>
    <w:rsid w:val="00452BB4"/>
    <w:rsid w:val="00460CA5"/>
    <w:rsid w:val="00462E50"/>
    <w:rsid w:val="00463ACB"/>
    <w:rsid w:val="00464F95"/>
    <w:rsid w:val="00470A7D"/>
    <w:rsid w:val="004722F4"/>
    <w:rsid w:val="004735EC"/>
    <w:rsid w:val="00476A75"/>
    <w:rsid w:val="00477B49"/>
    <w:rsid w:val="004801A9"/>
    <w:rsid w:val="00481BE8"/>
    <w:rsid w:val="0048611C"/>
    <w:rsid w:val="00487B81"/>
    <w:rsid w:val="00496C10"/>
    <w:rsid w:val="00497B6F"/>
    <w:rsid w:val="004A3AF3"/>
    <w:rsid w:val="004A583B"/>
    <w:rsid w:val="004A74F8"/>
    <w:rsid w:val="004B2556"/>
    <w:rsid w:val="004B46AA"/>
    <w:rsid w:val="004C28B8"/>
    <w:rsid w:val="004C3252"/>
    <w:rsid w:val="004D28E2"/>
    <w:rsid w:val="004D291F"/>
    <w:rsid w:val="004D38FD"/>
    <w:rsid w:val="004D5345"/>
    <w:rsid w:val="004D73DF"/>
    <w:rsid w:val="004D7FF3"/>
    <w:rsid w:val="004E05BF"/>
    <w:rsid w:val="004E0917"/>
    <w:rsid w:val="004E194C"/>
    <w:rsid w:val="004E1E98"/>
    <w:rsid w:val="004E321B"/>
    <w:rsid w:val="004E4FE2"/>
    <w:rsid w:val="004E579D"/>
    <w:rsid w:val="004F2F24"/>
    <w:rsid w:val="004F34FB"/>
    <w:rsid w:val="00502AFF"/>
    <w:rsid w:val="0050362D"/>
    <w:rsid w:val="00503839"/>
    <w:rsid w:val="00505146"/>
    <w:rsid w:val="00516177"/>
    <w:rsid w:val="00516754"/>
    <w:rsid w:val="005173ED"/>
    <w:rsid w:val="00522EA0"/>
    <w:rsid w:val="00524CA2"/>
    <w:rsid w:val="00530A35"/>
    <w:rsid w:val="00534C14"/>
    <w:rsid w:val="0053545D"/>
    <w:rsid w:val="00540AFF"/>
    <w:rsid w:val="00541F82"/>
    <w:rsid w:val="00542900"/>
    <w:rsid w:val="00543272"/>
    <w:rsid w:val="00544C1B"/>
    <w:rsid w:val="00544FAC"/>
    <w:rsid w:val="00550352"/>
    <w:rsid w:val="00550525"/>
    <w:rsid w:val="00550B18"/>
    <w:rsid w:val="005549C2"/>
    <w:rsid w:val="00562DC4"/>
    <w:rsid w:val="005706FB"/>
    <w:rsid w:val="00570D19"/>
    <w:rsid w:val="00573035"/>
    <w:rsid w:val="00574A9F"/>
    <w:rsid w:val="005841F9"/>
    <w:rsid w:val="00585122"/>
    <w:rsid w:val="00585870"/>
    <w:rsid w:val="00592A98"/>
    <w:rsid w:val="00592C23"/>
    <w:rsid w:val="00595E1F"/>
    <w:rsid w:val="00595FC3"/>
    <w:rsid w:val="005A1D3D"/>
    <w:rsid w:val="005A40A0"/>
    <w:rsid w:val="005A4AB5"/>
    <w:rsid w:val="005A6303"/>
    <w:rsid w:val="005A751D"/>
    <w:rsid w:val="005B0218"/>
    <w:rsid w:val="005B06C2"/>
    <w:rsid w:val="005B0D69"/>
    <w:rsid w:val="005B444F"/>
    <w:rsid w:val="005B7375"/>
    <w:rsid w:val="005C1AA2"/>
    <w:rsid w:val="005C35A1"/>
    <w:rsid w:val="005C41E1"/>
    <w:rsid w:val="005C662F"/>
    <w:rsid w:val="005C7E97"/>
    <w:rsid w:val="005D002F"/>
    <w:rsid w:val="005D15F0"/>
    <w:rsid w:val="005D302F"/>
    <w:rsid w:val="005D423E"/>
    <w:rsid w:val="005D626A"/>
    <w:rsid w:val="005D6B06"/>
    <w:rsid w:val="005D6D6B"/>
    <w:rsid w:val="005E0976"/>
    <w:rsid w:val="005E1CEF"/>
    <w:rsid w:val="005E4234"/>
    <w:rsid w:val="005E6148"/>
    <w:rsid w:val="005E6C58"/>
    <w:rsid w:val="005E6E2A"/>
    <w:rsid w:val="005F12A7"/>
    <w:rsid w:val="005F77A7"/>
    <w:rsid w:val="006025E6"/>
    <w:rsid w:val="0060302E"/>
    <w:rsid w:val="00605322"/>
    <w:rsid w:val="0060536E"/>
    <w:rsid w:val="0060559D"/>
    <w:rsid w:val="00610BC9"/>
    <w:rsid w:val="00614D79"/>
    <w:rsid w:val="0062172E"/>
    <w:rsid w:val="006230C9"/>
    <w:rsid w:val="0062451A"/>
    <w:rsid w:val="0062691F"/>
    <w:rsid w:val="006318A9"/>
    <w:rsid w:val="00631F50"/>
    <w:rsid w:val="00635098"/>
    <w:rsid w:val="006355F7"/>
    <w:rsid w:val="00637FF5"/>
    <w:rsid w:val="0064001F"/>
    <w:rsid w:val="00640CC0"/>
    <w:rsid w:val="006429D8"/>
    <w:rsid w:val="00651792"/>
    <w:rsid w:val="00651F87"/>
    <w:rsid w:val="006573E5"/>
    <w:rsid w:val="006574BD"/>
    <w:rsid w:val="00660FE3"/>
    <w:rsid w:val="00663BA9"/>
    <w:rsid w:val="00664D10"/>
    <w:rsid w:val="00664E0B"/>
    <w:rsid w:val="006712EE"/>
    <w:rsid w:val="0067389E"/>
    <w:rsid w:val="00675787"/>
    <w:rsid w:val="00676F4E"/>
    <w:rsid w:val="00677DDF"/>
    <w:rsid w:val="00681C25"/>
    <w:rsid w:val="00681CCE"/>
    <w:rsid w:val="00681FBF"/>
    <w:rsid w:val="006840A9"/>
    <w:rsid w:val="00684827"/>
    <w:rsid w:val="0068529E"/>
    <w:rsid w:val="006856AB"/>
    <w:rsid w:val="00686214"/>
    <w:rsid w:val="006872DA"/>
    <w:rsid w:val="0069262A"/>
    <w:rsid w:val="00695E2D"/>
    <w:rsid w:val="006A010E"/>
    <w:rsid w:val="006A02D4"/>
    <w:rsid w:val="006A690B"/>
    <w:rsid w:val="006A7EE2"/>
    <w:rsid w:val="006B06A6"/>
    <w:rsid w:val="006B2BB7"/>
    <w:rsid w:val="006B33EB"/>
    <w:rsid w:val="006B6AA9"/>
    <w:rsid w:val="006C089A"/>
    <w:rsid w:val="006C0E81"/>
    <w:rsid w:val="006C63EE"/>
    <w:rsid w:val="006D1755"/>
    <w:rsid w:val="006D1D40"/>
    <w:rsid w:val="006D4668"/>
    <w:rsid w:val="006E0F67"/>
    <w:rsid w:val="006E4F12"/>
    <w:rsid w:val="006E5E54"/>
    <w:rsid w:val="006F0F8D"/>
    <w:rsid w:val="006F33B2"/>
    <w:rsid w:val="006F4B18"/>
    <w:rsid w:val="00700767"/>
    <w:rsid w:val="007079E7"/>
    <w:rsid w:val="007107A7"/>
    <w:rsid w:val="0071306C"/>
    <w:rsid w:val="00715661"/>
    <w:rsid w:val="0072227B"/>
    <w:rsid w:val="00723003"/>
    <w:rsid w:val="00725CD0"/>
    <w:rsid w:val="00725EC1"/>
    <w:rsid w:val="007270DB"/>
    <w:rsid w:val="00727244"/>
    <w:rsid w:val="00727A8E"/>
    <w:rsid w:val="00727ADA"/>
    <w:rsid w:val="007344A6"/>
    <w:rsid w:val="007351DB"/>
    <w:rsid w:val="00735643"/>
    <w:rsid w:val="0073577A"/>
    <w:rsid w:val="00737325"/>
    <w:rsid w:val="00737873"/>
    <w:rsid w:val="00740FCB"/>
    <w:rsid w:val="00742C86"/>
    <w:rsid w:val="00743735"/>
    <w:rsid w:val="00744725"/>
    <w:rsid w:val="00747444"/>
    <w:rsid w:val="007476BC"/>
    <w:rsid w:val="00747B26"/>
    <w:rsid w:val="00747E42"/>
    <w:rsid w:val="007509E2"/>
    <w:rsid w:val="00760CE5"/>
    <w:rsid w:val="00761981"/>
    <w:rsid w:val="00764EBB"/>
    <w:rsid w:val="00770B6A"/>
    <w:rsid w:val="007726A0"/>
    <w:rsid w:val="00773F64"/>
    <w:rsid w:val="007747C3"/>
    <w:rsid w:val="00775165"/>
    <w:rsid w:val="00775F5B"/>
    <w:rsid w:val="00776E9E"/>
    <w:rsid w:val="007835AA"/>
    <w:rsid w:val="00784AF6"/>
    <w:rsid w:val="007949C7"/>
    <w:rsid w:val="0079565E"/>
    <w:rsid w:val="00797CB8"/>
    <w:rsid w:val="007A0021"/>
    <w:rsid w:val="007A38CC"/>
    <w:rsid w:val="007A6E07"/>
    <w:rsid w:val="007A71E7"/>
    <w:rsid w:val="007B0056"/>
    <w:rsid w:val="007B30B3"/>
    <w:rsid w:val="007B5874"/>
    <w:rsid w:val="007B5988"/>
    <w:rsid w:val="007B6906"/>
    <w:rsid w:val="007C2355"/>
    <w:rsid w:val="007C2E08"/>
    <w:rsid w:val="007C4C36"/>
    <w:rsid w:val="007D3366"/>
    <w:rsid w:val="007D702D"/>
    <w:rsid w:val="007E19C6"/>
    <w:rsid w:val="007E5D5E"/>
    <w:rsid w:val="007F26A1"/>
    <w:rsid w:val="007F5691"/>
    <w:rsid w:val="0080005C"/>
    <w:rsid w:val="00806466"/>
    <w:rsid w:val="00813735"/>
    <w:rsid w:val="00813999"/>
    <w:rsid w:val="00814151"/>
    <w:rsid w:val="0081494D"/>
    <w:rsid w:val="00815E4F"/>
    <w:rsid w:val="00816E16"/>
    <w:rsid w:val="008204BF"/>
    <w:rsid w:val="00822071"/>
    <w:rsid w:val="00822772"/>
    <w:rsid w:val="00826D0A"/>
    <w:rsid w:val="008277DB"/>
    <w:rsid w:val="00827E44"/>
    <w:rsid w:val="008303C1"/>
    <w:rsid w:val="0083256F"/>
    <w:rsid w:val="00832DDF"/>
    <w:rsid w:val="008370A0"/>
    <w:rsid w:val="0084450C"/>
    <w:rsid w:val="00846548"/>
    <w:rsid w:val="00860C6A"/>
    <w:rsid w:val="00864002"/>
    <w:rsid w:val="008649CC"/>
    <w:rsid w:val="008707F7"/>
    <w:rsid w:val="008726A0"/>
    <w:rsid w:val="00873B9E"/>
    <w:rsid w:val="008777FE"/>
    <w:rsid w:val="0089584C"/>
    <w:rsid w:val="008A017E"/>
    <w:rsid w:val="008A3507"/>
    <w:rsid w:val="008A40AC"/>
    <w:rsid w:val="008A67BD"/>
    <w:rsid w:val="008A7840"/>
    <w:rsid w:val="008A7AD6"/>
    <w:rsid w:val="008A7F02"/>
    <w:rsid w:val="008B05F5"/>
    <w:rsid w:val="008B15D8"/>
    <w:rsid w:val="008B37DD"/>
    <w:rsid w:val="008B51C2"/>
    <w:rsid w:val="008D2D1D"/>
    <w:rsid w:val="008D3C00"/>
    <w:rsid w:val="008D466D"/>
    <w:rsid w:val="008E41C6"/>
    <w:rsid w:val="008E6314"/>
    <w:rsid w:val="008F436F"/>
    <w:rsid w:val="008F6AF4"/>
    <w:rsid w:val="00901858"/>
    <w:rsid w:val="00903538"/>
    <w:rsid w:val="00904736"/>
    <w:rsid w:val="00910FF6"/>
    <w:rsid w:val="00912AC2"/>
    <w:rsid w:val="0091582F"/>
    <w:rsid w:val="009208D7"/>
    <w:rsid w:val="00926602"/>
    <w:rsid w:val="00926796"/>
    <w:rsid w:val="00926B6C"/>
    <w:rsid w:val="009307B5"/>
    <w:rsid w:val="009373EF"/>
    <w:rsid w:val="0094649A"/>
    <w:rsid w:val="0094684D"/>
    <w:rsid w:val="00950644"/>
    <w:rsid w:val="00955FDE"/>
    <w:rsid w:val="0096369A"/>
    <w:rsid w:val="00965AA8"/>
    <w:rsid w:val="009748B0"/>
    <w:rsid w:val="00974E52"/>
    <w:rsid w:val="00974F7D"/>
    <w:rsid w:val="00977696"/>
    <w:rsid w:val="0098040A"/>
    <w:rsid w:val="009821E2"/>
    <w:rsid w:val="009825C0"/>
    <w:rsid w:val="0098303F"/>
    <w:rsid w:val="00984CDD"/>
    <w:rsid w:val="00986B32"/>
    <w:rsid w:val="00987E28"/>
    <w:rsid w:val="0099020A"/>
    <w:rsid w:val="00994B0F"/>
    <w:rsid w:val="009A0572"/>
    <w:rsid w:val="009A102E"/>
    <w:rsid w:val="009B13E7"/>
    <w:rsid w:val="009B18D5"/>
    <w:rsid w:val="009C040E"/>
    <w:rsid w:val="009C1753"/>
    <w:rsid w:val="009C4415"/>
    <w:rsid w:val="009D0CFD"/>
    <w:rsid w:val="009D137B"/>
    <w:rsid w:val="009D46AC"/>
    <w:rsid w:val="009D60F5"/>
    <w:rsid w:val="009D7918"/>
    <w:rsid w:val="009E3F76"/>
    <w:rsid w:val="009E68AD"/>
    <w:rsid w:val="009E7A54"/>
    <w:rsid w:val="009F01A9"/>
    <w:rsid w:val="009F2151"/>
    <w:rsid w:val="009F5E21"/>
    <w:rsid w:val="00A03F24"/>
    <w:rsid w:val="00A04D21"/>
    <w:rsid w:val="00A07508"/>
    <w:rsid w:val="00A10624"/>
    <w:rsid w:val="00A160B4"/>
    <w:rsid w:val="00A16B9F"/>
    <w:rsid w:val="00A24370"/>
    <w:rsid w:val="00A27029"/>
    <w:rsid w:val="00A325AE"/>
    <w:rsid w:val="00A37E70"/>
    <w:rsid w:val="00A45CC7"/>
    <w:rsid w:val="00A51ED9"/>
    <w:rsid w:val="00A57028"/>
    <w:rsid w:val="00A601DF"/>
    <w:rsid w:val="00A612EE"/>
    <w:rsid w:val="00A6529E"/>
    <w:rsid w:val="00A72B28"/>
    <w:rsid w:val="00A82385"/>
    <w:rsid w:val="00A86713"/>
    <w:rsid w:val="00A873BD"/>
    <w:rsid w:val="00A92B81"/>
    <w:rsid w:val="00A93906"/>
    <w:rsid w:val="00A97595"/>
    <w:rsid w:val="00A9777A"/>
    <w:rsid w:val="00AA13D1"/>
    <w:rsid w:val="00AA16CB"/>
    <w:rsid w:val="00AA48C3"/>
    <w:rsid w:val="00AA4B87"/>
    <w:rsid w:val="00AA4CD3"/>
    <w:rsid w:val="00AA6876"/>
    <w:rsid w:val="00AA7F93"/>
    <w:rsid w:val="00AB079B"/>
    <w:rsid w:val="00AB2F83"/>
    <w:rsid w:val="00AB3C4B"/>
    <w:rsid w:val="00AC3AEA"/>
    <w:rsid w:val="00AC3F11"/>
    <w:rsid w:val="00AC591B"/>
    <w:rsid w:val="00AD4DBE"/>
    <w:rsid w:val="00AE4E27"/>
    <w:rsid w:val="00AF4162"/>
    <w:rsid w:val="00AF7559"/>
    <w:rsid w:val="00B01B42"/>
    <w:rsid w:val="00B02ED3"/>
    <w:rsid w:val="00B07916"/>
    <w:rsid w:val="00B1084D"/>
    <w:rsid w:val="00B10A70"/>
    <w:rsid w:val="00B1416D"/>
    <w:rsid w:val="00B15D28"/>
    <w:rsid w:val="00B215E8"/>
    <w:rsid w:val="00B22287"/>
    <w:rsid w:val="00B24139"/>
    <w:rsid w:val="00B30E0D"/>
    <w:rsid w:val="00B31349"/>
    <w:rsid w:val="00B33722"/>
    <w:rsid w:val="00B42AE0"/>
    <w:rsid w:val="00B439E6"/>
    <w:rsid w:val="00B43A08"/>
    <w:rsid w:val="00B479A5"/>
    <w:rsid w:val="00B521C3"/>
    <w:rsid w:val="00B53EB7"/>
    <w:rsid w:val="00B616F4"/>
    <w:rsid w:val="00B638D0"/>
    <w:rsid w:val="00B70622"/>
    <w:rsid w:val="00B73CA3"/>
    <w:rsid w:val="00B77FBC"/>
    <w:rsid w:val="00B806A0"/>
    <w:rsid w:val="00B82B40"/>
    <w:rsid w:val="00B83728"/>
    <w:rsid w:val="00B90DE8"/>
    <w:rsid w:val="00B9207F"/>
    <w:rsid w:val="00B929A0"/>
    <w:rsid w:val="00B9321C"/>
    <w:rsid w:val="00B95A6D"/>
    <w:rsid w:val="00BA2A02"/>
    <w:rsid w:val="00BA2F53"/>
    <w:rsid w:val="00BA4D38"/>
    <w:rsid w:val="00BB238F"/>
    <w:rsid w:val="00BB4FED"/>
    <w:rsid w:val="00BB5DED"/>
    <w:rsid w:val="00BB5EE5"/>
    <w:rsid w:val="00BB7277"/>
    <w:rsid w:val="00BB7758"/>
    <w:rsid w:val="00BC1F34"/>
    <w:rsid w:val="00BC2788"/>
    <w:rsid w:val="00BC4D41"/>
    <w:rsid w:val="00BC5AE8"/>
    <w:rsid w:val="00BD04C4"/>
    <w:rsid w:val="00BD3EFC"/>
    <w:rsid w:val="00BD4B7C"/>
    <w:rsid w:val="00BE0CCA"/>
    <w:rsid w:val="00BE11D7"/>
    <w:rsid w:val="00BF61D6"/>
    <w:rsid w:val="00C00580"/>
    <w:rsid w:val="00C02194"/>
    <w:rsid w:val="00C07069"/>
    <w:rsid w:val="00C101B1"/>
    <w:rsid w:val="00C151B7"/>
    <w:rsid w:val="00C15413"/>
    <w:rsid w:val="00C16ED2"/>
    <w:rsid w:val="00C229CE"/>
    <w:rsid w:val="00C25395"/>
    <w:rsid w:val="00C30387"/>
    <w:rsid w:val="00C32B67"/>
    <w:rsid w:val="00C343F5"/>
    <w:rsid w:val="00C34E99"/>
    <w:rsid w:val="00C41389"/>
    <w:rsid w:val="00C421D7"/>
    <w:rsid w:val="00C464F9"/>
    <w:rsid w:val="00C46B1D"/>
    <w:rsid w:val="00C50099"/>
    <w:rsid w:val="00C56129"/>
    <w:rsid w:val="00C66182"/>
    <w:rsid w:val="00C75036"/>
    <w:rsid w:val="00C7757A"/>
    <w:rsid w:val="00C826A8"/>
    <w:rsid w:val="00C826BF"/>
    <w:rsid w:val="00C84341"/>
    <w:rsid w:val="00C85235"/>
    <w:rsid w:val="00C854A7"/>
    <w:rsid w:val="00C855BC"/>
    <w:rsid w:val="00C87BDC"/>
    <w:rsid w:val="00C93738"/>
    <w:rsid w:val="00C95280"/>
    <w:rsid w:val="00C960E5"/>
    <w:rsid w:val="00C9672E"/>
    <w:rsid w:val="00C97C60"/>
    <w:rsid w:val="00CA15DD"/>
    <w:rsid w:val="00CA182A"/>
    <w:rsid w:val="00CA39CF"/>
    <w:rsid w:val="00CA4385"/>
    <w:rsid w:val="00CA4C0D"/>
    <w:rsid w:val="00CB2E0C"/>
    <w:rsid w:val="00CB3262"/>
    <w:rsid w:val="00CB4881"/>
    <w:rsid w:val="00CB50D4"/>
    <w:rsid w:val="00CB72CF"/>
    <w:rsid w:val="00CC11BB"/>
    <w:rsid w:val="00CC2203"/>
    <w:rsid w:val="00CC683E"/>
    <w:rsid w:val="00CD2862"/>
    <w:rsid w:val="00CD29F2"/>
    <w:rsid w:val="00CD50D6"/>
    <w:rsid w:val="00CD67D8"/>
    <w:rsid w:val="00CD759E"/>
    <w:rsid w:val="00CE0B69"/>
    <w:rsid w:val="00CE154A"/>
    <w:rsid w:val="00CF0BF8"/>
    <w:rsid w:val="00CF0E70"/>
    <w:rsid w:val="00CF1547"/>
    <w:rsid w:val="00CF3C7C"/>
    <w:rsid w:val="00D005DE"/>
    <w:rsid w:val="00D0607A"/>
    <w:rsid w:val="00D06809"/>
    <w:rsid w:val="00D10798"/>
    <w:rsid w:val="00D16FEB"/>
    <w:rsid w:val="00D22129"/>
    <w:rsid w:val="00D243FF"/>
    <w:rsid w:val="00D25BB2"/>
    <w:rsid w:val="00D278FF"/>
    <w:rsid w:val="00D27F65"/>
    <w:rsid w:val="00D3535E"/>
    <w:rsid w:val="00D375A0"/>
    <w:rsid w:val="00D400F2"/>
    <w:rsid w:val="00D42F74"/>
    <w:rsid w:val="00D47639"/>
    <w:rsid w:val="00D530AE"/>
    <w:rsid w:val="00D6103A"/>
    <w:rsid w:val="00D63F71"/>
    <w:rsid w:val="00D65530"/>
    <w:rsid w:val="00D65A07"/>
    <w:rsid w:val="00D73242"/>
    <w:rsid w:val="00D76582"/>
    <w:rsid w:val="00D809A1"/>
    <w:rsid w:val="00D80BCD"/>
    <w:rsid w:val="00D81115"/>
    <w:rsid w:val="00D83721"/>
    <w:rsid w:val="00D84FEC"/>
    <w:rsid w:val="00D85428"/>
    <w:rsid w:val="00D86BE1"/>
    <w:rsid w:val="00D90677"/>
    <w:rsid w:val="00D91B4F"/>
    <w:rsid w:val="00D93E44"/>
    <w:rsid w:val="00D94B19"/>
    <w:rsid w:val="00DA17B9"/>
    <w:rsid w:val="00DA325A"/>
    <w:rsid w:val="00DB0D25"/>
    <w:rsid w:val="00DB1E28"/>
    <w:rsid w:val="00DB6CCA"/>
    <w:rsid w:val="00DB6D87"/>
    <w:rsid w:val="00DC5416"/>
    <w:rsid w:val="00DC68A3"/>
    <w:rsid w:val="00DD49C5"/>
    <w:rsid w:val="00DE26D6"/>
    <w:rsid w:val="00DE2DB6"/>
    <w:rsid w:val="00DE2EA6"/>
    <w:rsid w:val="00DF164C"/>
    <w:rsid w:val="00DF1E49"/>
    <w:rsid w:val="00E01270"/>
    <w:rsid w:val="00E02EE7"/>
    <w:rsid w:val="00E073BF"/>
    <w:rsid w:val="00E15FEB"/>
    <w:rsid w:val="00E21554"/>
    <w:rsid w:val="00E21AA8"/>
    <w:rsid w:val="00E230F7"/>
    <w:rsid w:val="00E23792"/>
    <w:rsid w:val="00E254F0"/>
    <w:rsid w:val="00E31BE5"/>
    <w:rsid w:val="00E3749C"/>
    <w:rsid w:val="00E45558"/>
    <w:rsid w:val="00E5059B"/>
    <w:rsid w:val="00E538BF"/>
    <w:rsid w:val="00E61414"/>
    <w:rsid w:val="00E64AC1"/>
    <w:rsid w:val="00E7041F"/>
    <w:rsid w:val="00E714DA"/>
    <w:rsid w:val="00E71984"/>
    <w:rsid w:val="00E8117D"/>
    <w:rsid w:val="00E83BB5"/>
    <w:rsid w:val="00E90F93"/>
    <w:rsid w:val="00E9331F"/>
    <w:rsid w:val="00E97B29"/>
    <w:rsid w:val="00EA035B"/>
    <w:rsid w:val="00EB06AB"/>
    <w:rsid w:val="00EB0F0D"/>
    <w:rsid w:val="00EB170F"/>
    <w:rsid w:val="00EB4CA8"/>
    <w:rsid w:val="00EB4E2F"/>
    <w:rsid w:val="00EB6244"/>
    <w:rsid w:val="00EB65C6"/>
    <w:rsid w:val="00EB67C3"/>
    <w:rsid w:val="00EC0522"/>
    <w:rsid w:val="00EC05AC"/>
    <w:rsid w:val="00EC080A"/>
    <w:rsid w:val="00EC1F45"/>
    <w:rsid w:val="00EC226C"/>
    <w:rsid w:val="00EC3DA7"/>
    <w:rsid w:val="00ED3168"/>
    <w:rsid w:val="00ED6251"/>
    <w:rsid w:val="00ED6498"/>
    <w:rsid w:val="00ED79B4"/>
    <w:rsid w:val="00ED7F07"/>
    <w:rsid w:val="00EE1B2E"/>
    <w:rsid w:val="00EE54CE"/>
    <w:rsid w:val="00EE5B20"/>
    <w:rsid w:val="00EE5DF4"/>
    <w:rsid w:val="00EF1BEF"/>
    <w:rsid w:val="00EF30CB"/>
    <w:rsid w:val="00EF33BB"/>
    <w:rsid w:val="00EF6F34"/>
    <w:rsid w:val="00EF73F5"/>
    <w:rsid w:val="00F003A8"/>
    <w:rsid w:val="00F0450D"/>
    <w:rsid w:val="00F04E03"/>
    <w:rsid w:val="00F1453F"/>
    <w:rsid w:val="00F23637"/>
    <w:rsid w:val="00F23733"/>
    <w:rsid w:val="00F31533"/>
    <w:rsid w:val="00F36A11"/>
    <w:rsid w:val="00F45138"/>
    <w:rsid w:val="00F45162"/>
    <w:rsid w:val="00F45A5A"/>
    <w:rsid w:val="00F46871"/>
    <w:rsid w:val="00F51CF8"/>
    <w:rsid w:val="00F525D8"/>
    <w:rsid w:val="00F52ED8"/>
    <w:rsid w:val="00F531D0"/>
    <w:rsid w:val="00F53D3E"/>
    <w:rsid w:val="00F5739C"/>
    <w:rsid w:val="00F62E1D"/>
    <w:rsid w:val="00F659FD"/>
    <w:rsid w:val="00F76465"/>
    <w:rsid w:val="00F7758A"/>
    <w:rsid w:val="00F80F07"/>
    <w:rsid w:val="00F93524"/>
    <w:rsid w:val="00F94466"/>
    <w:rsid w:val="00F94606"/>
    <w:rsid w:val="00F95139"/>
    <w:rsid w:val="00FA000E"/>
    <w:rsid w:val="00FA0EAC"/>
    <w:rsid w:val="00FA4B13"/>
    <w:rsid w:val="00FA5206"/>
    <w:rsid w:val="00FA58E3"/>
    <w:rsid w:val="00FA5E37"/>
    <w:rsid w:val="00FB04E4"/>
    <w:rsid w:val="00FB0FA5"/>
    <w:rsid w:val="00FB53DE"/>
    <w:rsid w:val="00FB54E8"/>
    <w:rsid w:val="00FC2C69"/>
    <w:rsid w:val="00FC3A5A"/>
    <w:rsid w:val="00FC5D94"/>
    <w:rsid w:val="00FC6066"/>
    <w:rsid w:val="00FC61DC"/>
    <w:rsid w:val="00FC718A"/>
    <w:rsid w:val="00FD4889"/>
    <w:rsid w:val="00FD6676"/>
    <w:rsid w:val="00FD6C84"/>
    <w:rsid w:val="00FD77E9"/>
    <w:rsid w:val="00FE0F19"/>
    <w:rsid w:val="00FE369D"/>
    <w:rsid w:val="00FE77F9"/>
    <w:rsid w:val="00FE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7EC8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4370"/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uiPriority w:val="9"/>
    <w:qFormat/>
    <w:rsid w:val="005505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05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05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C3F1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D30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5052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5052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uiPriority w:val="9"/>
    <w:rsid w:val="005505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Numerowanie,L1,Akapit z listą5,Akapit normalny,Akapit z listą1,Akapit z listą BS,Kolorowa lista — akcent 11,List Paragraph2,CW_Lista,lp1,Preambuła,Dot pt,F5 List Paragraph,Recommendation,List Paragraph11,Podsis rysunku,sw tekst,Odstavec"/>
    <w:basedOn w:val="Normalny"/>
    <w:link w:val="AkapitzlistZnak"/>
    <w:uiPriority w:val="34"/>
    <w:qFormat/>
    <w:rsid w:val="00A37E7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9067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9067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1C3F1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Nagl1">
    <w:name w:val="Nagl1"/>
    <w:basedOn w:val="Normalny"/>
    <w:link w:val="Nagl1Znak"/>
    <w:qFormat/>
    <w:rsid w:val="00AF7559"/>
    <w:pPr>
      <w:numPr>
        <w:numId w:val="1"/>
      </w:numPr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Nagl1Znak">
    <w:name w:val="Nagl1 Znak"/>
    <w:link w:val="Nagl1"/>
    <w:rsid w:val="00AF7559"/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39"/>
    <w:rsid w:val="00AF755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E31BE5"/>
    <w:rPr>
      <w:i/>
      <w:iCs/>
      <w:color w:val="4472C4" w:themeColor="accent1"/>
    </w:rPr>
  </w:style>
  <w:style w:type="paragraph" w:styleId="Bezodstpw">
    <w:name w:val="No Spacing"/>
    <w:uiPriority w:val="1"/>
    <w:qFormat/>
    <w:rsid w:val="00D8372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sid w:val="007357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357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57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57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57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5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77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1 Znak,Akapit z listą5 Znak,Akapit normalny Znak,Akapit z listą1 Znak,Akapit z listą BS Znak,Kolorowa lista — akcent 11 Znak,List Paragraph2 Znak,CW_Lista Znak,lp1 Znak,Preambuła Znak,Dot pt Znak,Recommendation Znak"/>
    <w:link w:val="Akapitzlist"/>
    <w:uiPriority w:val="34"/>
    <w:qFormat/>
    <w:locked/>
    <w:rsid w:val="002F7613"/>
  </w:style>
  <w:style w:type="paragraph" w:styleId="Legenda">
    <w:name w:val="caption"/>
    <w:basedOn w:val="Normalny"/>
    <w:next w:val="Normalny"/>
    <w:uiPriority w:val="35"/>
    <w:unhideWhenUsed/>
    <w:qFormat/>
    <w:rsid w:val="002F761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ormaltextrun1">
    <w:name w:val="normaltextrun1"/>
    <w:basedOn w:val="Domylnaczcionkaakapitu"/>
    <w:rsid w:val="00784AF6"/>
  </w:style>
  <w:style w:type="character" w:customStyle="1" w:styleId="eop">
    <w:name w:val="eop"/>
    <w:basedOn w:val="Domylnaczcionkaakapitu"/>
    <w:rsid w:val="00784AF6"/>
  </w:style>
  <w:style w:type="character" w:customStyle="1" w:styleId="Bodytext2Calibri8pt">
    <w:name w:val="Body text (2) + Calibri;8 pt"/>
    <w:basedOn w:val="Domylnaczcionkaakapitu"/>
    <w:rsid w:val="0032539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2Calibri8pt0">
    <w:name w:val="Body text (2) + Calibri;8 pt0"/>
    <w:basedOn w:val="Domylnaczcionkaakapitu"/>
    <w:rsid w:val="0032539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Bodytext2Calibri">
    <w:name w:val="Body text (2) + Calibri"/>
    <w:aliases w:val="8 pt0"/>
    <w:basedOn w:val="Domylnaczcionkaakapitu"/>
    <w:rsid w:val="00325393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DE2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6D6"/>
  </w:style>
  <w:style w:type="paragraph" w:styleId="Stopka">
    <w:name w:val="footer"/>
    <w:basedOn w:val="Normalny"/>
    <w:link w:val="StopkaZnak"/>
    <w:uiPriority w:val="99"/>
    <w:unhideWhenUsed/>
    <w:rsid w:val="00DE2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6D6"/>
  </w:style>
  <w:style w:type="character" w:customStyle="1" w:styleId="normaltextrun">
    <w:name w:val="normaltextrun"/>
    <w:basedOn w:val="Domylnaczcionkaakapitu"/>
    <w:rsid w:val="003E239F"/>
  </w:style>
  <w:style w:type="paragraph" w:styleId="Poprawka">
    <w:name w:val="Revision"/>
    <w:hidden/>
    <w:uiPriority w:val="99"/>
    <w:semiHidden/>
    <w:rsid w:val="00BA2A02"/>
    <w:pPr>
      <w:spacing w:after="0" w:line="240" w:lineRule="auto"/>
    </w:pPr>
  </w:style>
  <w:style w:type="paragraph" w:styleId="Spistreci2">
    <w:name w:val="toc 2"/>
    <w:hidden/>
    <w:rsid w:val="00700767"/>
    <w:pPr>
      <w:spacing w:after="200" w:line="271" w:lineRule="auto"/>
      <w:ind w:left="31" w:right="96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076C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76CDE"/>
    <w:rPr>
      <w:color w:val="605E5C"/>
      <w:shd w:val="clear" w:color="auto" w:fill="E1DFDD"/>
    </w:rPr>
  </w:style>
  <w:style w:type="paragraph" w:customStyle="1" w:styleId="Punkt">
    <w:name w:val="Punkt"/>
    <w:basedOn w:val="Tekstpodstawowy"/>
    <w:rsid w:val="00A72B28"/>
    <w:pPr>
      <w:widowControl/>
      <w:tabs>
        <w:tab w:val="num" w:pos="709"/>
      </w:tabs>
      <w:spacing w:after="160"/>
      <w:ind w:left="709" w:hanging="709"/>
    </w:pPr>
    <w:rPr>
      <w:sz w:val="24"/>
      <w:szCs w:val="24"/>
      <w:lang w:val="pl-PL" w:eastAsia="pl-PL"/>
    </w:rPr>
  </w:style>
  <w:style w:type="paragraph" w:customStyle="1" w:styleId="Podpunkt">
    <w:name w:val="Podpunkt"/>
    <w:basedOn w:val="Punkt"/>
    <w:rsid w:val="00A72B28"/>
    <w:pPr>
      <w:tabs>
        <w:tab w:val="clear" w:pos="709"/>
        <w:tab w:val="num" w:pos="1701"/>
      </w:tabs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0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23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9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30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0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1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5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9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13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98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81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1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5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8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5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BDC15-3F1F-4473-8952-0288A7666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10360</Words>
  <Characters>62162</Characters>
  <Application>Microsoft Office Word</Application>
  <DocSecurity>0</DocSecurity>
  <Lines>518</Lines>
  <Paragraphs>144</Paragraphs>
  <ScaleCrop>false</ScaleCrop>
  <Company/>
  <LinksUpToDate>false</LinksUpToDate>
  <CharactersWithSpaces>72378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2024-04-18T07:25:00Z</dcterms:created>
  <dcterms:modified xsi:type="dcterms:W3CDTF">2024-04-18T07:26:00Z</dcterms:modified>
</cp:coreProperties>
</file>