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8" w:rsidRDefault="008D1FA8" w:rsidP="008D1FA8">
      <w:r>
        <w:t xml:space="preserve">Zamawiający informuje, iż w danym postępowaniu wpłynęły następujące zapytania: </w:t>
      </w:r>
    </w:p>
    <w:p w:rsidR="008D1FA8" w:rsidRDefault="008D1FA8" w:rsidP="008D1FA8"/>
    <w:p w:rsidR="008D1FA8" w:rsidRDefault="008D1FA8" w:rsidP="008D1FA8">
      <w:r>
        <w:t xml:space="preserve">Pytanie 1: </w:t>
      </w:r>
    </w:p>
    <w:p w:rsidR="008D1FA8" w:rsidRDefault="008D1FA8" w:rsidP="008D1FA8">
      <w:pPr>
        <w:jc w:val="both"/>
      </w:pPr>
      <w:r>
        <w:t xml:space="preserve">Pakiet 1, Pozycja 37, </w:t>
      </w:r>
      <w:proofErr w:type="spellStart"/>
      <w:r>
        <w:t>Amikacinum</w:t>
      </w:r>
      <w:proofErr w:type="spellEnd"/>
      <w:r>
        <w:t xml:space="preserve"> 500mg/2ml x 1 fiol., roztwór do </w:t>
      </w:r>
      <w:proofErr w:type="spellStart"/>
      <w:r>
        <w:t>wstrzykiwań</w:t>
      </w:r>
      <w:proofErr w:type="spellEnd"/>
      <w:r>
        <w:t xml:space="preserve"> i infuzji: Czy Zamawiający wyrazi zgodę na zaoferowanie produktu </w:t>
      </w:r>
      <w:proofErr w:type="spellStart"/>
      <w:r>
        <w:t>Biodacyna</w:t>
      </w:r>
      <w:proofErr w:type="spellEnd"/>
      <w:r>
        <w:t xml:space="preserve"> pakowanego w ampułki, umożliwi to przedstawienie konkurencyjnej oferty.</w:t>
      </w:r>
    </w:p>
    <w:p w:rsidR="008D1FA8" w:rsidRDefault="008D1FA8" w:rsidP="008D1FA8">
      <w:pPr>
        <w:jc w:val="both"/>
      </w:pPr>
    </w:p>
    <w:p w:rsidR="008D1FA8" w:rsidRPr="008D1FA8" w:rsidRDefault="008D1FA8" w:rsidP="008D1FA8">
      <w:pPr>
        <w:jc w:val="both"/>
        <w:rPr>
          <w:i/>
        </w:rPr>
      </w:pPr>
      <w:r w:rsidRPr="008D1FA8">
        <w:rPr>
          <w:i/>
        </w:rPr>
        <w:t>Odpowiedź Zamawiającego:</w:t>
      </w:r>
    </w:p>
    <w:p w:rsidR="008D1FA8" w:rsidRPr="008D1FA8" w:rsidRDefault="008D1FA8" w:rsidP="008D1FA8">
      <w:pPr>
        <w:jc w:val="both"/>
        <w:rPr>
          <w:i/>
        </w:rPr>
      </w:pPr>
      <w:r w:rsidRPr="008D1FA8">
        <w:rPr>
          <w:i/>
        </w:rPr>
        <w:t xml:space="preserve">Zamawiający wyraża zgodę na zaoferowanie produktu </w:t>
      </w:r>
      <w:proofErr w:type="spellStart"/>
      <w:r w:rsidRPr="008D1FA8">
        <w:rPr>
          <w:i/>
        </w:rPr>
        <w:t>Biodacyna</w:t>
      </w:r>
      <w:proofErr w:type="spellEnd"/>
      <w:r w:rsidRPr="008D1FA8">
        <w:rPr>
          <w:i/>
        </w:rPr>
        <w:t xml:space="preserve"> pakowanego w ampułki.</w:t>
      </w: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  <w:r>
        <w:t xml:space="preserve">Pytanie 2: </w:t>
      </w:r>
    </w:p>
    <w:p w:rsidR="008D1FA8" w:rsidRDefault="008D1FA8" w:rsidP="008D1FA8">
      <w:pPr>
        <w:jc w:val="both"/>
      </w:pPr>
      <w:r>
        <w:t xml:space="preserve">Pakiet 1, Pozycja 323, </w:t>
      </w:r>
      <w:proofErr w:type="spellStart"/>
      <w:r>
        <w:t>Hydrocotisonum</w:t>
      </w:r>
      <w:proofErr w:type="spellEnd"/>
      <w:r>
        <w:t xml:space="preserve"> 100 mg x 5 </w:t>
      </w:r>
      <w:proofErr w:type="spellStart"/>
      <w:r>
        <w:t>amp</w:t>
      </w:r>
      <w:proofErr w:type="spellEnd"/>
      <w:r>
        <w:t xml:space="preserve">., </w:t>
      </w:r>
      <w:proofErr w:type="spellStart"/>
      <w:r>
        <w:t>prosz</w:t>
      </w:r>
      <w:proofErr w:type="spellEnd"/>
      <w:r>
        <w:t xml:space="preserve">. do </w:t>
      </w:r>
      <w:proofErr w:type="spellStart"/>
      <w:r>
        <w:t>sporz.roztw</w:t>
      </w:r>
      <w:proofErr w:type="spellEnd"/>
      <w:r>
        <w:t xml:space="preserve">. do </w:t>
      </w:r>
      <w:proofErr w:type="spellStart"/>
      <w:r>
        <w:t>wstrz</w:t>
      </w:r>
      <w:proofErr w:type="spellEnd"/>
      <w:r>
        <w:t xml:space="preserve">. lub infuzji: Czy Zamawiający dopuści </w:t>
      </w:r>
      <w:proofErr w:type="spellStart"/>
      <w:r>
        <w:t>Hydrocortison</w:t>
      </w:r>
      <w:proofErr w:type="spellEnd"/>
      <w:r>
        <w:t xml:space="preserve"> VUAB, 100 mg, proszek do sporządzania roztworu do </w:t>
      </w:r>
      <w:proofErr w:type="spellStart"/>
      <w:r>
        <w:t>wstrzykiwań</w:t>
      </w:r>
      <w:proofErr w:type="spellEnd"/>
      <w:r>
        <w:t>/do infuzji x 1 fiolka 10 ml z odpowiednim przeliczeniem ilości, co spowoduje złożenie konkurencyjnej oferty dla szpitala?</w:t>
      </w:r>
    </w:p>
    <w:p w:rsidR="008D1FA8" w:rsidRDefault="008D1FA8" w:rsidP="008D1FA8">
      <w:pPr>
        <w:jc w:val="both"/>
      </w:pPr>
    </w:p>
    <w:p w:rsidR="008D1FA8" w:rsidRPr="008D1FA8" w:rsidRDefault="008D1FA8" w:rsidP="008D1FA8">
      <w:pPr>
        <w:jc w:val="both"/>
        <w:rPr>
          <w:i/>
        </w:rPr>
      </w:pPr>
      <w:r w:rsidRPr="008D1FA8">
        <w:rPr>
          <w:i/>
        </w:rPr>
        <w:t>Odpowiedź Zamawiającego:</w:t>
      </w:r>
    </w:p>
    <w:p w:rsidR="008D1FA8" w:rsidRPr="008D1FA8" w:rsidRDefault="008D1FA8" w:rsidP="008D1FA8">
      <w:pPr>
        <w:jc w:val="both"/>
        <w:rPr>
          <w:i/>
        </w:rPr>
      </w:pPr>
      <w:r w:rsidRPr="008D1FA8">
        <w:rPr>
          <w:i/>
        </w:rPr>
        <w:t xml:space="preserve"> Pakiet 1, poz. 323,  Zamawiający dopuści </w:t>
      </w:r>
      <w:proofErr w:type="spellStart"/>
      <w:r w:rsidRPr="008D1FA8">
        <w:rPr>
          <w:i/>
        </w:rPr>
        <w:t>Hydrocortison</w:t>
      </w:r>
      <w:proofErr w:type="spellEnd"/>
      <w:r w:rsidRPr="008D1FA8">
        <w:rPr>
          <w:i/>
        </w:rPr>
        <w:t xml:space="preserve"> VUAB, 100 mg, proszek do sporządzania roztworu do </w:t>
      </w:r>
      <w:proofErr w:type="spellStart"/>
      <w:r w:rsidRPr="008D1FA8">
        <w:rPr>
          <w:i/>
        </w:rPr>
        <w:t>wstrzykiwań</w:t>
      </w:r>
      <w:proofErr w:type="spellEnd"/>
      <w:r w:rsidRPr="008D1FA8">
        <w:rPr>
          <w:i/>
        </w:rPr>
        <w:t>/do infuzji x 1 fiolka 10 ml z odpowiednim przeliczeniem ilości zgodnym z formularzem cenowym.</w:t>
      </w: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  <w:r>
        <w:t xml:space="preserve">Pytanie 3: </w:t>
      </w:r>
    </w:p>
    <w:p w:rsidR="008D1FA8" w:rsidRDefault="008D1FA8" w:rsidP="008D1FA8">
      <w:pPr>
        <w:jc w:val="both"/>
      </w:pPr>
      <w:r>
        <w:t xml:space="preserve">Czy w Pakiecie zbiorczym poz.. 374 Zamawiający dopuści zaoferowanie produktu </w:t>
      </w:r>
      <w:proofErr w:type="spellStart"/>
      <w:r>
        <w:t>ProbioDr</w:t>
      </w:r>
      <w:proofErr w:type="spellEnd"/>
      <w:r>
        <w:t xml:space="preserve">, zawierającego kultury bakterii </w:t>
      </w:r>
      <w:proofErr w:type="spellStart"/>
      <w:r>
        <w:t>probiotycznych</w:t>
      </w:r>
      <w:proofErr w:type="spellEnd"/>
      <w:r>
        <w:t xml:space="preserve"> najlepiej przebadanego pod względem klinicznym szczepu 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t>rhamnosus</w:t>
      </w:r>
      <w:proofErr w:type="spellEnd"/>
      <w:r>
        <w:t xml:space="preserve"> GG ATTC53103 i 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t>helveticus</w:t>
      </w:r>
      <w:proofErr w:type="spellEnd"/>
      <w:r>
        <w:t xml:space="preserve"> w łącznym stężeniu 2mld CFU/ kaps, identycznym jak w produkcie opisanym w SIWZ</w:t>
      </w:r>
      <w:r>
        <w:t xml:space="preserve">? </w:t>
      </w:r>
    </w:p>
    <w:p w:rsidR="008D1FA8" w:rsidRDefault="008D1FA8" w:rsidP="008D1FA8">
      <w:pPr>
        <w:jc w:val="both"/>
      </w:pPr>
    </w:p>
    <w:p w:rsidR="008D1FA8" w:rsidRPr="008D1FA8" w:rsidRDefault="008D1FA8" w:rsidP="008D1FA8">
      <w:pPr>
        <w:jc w:val="both"/>
        <w:rPr>
          <w:i/>
        </w:rPr>
      </w:pPr>
      <w:r w:rsidRPr="008D1FA8">
        <w:rPr>
          <w:i/>
        </w:rPr>
        <w:t>Odpowiedź Zamawiającego:</w:t>
      </w:r>
    </w:p>
    <w:p w:rsidR="008D1FA8" w:rsidRPr="008D1FA8" w:rsidRDefault="008D1FA8" w:rsidP="008D1FA8">
      <w:pPr>
        <w:jc w:val="both"/>
        <w:rPr>
          <w:i/>
        </w:rPr>
      </w:pPr>
      <w:r w:rsidRPr="008D1FA8">
        <w:rPr>
          <w:i/>
        </w:rPr>
        <w:t xml:space="preserve">W Pakiecie zbiorczym poz. 374 Zamawiający nie dopuści do zaoferowania produktu </w:t>
      </w:r>
      <w:proofErr w:type="spellStart"/>
      <w:r w:rsidRPr="008D1FA8">
        <w:rPr>
          <w:i/>
        </w:rPr>
        <w:t>ProbioDr</w:t>
      </w:r>
      <w:proofErr w:type="spellEnd"/>
      <w:r w:rsidRPr="008D1FA8">
        <w:rPr>
          <w:i/>
        </w:rPr>
        <w:t>. Zamawiający dopuszcza zaoferowanie produktów leczniczych, które posiadają pozwolenie na dopuszczenie do obrotu na terenie Rzeczypospolitej Polskiej.</w:t>
      </w:r>
    </w:p>
    <w:p w:rsidR="008D1FA8" w:rsidRDefault="008D1FA8" w:rsidP="008D1FA8">
      <w:pPr>
        <w:jc w:val="both"/>
      </w:pPr>
      <w:r>
        <w:t xml:space="preserve">Pytanie 4: </w:t>
      </w:r>
    </w:p>
    <w:p w:rsidR="008D1FA8" w:rsidRDefault="008D1FA8" w:rsidP="008D1FA8">
      <w:pPr>
        <w:jc w:val="both"/>
      </w:pPr>
      <w:r>
        <w:t xml:space="preserve">Czy w Pakiecie zbiorczym poz.. 374  Zamawiający dopuści zaoferowanie produktu </w:t>
      </w:r>
      <w:proofErr w:type="spellStart"/>
      <w:r>
        <w:t>LactoDr</w:t>
      </w:r>
      <w:proofErr w:type="spellEnd"/>
      <w:r>
        <w:t xml:space="preserve">, zawierającego żywe, liofilizowane kultury bakterii </w:t>
      </w:r>
      <w:proofErr w:type="spellStart"/>
      <w:r>
        <w:t>probiotycznych</w:t>
      </w:r>
      <w:proofErr w:type="spellEnd"/>
      <w:r>
        <w:t xml:space="preserve"> najlepiej przebadanego pod względem klinicznym szczepu 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t>rhamnosus</w:t>
      </w:r>
      <w:proofErr w:type="spellEnd"/>
      <w:r>
        <w:t xml:space="preserve"> GG ATTC53103 w stężeniu 6 mld CFU/ kaps? Produkt konfekcjonowany w opakowaniach x 30 kapsułek (prosimy o możliwość przeliczenia na odpowiednią liczbę opakowań i zaokrąglenia uzyskanego wyniku w górę).</w:t>
      </w:r>
    </w:p>
    <w:p w:rsidR="008D1FA8" w:rsidRDefault="008D1FA8" w:rsidP="008D1FA8">
      <w:pPr>
        <w:jc w:val="both"/>
      </w:pPr>
    </w:p>
    <w:p w:rsidR="008D1FA8" w:rsidRPr="008D1FA8" w:rsidRDefault="008D1FA8" w:rsidP="008D1FA8">
      <w:pPr>
        <w:jc w:val="both"/>
        <w:rPr>
          <w:i/>
        </w:rPr>
      </w:pPr>
      <w:r w:rsidRPr="008D1FA8">
        <w:rPr>
          <w:i/>
        </w:rPr>
        <w:t>Odpowiedź Zamawiającego:</w:t>
      </w:r>
    </w:p>
    <w:p w:rsidR="008D1FA8" w:rsidRPr="008D1FA8" w:rsidRDefault="008D1FA8" w:rsidP="008D1FA8">
      <w:pPr>
        <w:jc w:val="both"/>
        <w:rPr>
          <w:i/>
        </w:rPr>
      </w:pPr>
      <w:r w:rsidRPr="008D1FA8">
        <w:rPr>
          <w:i/>
        </w:rPr>
        <w:t xml:space="preserve">W Pakiecie zbiorczym poz. 374  Zamawiający nie dopuści do zaoferowania produktu </w:t>
      </w:r>
      <w:proofErr w:type="spellStart"/>
      <w:r w:rsidRPr="008D1FA8">
        <w:rPr>
          <w:i/>
        </w:rPr>
        <w:t>LactoDr</w:t>
      </w:r>
      <w:proofErr w:type="spellEnd"/>
      <w:r w:rsidRPr="008D1FA8">
        <w:rPr>
          <w:i/>
        </w:rPr>
        <w:t>. Zamawiający dopuszcza zaoferowanie produktów leczniczych, które posiadają pozwolenie na dopuszczenie do obrotu na terenie Rzeczypospolitej Polskiej.</w:t>
      </w:r>
    </w:p>
    <w:p w:rsidR="008D1FA8" w:rsidRDefault="008D1FA8" w:rsidP="008D1FA8">
      <w:pPr>
        <w:jc w:val="both"/>
      </w:pPr>
      <w:r>
        <w:t>Pytanie 5:</w:t>
      </w:r>
    </w:p>
    <w:p w:rsidR="008D1FA8" w:rsidRDefault="008D1FA8" w:rsidP="008D1FA8">
      <w:pPr>
        <w:jc w:val="both"/>
      </w:pPr>
      <w:r>
        <w:t xml:space="preserve">Czy w Pakiecie zbiorczym poz. 421  Zamawiający dopuści produkt o takim samym statusie rejestracyjnym (wyrób medyczny) i równoważny pod względem funkcjonalnym - maść hemostatyczną wskazaną w  zapobieganiu i powstrzymywaniu epizodów krwawienia ze skóry, błon śluzowych oraz ran skórnych. Wyrób przeznaczony do stosowania przy podrażnieniu i suchości okolicy </w:t>
      </w:r>
      <w:proofErr w:type="spellStart"/>
      <w:r>
        <w:t>okołonosowej</w:t>
      </w:r>
      <w:proofErr w:type="spellEnd"/>
      <w:r>
        <w:t xml:space="preserve"> oraz wspomagająco przy leczeniu krwawień z nosa oraz ran skórnych.  Skład: woda, </w:t>
      </w:r>
      <w:proofErr w:type="spellStart"/>
      <w:r>
        <w:t>pantenol</w:t>
      </w:r>
      <w:proofErr w:type="spellEnd"/>
      <w:r>
        <w:t xml:space="preserve">, </w:t>
      </w:r>
      <w:proofErr w:type="spellStart"/>
      <w:r>
        <w:t>hiarulonian</w:t>
      </w:r>
      <w:proofErr w:type="spellEnd"/>
      <w:r>
        <w:t xml:space="preserve"> sodu, witamina E, octan </w:t>
      </w:r>
      <w:proofErr w:type="spellStart"/>
      <w:r>
        <w:t>tokoferylu</w:t>
      </w:r>
      <w:proofErr w:type="spellEnd"/>
      <w:r>
        <w:t xml:space="preserve">, roztwór cytrynianu srebra, gliceryna, arginina, 1,2-heksadienol, </w:t>
      </w:r>
      <w:proofErr w:type="spellStart"/>
      <w:r>
        <w:t>tropolon</w:t>
      </w:r>
      <w:proofErr w:type="spellEnd"/>
      <w:r>
        <w:t xml:space="preserve">, </w:t>
      </w:r>
      <w:proofErr w:type="spellStart"/>
      <w:r>
        <w:t>karbomer</w:t>
      </w:r>
      <w:proofErr w:type="spellEnd"/>
      <w:r>
        <w:t xml:space="preserve">, kopolimer kwasu akrylowego, EDTA </w:t>
      </w:r>
      <w:proofErr w:type="spellStart"/>
      <w:r>
        <w:t>disodowy</w:t>
      </w:r>
      <w:proofErr w:type="spellEnd"/>
      <w:r>
        <w:t>. Preparat charakteryzuje się łatwą aplikacją (konstrukcja zapobiega osadzaniu się produktu wewnątrz specjalnego aplikatora), plastikowa i odkształcalna tuba umożliwia cofanie się maści z końcówki aplikatora. Poniżej ulotka proponowanego produktu.</w:t>
      </w:r>
    </w:p>
    <w:p w:rsidR="008D1FA8" w:rsidRPr="008D1FA8" w:rsidRDefault="008D1FA8" w:rsidP="008D1FA8">
      <w:pPr>
        <w:jc w:val="both"/>
        <w:rPr>
          <w:i/>
        </w:rPr>
      </w:pPr>
    </w:p>
    <w:p w:rsidR="008D1FA8" w:rsidRPr="008D1FA8" w:rsidRDefault="008D1FA8" w:rsidP="008D1FA8">
      <w:pPr>
        <w:jc w:val="both"/>
        <w:rPr>
          <w:i/>
        </w:rPr>
      </w:pPr>
      <w:r w:rsidRPr="008D1FA8">
        <w:rPr>
          <w:i/>
        </w:rPr>
        <w:t>Odpowiedź Zamawiającego:</w:t>
      </w:r>
    </w:p>
    <w:p w:rsidR="008D1FA8" w:rsidRPr="008D1FA8" w:rsidRDefault="008D1FA8" w:rsidP="008D1FA8">
      <w:pPr>
        <w:jc w:val="both"/>
        <w:rPr>
          <w:i/>
        </w:rPr>
      </w:pPr>
      <w:r w:rsidRPr="008D1FA8">
        <w:rPr>
          <w:i/>
        </w:rPr>
        <w:t xml:space="preserve">W Pakiecie zbiorczym poz. 421 Zamawiający dopuści produkt o takim samym statusie rejestracyjnym (wyrób medyczny) i równoważny pod względem funkcjonalnym - maść hemostatyczną wskazaną </w:t>
      </w:r>
    </w:p>
    <w:p w:rsidR="008D1FA8" w:rsidRPr="008D1FA8" w:rsidRDefault="008D1FA8" w:rsidP="008D1FA8">
      <w:pPr>
        <w:jc w:val="both"/>
        <w:rPr>
          <w:i/>
        </w:rPr>
      </w:pPr>
      <w:r w:rsidRPr="008D1FA8">
        <w:rPr>
          <w:i/>
        </w:rPr>
        <w:t>w  zapobieganiu i powstrzymywaniu epizodów krwawienia ze skóry, błon śluzowych oraz ran skórnych.</w:t>
      </w:r>
    </w:p>
    <w:p w:rsidR="008D1FA8" w:rsidRDefault="008D1FA8" w:rsidP="008D1FA8">
      <w:pPr>
        <w:jc w:val="both"/>
      </w:pPr>
      <w:r>
        <w:t xml:space="preserve">Pytanie 6: </w:t>
      </w:r>
    </w:p>
    <w:p w:rsidR="008D1FA8" w:rsidRDefault="008D1FA8" w:rsidP="008D1FA8">
      <w:pPr>
        <w:jc w:val="both"/>
      </w:pPr>
      <w:r>
        <w:t xml:space="preserve">Zamawiający określa w Pakiecie zbiorczym poz. 545-551  systemy do pomiaru stężenia glukozy we krwi podając w każdej pozycji nazwę własną pasków testowych będącą zastrzeżonym znakiem towarowym konkretnego producenta. Jeżeli Zamawiający dopuści inne systemy dostępne na rynku, miałby możliwość obniżenia kosztów w budżecie przeznaczonym na zakup systemów pomiaru glukozy. Zamawiający podał przy nazwach „lub równoważne” jednakże nie określił żadnych kryteriów równoważności, wobec czego nie wiadomo jakie są te kryteria. W związku z  tym pytamy, czy Zamawiający, postępując zgodnie z przepisami ustawy </w:t>
      </w:r>
      <w:proofErr w:type="spellStart"/>
      <w:r>
        <w:t>Pzp</w:t>
      </w:r>
      <w:proofErr w:type="spellEnd"/>
      <w:r>
        <w:t xml:space="preserve"> (art. 99, ust. 4-6) dopuści zaoferowanie konkurencyjnych pasków testowych innego producenta (wraz z przekazaniem kompatybilnych z nimi </w:t>
      </w:r>
      <w:proofErr w:type="spellStart"/>
      <w:r>
        <w:t>glukometrów</w:t>
      </w:r>
      <w:proofErr w:type="spellEnd"/>
      <w:r>
        <w:t xml:space="preserve">) o następujących parametrach: </w:t>
      </w:r>
    </w:p>
    <w:p w:rsidR="008D1FA8" w:rsidRDefault="008D1FA8" w:rsidP="008D1FA8">
      <w:pPr>
        <w:jc w:val="both"/>
      </w:pPr>
      <w:r>
        <w:t>a)</w:t>
      </w:r>
      <w:r>
        <w:tab/>
        <w:t xml:space="preserve">enzym oksydaza glukozy GOD, zakres pomiaru 20-600mg/dl, hematokryt 10-70%, możliwość wykonywania pomiaru we krwi osób dorosłych i noworodków, czas pomiaru 5 sekund, wielkość próbki krwi 0,5ul, wyrzutnik zużytego paska testowego, przydatność pasków do użycia  w ciągu 12 miesięcy po otwarciu fiolki, parametry funkcjonalne zgodne z obowiązującą normą EN ISO 15197:2015? </w:t>
      </w:r>
    </w:p>
    <w:p w:rsidR="008D1FA8" w:rsidRDefault="008D1FA8" w:rsidP="008D1FA8">
      <w:pPr>
        <w:jc w:val="both"/>
      </w:pPr>
      <w:r>
        <w:t>b)</w:t>
      </w:r>
      <w:r>
        <w:tab/>
        <w:t xml:space="preserve">enzym dehydrogenaza glukozy GDH-FAD, możliwość wykonywania pomiarów we krwi kapilarnej i żylnej, zakres pomiaru 20-600mg/dl, hematokryt 20-60%, czas pomiaru 5 sekund, wielkość próbki krwi 0,5ul, wyrzutnik zużytego paska testowego, opakowanie pasków zawierające 2 fiolki x 25 szt. co wydłuża okres możliwości użycia otwartego opakowania pasków, parametry funkcjonalne zgodne z obowiązującą normą EN ISO 15197:2015? </w:t>
      </w:r>
    </w:p>
    <w:p w:rsidR="008D1FA8" w:rsidRDefault="008D1FA8" w:rsidP="008D1FA8">
      <w:pPr>
        <w:jc w:val="both"/>
      </w:pPr>
    </w:p>
    <w:p w:rsidR="008D1FA8" w:rsidRPr="008D1FA8" w:rsidRDefault="008D1FA8" w:rsidP="008D1FA8">
      <w:pPr>
        <w:jc w:val="both"/>
        <w:rPr>
          <w:i/>
        </w:rPr>
      </w:pPr>
      <w:bookmarkStart w:id="0" w:name="_GoBack"/>
      <w:bookmarkEnd w:id="0"/>
    </w:p>
    <w:p w:rsidR="008D1FA8" w:rsidRPr="008D1FA8" w:rsidRDefault="008D1FA8" w:rsidP="008D1FA8">
      <w:pPr>
        <w:jc w:val="both"/>
        <w:rPr>
          <w:i/>
        </w:rPr>
      </w:pPr>
      <w:r w:rsidRPr="008D1FA8">
        <w:rPr>
          <w:i/>
        </w:rPr>
        <w:t>Odpowiedź Zamawiającego:</w:t>
      </w:r>
    </w:p>
    <w:p w:rsidR="008D1FA8" w:rsidRPr="008D1FA8" w:rsidRDefault="008D1FA8" w:rsidP="008D1FA8">
      <w:pPr>
        <w:jc w:val="both"/>
        <w:rPr>
          <w:i/>
        </w:rPr>
      </w:pPr>
      <w:r w:rsidRPr="008D1FA8">
        <w:rPr>
          <w:i/>
        </w:rPr>
        <w:t xml:space="preserve">W Pakiecie zbiorczym poz. 545-551 Zamawiający dopuści zaoferowanie innych pasków testowych, które odpowiadają podanym parametrom. Jednocześnie Zamawiający zgodnie z Punktem 13 podpunkt 3) w Rozdziale 3 SWZ wymaga nieodpłatnego przekazania </w:t>
      </w:r>
      <w:proofErr w:type="spellStart"/>
      <w:r w:rsidRPr="008D1FA8">
        <w:rPr>
          <w:i/>
        </w:rPr>
        <w:t>glukometrów</w:t>
      </w:r>
      <w:proofErr w:type="spellEnd"/>
      <w:r w:rsidRPr="008D1FA8">
        <w:rPr>
          <w:i/>
        </w:rPr>
        <w:t xml:space="preserve"> kompatybilnych</w:t>
      </w:r>
    </w:p>
    <w:p w:rsidR="008D1FA8" w:rsidRPr="008D1FA8" w:rsidRDefault="008D1FA8" w:rsidP="008D1FA8">
      <w:pPr>
        <w:jc w:val="both"/>
        <w:rPr>
          <w:i/>
        </w:rPr>
      </w:pPr>
      <w:r w:rsidRPr="008D1FA8">
        <w:rPr>
          <w:i/>
        </w:rPr>
        <w:t xml:space="preserve">z oferowanymi paskami testowymi w maksymalnej ilości 50 szt. na czas trwania umowy. Dostarczone </w:t>
      </w:r>
      <w:proofErr w:type="spellStart"/>
      <w:r w:rsidRPr="008D1FA8">
        <w:rPr>
          <w:i/>
        </w:rPr>
        <w:t>glukometry</w:t>
      </w:r>
      <w:proofErr w:type="spellEnd"/>
      <w:r w:rsidRPr="008D1FA8">
        <w:rPr>
          <w:i/>
        </w:rPr>
        <w:t xml:space="preserve"> muszą być dopuszczone do użytkowania na terenie Rzeczpospolitej Polskiej, nowe, wyprodukowane nie wcześniej niż w 2021r. paski testowe i </w:t>
      </w:r>
      <w:proofErr w:type="spellStart"/>
      <w:r w:rsidRPr="008D1FA8">
        <w:rPr>
          <w:i/>
        </w:rPr>
        <w:t>glukometry</w:t>
      </w:r>
      <w:proofErr w:type="spellEnd"/>
      <w:r w:rsidRPr="008D1FA8">
        <w:rPr>
          <w:i/>
        </w:rPr>
        <w:t xml:space="preserve"> muszą posiadać parametry nie gorsze niż: enzym oksydaza glukozy GOD, hematokryt 10-70%, czas pomiaru 5 sekund, wielkość próbki krwi 5ul, wyrzutnik zużytego paska testowego, parametry funkcjonalne zgodne</w:t>
      </w:r>
    </w:p>
    <w:p w:rsidR="008D1FA8" w:rsidRPr="008D1FA8" w:rsidRDefault="008D1FA8" w:rsidP="008D1FA8">
      <w:pPr>
        <w:jc w:val="both"/>
        <w:rPr>
          <w:i/>
        </w:rPr>
      </w:pPr>
      <w:r w:rsidRPr="008D1FA8">
        <w:rPr>
          <w:i/>
        </w:rPr>
        <w:t>z obowiązująca normą EN ISO 15197:2015.</w:t>
      </w: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8D1FA8" w:rsidRDefault="008D1FA8" w:rsidP="008D1FA8">
      <w:pPr>
        <w:jc w:val="both"/>
      </w:pPr>
    </w:p>
    <w:p w:rsidR="00083B53" w:rsidRDefault="00083B53" w:rsidP="008D1FA8">
      <w:pPr>
        <w:jc w:val="both"/>
      </w:pPr>
    </w:p>
    <w:sectPr w:rsidR="00083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84"/>
    <w:rsid w:val="00083B53"/>
    <w:rsid w:val="00611184"/>
    <w:rsid w:val="008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B38A8-A06E-478C-B254-6177ADE3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Marszałkiewicz</dc:creator>
  <cp:keywords/>
  <dc:description/>
  <cp:lastModifiedBy>Beata Marszałkiewicz</cp:lastModifiedBy>
  <cp:revision>3</cp:revision>
  <cp:lastPrinted>2024-10-22T10:20:00Z</cp:lastPrinted>
  <dcterms:created xsi:type="dcterms:W3CDTF">2024-10-22T10:18:00Z</dcterms:created>
  <dcterms:modified xsi:type="dcterms:W3CDTF">2024-10-22T10:21:00Z</dcterms:modified>
</cp:coreProperties>
</file>