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2C" w:rsidRPr="003478F9" w:rsidRDefault="00192F9F">
      <w:pPr>
        <w:pStyle w:val="Nagwek1"/>
        <w:rPr>
          <w:u w:val="none"/>
        </w:rPr>
      </w:pPr>
      <w:r w:rsidRPr="003478F9">
        <w:rPr>
          <w:u w:val="none"/>
        </w:rPr>
        <w:t xml:space="preserve">                                                                                                                          </w:t>
      </w:r>
      <w:r w:rsidRPr="003478F9">
        <w:rPr>
          <w:rFonts w:ascii="Arial" w:hAnsi="Arial" w:cs="Arial"/>
          <w:sz w:val="20"/>
          <w:szCs w:val="20"/>
          <w:u w:val="none"/>
        </w:rPr>
        <w:t>Załącznik nr 1</w:t>
      </w:r>
    </w:p>
    <w:p w:rsidR="00411A2C" w:rsidRDefault="00192F9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sprawy: M.241.14.2021.ZP</w:t>
      </w:r>
    </w:p>
    <w:p w:rsidR="00411A2C" w:rsidRDefault="00411A2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11A2C" w:rsidRDefault="00411A2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11A2C" w:rsidRDefault="00411A2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11A2C" w:rsidRDefault="00192F9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</w:t>
      </w:r>
    </w:p>
    <w:p w:rsidR="00411A2C" w:rsidRDefault="00411A2C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9C5642" w:rsidRDefault="00192F9F">
      <w:pPr>
        <w:pStyle w:val="Akapitzlist"/>
        <w:suppressAutoHyphens w:val="0"/>
        <w:spacing w:line="240" w:lineRule="auto"/>
        <w:ind w:left="0"/>
        <w:jc w:val="both"/>
        <w:rPr>
          <w:rFonts w:eastAsia="Calibri" w:cs="Arial"/>
          <w:szCs w:val="22"/>
          <w:lang w:eastAsia="en-US" w:bidi="ar-SA"/>
        </w:rPr>
      </w:pPr>
      <w:r>
        <w:rPr>
          <w:rFonts w:cs="Arial"/>
          <w:szCs w:val="22"/>
        </w:rPr>
        <w:t xml:space="preserve">Przedmiotem zamówienia jest </w:t>
      </w:r>
      <w:r>
        <w:rPr>
          <w:rFonts w:eastAsia="Calibri" w:cs="Arial"/>
          <w:szCs w:val="22"/>
          <w:lang w:eastAsia="en-US" w:bidi="ar-SA"/>
        </w:rPr>
        <w:t xml:space="preserve">dostawa i montaż fabrycznie nowego zestawu szafek ubraniowych, basenowych z HPL oraz elektronicznego systemu zamykania/otwierania </w:t>
      </w:r>
    </w:p>
    <w:p w:rsidR="00411A2C" w:rsidRDefault="00192F9F">
      <w:pPr>
        <w:pStyle w:val="Akapitzlist"/>
        <w:suppressAutoHyphens w:val="0"/>
        <w:spacing w:line="240" w:lineRule="auto"/>
        <w:ind w:left="0"/>
        <w:jc w:val="both"/>
      </w:pPr>
      <w:r>
        <w:rPr>
          <w:rFonts w:eastAsia="Calibri" w:cs="Arial"/>
          <w:szCs w:val="22"/>
          <w:lang w:eastAsia="en-US" w:bidi="ar-SA"/>
        </w:rPr>
        <w:t>w przebieralniach krytej pływalni w Ciechanowie wraz z przeszkoleniem personelu Zamawiającego w zakresie funkcjonowania i obsługi systemu.</w:t>
      </w:r>
    </w:p>
    <w:p w:rsidR="00411A2C" w:rsidRDefault="00411A2C">
      <w:pPr>
        <w:pStyle w:val="Default"/>
        <w:jc w:val="both"/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</w:pPr>
    </w:p>
    <w:p w:rsidR="00411A2C" w:rsidRDefault="00192F9F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Zespół szatni pływalni obejmuje: </w:t>
      </w:r>
    </w:p>
    <w:p w:rsidR="00411A2C" w:rsidRDefault="00192F9F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Szatnię ogólną – dwie szatnie damskie i 2 szatnie męskie</w:t>
      </w:r>
    </w:p>
    <w:p w:rsidR="00411A2C" w:rsidRDefault="00192F9F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Dwie szatnie rodzinne</w:t>
      </w:r>
    </w:p>
    <w:p w:rsidR="00411A2C" w:rsidRDefault="00192F9F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Szatnię dla trenerów</w:t>
      </w:r>
    </w:p>
    <w:p w:rsidR="00411A2C" w:rsidRDefault="00192F9F">
      <w:pPr>
        <w:pStyle w:val="Default"/>
        <w:jc w:val="both"/>
      </w:pPr>
      <w:r>
        <w:rPr>
          <w:rFonts w:ascii="Arial" w:hAnsi="Arial" w:cs="Arial"/>
          <w:iCs/>
          <w:sz w:val="22"/>
          <w:szCs w:val="22"/>
        </w:rPr>
        <w:t>Szatnię dla ratowników</w:t>
      </w:r>
    </w:p>
    <w:p w:rsidR="00411A2C" w:rsidRDefault="00411A2C">
      <w:pPr>
        <w:pStyle w:val="Default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411A2C" w:rsidRDefault="00192F9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Szafki z laminatu HPL </w:t>
      </w:r>
      <w:r>
        <w:rPr>
          <w:rFonts w:ascii="Arial" w:hAnsi="Arial" w:cs="Arial"/>
          <w:sz w:val="22"/>
          <w:szCs w:val="22"/>
        </w:rPr>
        <w:t xml:space="preserve">2S dla dwóch osób z ławeczką wraz ze sterowaniem elektronicznym otwierania szafek w szatni ogólnej, rodzinnej i szatni dla trenerów. </w:t>
      </w:r>
    </w:p>
    <w:p w:rsidR="00411A2C" w:rsidRDefault="00192F9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Wszystkie szafki i ławki z przeznaczeniem do użycia w mokrych pomieszczeniach   </w:t>
      </w:r>
    </w:p>
    <w:p w:rsidR="00411A2C" w:rsidRDefault="00192F9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przebieralni.</w:t>
      </w:r>
    </w:p>
    <w:p w:rsidR="00411A2C" w:rsidRDefault="00192F9F">
      <w:pPr>
        <w:pStyle w:val="Default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Szafki powinny charakteryzować się wysoką odpornością na zginanie, rozrywanie, wysoką twardością powierzchni, odpornością na zabrudzenia, wandalizm, odpornością termiczną.</w:t>
      </w:r>
    </w:p>
    <w:p w:rsidR="00411A2C" w:rsidRDefault="00411A2C">
      <w:pPr>
        <w:pStyle w:val="Default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411A2C" w:rsidRDefault="00192F9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Konstrukcja szafki</w:t>
      </w:r>
      <w:r>
        <w:rPr>
          <w:rFonts w:ascii="Arial" w:hAnsi="Arial" w:cs="Arial"/>
          <w:sz w:val="22"/>
          <w:szCs w:val="22"/>
        </w:rPr>
        <w:t xml:space="preserve"> (wszystkie elementy złączne) powinny być wykonane ze stali nierdzewnej lub innego materiału odpornego na agresywne środowisko (wilgoć, chlor, bakterie, itp.) np. aluminium anodowane. Stelaż wyposażony w stopki regulacyjne odporne na chlor.</w:t>
      </w:r>
    </w:p>
    <w:p w:rsidR="00411A2C" w:rsidRDefault="00192F9F">
      <w:pPr>
        <w:pStyle w:val="Default"/>
        <w:jc w:val="both"/>
      </w:pPr>
      <w:r>
        <w:rPr>
          <w:rFonts w:ascii="Arial" w:hAnsi="Arial" w:cs="Arial"/>
          <w:sz w:val="22"/>
          <w:szCs w:val="22"/>
        </w:rPr>
        <w:t xml:space="preserve">Ściany boczne, tylna i góra szafki wykonane z płyty HPL o grubości min.3 mm, natomiast pozostałe elementy: drzwiczki, podstawa, półka z laminatu o grubości min. 10 mm. </w:t>
      </w:r>
    </w:p>
    <w:p w:rsidR="00411A2C" w:rsidRDefault="00192F9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Moduł szafki składa się z dwóch schowków umieszczonych jeden na drugim. </w:t>
      </w:r>
    </w:p>
    <w:p w:rsidR="009C5642" w:rsidRDefault="00192F9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Szerokość szafki 350 mm, głębokość 450 mm, wysokość całkowita szafki 1520 mm </w:t>
      </w:r>
    </w:p>
    <w:p w:rsidR="00411A2C" w:rsidRDefault="00192F9F">
      <w:pPr>
        <w:pStyle w:val="Default"/>
        <w:jc w:val="both"/>
      </w:pPr>
      <w:r>
        <w:rPr>
          <w:rFonts w:ascii="Arial" w:hAnsi="Arial" w:cs="Arial"/>
          <w:sz w:val="22"/>
          <w:szCs w:val="22"/>
          <w:shd w:val="clear" w:color="auto" w:fill="FFFFFF"/>
        </w:rPr>
        <w:t>na nogach 380 mm.</w:t>
      </w:r>
    </w:p>
    <w:p w:rsidR="005515CD" w:rsidRDefault="00192F9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Szafka posiada podwójny wieszak na bokach z materiału odpornego na warunki </w:t>
      </w:r>
      <w:r w:rsidR="005515CD">
        <w:rPr>
          <w:rFonts w:ascii="Arial" w:hAnsi="Arial" w:cs="Arial"/>
          <w:sz w:val="22"/>
          <w:szCs w:val="22"/>
        </w:rPr>
        <w:t xml:space="preserve">  </w:t>
      </w:r>
    </w:p>
    <w:p w:rsidR="00411A2C" w:rsidRDefault="00192F9F">
      <w:pPr>
        <w:pStyle w:val="Default"/>
        <w:jc w:val="both"/>
      </w:pPr>
      <w:r>
        <w:rPr>
          <w:rFonts w:ascii="Arial" w:hAnsi="Arial" w:cs="Arial"/>
          <w:sz w:val="22"/>
          <w:szCs w:val="22"/>
        </w:rPr>
        <w:t xml:space="preserve">atmosferyczne. </w:t>
      </w:r>
    </w:p>
    <w:p w:rsidR="00411A2C" w:rsidRDefault="00192F9F">
      <w:pPr>
        <w:pStyle w:val="Default"/>
        <w:jc w:val="both"/>
      </w:pPr>
      <w:r>
        <w:rPr>
          <w:rFonts w:ascii="Arial" w:hAnsi="Arial" w:cs="Arial"/>
          <w:sz w:val="22"/>
          <w:szCs w:val="22"/>
        </w:rPr>
        <w:t>Drzwiczki szafek powinny posiadać uchwyt umożliwiający otwarcie drzwi.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Zawiasy z osią obrotu widoczną z zewnątrz wykonane ze stopu nierdzewnego, umożliwiające</w:t>
      </w:r>
      <w:r w:rsidR="005515CD">
        <w:rPr>
          <w:rFonts w:ascii="Arial" w:hAnsi="Arial" w:cs="Arial"/>
          <w:sz w:val="22"/>
          <w:szCs w:val="22"/>
        </w:rPr>
        <w:t xml:space="preserve"> szeroki kąt  otwarcia</w:t>
      </w:r>
      <w:r>
        <w:rPr>
          <w:rFonts w:ascii="Arial" w:hAnsi="Arial" w:cs="Arial"/>
          <w:sz w:val="22"/>
          <w:szCs w:val="22"/>
        </w:rPr>
        <w:t xml:space="preserve"> drzwi. </w:t>
      </w:r>
    </w:p>
    <w:p w:rsidR="00411A2C" w:rsidRDefault="00192F9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Szafki otwierane za pomocą transponderów RFID na rękę oraz kart.</w:t>
      </w:r>
      <w:r>
        <w:rPr>
          <w:sz w:val="23"/>
          <w:szCs w:val="23"/>
        </w:rPr>
        <w:t xml:space="preserve"> </w:t>
      </w:r>
      <w:r w:rsidR="005515CD">
        <w:rPr>
          <w:rFonts w:ascii="Arial" w:hAnsi="Arial" w:cs="Arial"/>
          <w:sz w:val="22"/>
          <w:szCs w:val="22"/>
        </w:rPr>
        <w:t xml:space="preserve">Przewody zasilające, </w:t>
      </w:r>
      <w:proofErr w:type="spellStart"/>
      <w:r w:rsidR="005515CD">
        <w:rPr>
          <w:rFonts w:ascii="Arial" w:hAnsi="Arial" w:cs="Arial"/>
          <w:sz w:val="22"/>
          <w:szCs w:val="22"/>
        </w:rPr>
        <w:t>elektro</w:t>
      </w:r>
      <w:r>
        <w:rPr>
          <w:rFonts w:ascii="Arial" w:hAnsi="Arial" w:cs="Arial"/>
          <w:sz w:val="22"/>
          <w:szCs w:val="22"/>
        </w:rPr>
        <w:t>rzaczepy</w:t>
      </w:r>
      <w:proofErr w:type="spellEnd"/>
      <w:r>
        <w:rPr>
          <w:rFonts w:ascii="Arial" w:hAnsi="Arial" w:cs="Arial"/>
          <w:sz w:val="22"/>
          <w:szCs w:val="22"/>
        </w:rPr>
        <w:t xml:space="preserve"> prowadzone wewnątrz profili nośnych. </w:t>
      </w:r>
    </w:p>
    <w:p w:rsidR="005515CD" w:rsidRDefault="005515CD">
      <w:pPr>
        <w:pStyle w:val="Default"/>
        <w:rPr>
          <w:rFonts w:ascii="Arial" w:hAnsi="Arial" w:cs="Arial"/>
          <w:sz w:val="22"/>
          <w:szCs w:val="22"/>
        </w:rPr>
      </w:pPr>
    </w:p>
    <w:p w:rsidR="00411A2C" w:rsidRDefault="00192F9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Wentylacja</w:t>
      </w:r>
      <w:r>
        <w:rPr>
          <w:rFonts w:ascii="Arial" w:hAnsi="Arial" w:cs="Arial"/>
          <w:sz w:val="22"/>
          <w:szCs w:val="22"/>
        </w:rPr>
        <w:t xml:space="preserve"> wykonana w spodzie, półce oraz daszku szafki.</w:t>
      </w:r>
    </w:p>
    <w:p w:rsidR="00411A2C" w:rsidRDefault="00411A2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11A2C" w:rsidRPr="005515CD" w:rsidRDefault="00192F9F">
      <w:pPr>
        <w:pStyle w:val="Default"/>
        <w:jc w:val="both"/>
      </w:pPr>
      <w:r>
        <w:rPr>
          <w:rFonts w:ascii="Arial" w:hAnsi="Arial" w:cs="Arial"/>
          <w:b/>
          <w:sz w:val="22"/>
          <w:szCs w:val="22"/>
        </w:rPr>
        <w:t xml:space="preserve">Ławka </w:t>
      </w:r>
      <w:proofErr w:type="spellStart"/>
      <w:r>
        <w:rPr>
          <w:rFonts w:ascii="Arial" w:hAnsi="Arial" w:cs="Arial"/>
          <w:b/>
          <w:sz w:val="22"/>
          <w:szCs w:val="22"/>
        </w:rPr>
        <w:t>przyszafkowa</w:t>
      </w:r>
      <w:proofErr w:type="spellEnd"/>
      <w:r>
        <w:rPr>
          <w:rFonts w:ascii="Arial" w:hAnsi="Arial" w:cs="Arial"/>
          <w:sz w:val="22"/>
          <w:szCs w:val="22"/>
        </w:rPr>
        <w:t xml:space="preserve"> o głębokości 250 mm na wspornikach mocowanych do postumentów</w:t>
      </w:r>
      <w:r w:rsidR="005515CD">
        <w:rPr>
          <w:rFonts w:ascii="Arial" w:hAnsi="Arial" w:cs="Arial"/>
          <w:sz w:val="22"/>
          <w:szCs w:val="22"/>
        </w:rPr>
        <w:t xml:space="preserve"> – bez dodatkowych nóżek</w:t>
      </w:r>
      <w:r>
        <w:rPr>
          <w:rFonts w:ascii="Arial" w:hAnsi="Arial" w:cs="Arial"/>
          <w:sz w:val="22"/>
          <w:szCs w:val="22"/>
        </w:rPr>
        <w:t xml:space="preserve">. Materiał siedziska musi być całkowicie wodoodporny – płyta laminowana HPL, charakteryzująca się łatwością </w:t>
      </w:r>
      <w:r w:rsidR="005515CD">
        <w:rPr>
          <w:rFonts w:ascii="Arial" w:hAnsi="Arial" w:cs="Arial"/>
          <w:sz w:val="22"/>
          <w:szCs w:val="22"/>
        </w:rPr>
        <w:t xml:space="preserve">utrzymania w czystości, wysoką  </w:t>
      </w:r>
      <w:r>
        <w:rPr>
          <w:rFonts w:ascii="Arial" w:hAnsi="Arial" w:cs="Arial"/>
          <w:sz w:val="22"/>
          <w:szCs w:val="22"/>
        </w:rPr>
        <w:t xml:space="preserve">odpornością na uszkodzenia mechaniczne a także na działanie wilgoci. </w:t>
      </w:r>
    </w:p>
    <w:p w:rsidR="00411A2C" w:rsidRDefault="00411A2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11A2C" w:rsidRDefault="00411A2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11A2C" w:rsidRDefault="00192F9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Numeracja</w:t>
      </w:r>
      <w:r>
        <w:rPr>
          <w:rFonts w:ascii="Arial" w:hAnsi="Arial" w:cs="Arial"/>
          <w:sz w:val="22"/>
          <w:szCs w:val="22"/>
        </w:rPr>
        <w:t xml:space="preserve"> w formie grawerowanej na tabliczkach grawerskich zlicowanych z powierzchnią drzwiczek. Każda szafka ma być wyposażona w widoczny numer. Nie dopuszcza się numeracji naklejanej lub malowanej. </w:t>
      </w:r>
    </w:p>
    <w:p w:rsidR="00411A2C" w:rsidRDefault="00411A2C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411A2C" w:rsidRDefault="00192F9F">
      <w:pPr>
        <w:pStyle w:val="Default"/>
        <w:jc w:val="both"/>
      </w:pPr>
      <w:r>
        <w:rPr>
          <w:rFonts w:ascii="Arial" w:hAnsi="Arial" w:cs="Arial"/>
          <w:b/>
          <w:sz w:val="22"/>
          <w:szCs w:val="22"/>
        </w:rPr>
        <w:t>Kolorystyka szafek</w:t>
      </w:r>
      <w:r>
        <w:rPr>
          <w:rFonts w:ascii="Arial" w:hAnsi="Arial" w:cs="Arial"/>
          <w:sz w:val="22"/>
          <w:szCs w:val="22"/>
        </w:rPr>
        <w:t xml:space="preserve">: do uzgodnienia na etapie wykonawstwa, fronty i ławeczki wg  </w:t>
      </w:r>
    </w:p>
    <w:p w:rsidR="00411A2C" w:rsidRDefault="00192F9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wytycznych zamawiającego.</w:t>
      </w:r>
    </w:p>
    <w:p w:rsidR="00411A2C" w:rsidRDefault="00411A2C">
      <w:pPr>
        <w:pStyle w:val="Default"/>
        <w:rPr>
          <w:rFonts w:ascii="Arial" w:hAnsi="Arial" w:cs="Arial"/>
          <w:sz w:val="23"/>
          <w:szCs w:val="23"/>
        </w:rPr>
      </w:pPr>
    </w:p>
    <w:p w:rsidR="00411A2C" w:rsidRDefault="00411A2C">
      <w:pPr>
        <w:pStyle w:val="Default"/>
        <w:rPr>
          <w:rFonts w:ascii="Arial" w:hAnsi="Arial" w:cs="Arial"/>
          <w:b/>
          <w:sz w:val="22"/>
          <w:szCs w:val="22"/>
        </w:rPr>
      </w:pPr>
    </w:p>
    <w:p w:rsidR="00411A2C" w:rsidRDefault="00411A2C">
      <w:pPr>
        <w:pStyle w:val="Default"/>
        <w:rPr>
          <w:rFonts w:ascii="Arial" w:hAnsi="Arial" w:cs="Arial"/>
          <w:b/>
          <w:sz w:val="22"/>
          <w:szCs w:val="22"/>
        </w:rPr>
      </w:pPr>
    </w:p>
    <w:p w:rsidR="00411A2C" w:rsidRDefault="00192F9F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Elektroniczny system otwierania szafek basenowych</w:t>
      </w:r>
    </w:p>
    <w:p w:rsidR="00411A2C" w:rsidRDefault="00192F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11A2C" w:rsidRDefault="00192F9F">
      <w:pPr>
        <w:pStyle w:val="Default"/>
      </w:pPr>
      <w:r>
        <w:rPr>
          <w:rFonts w:ascii="Arial" w:hAnsi="Arial" w:cs="Arial"/>
          <w:sz w:val="22"/>
          <w:szCs w:val="22"/>
        </w:rPr>
        <w:t>Oprogramowanie do zarządzania szafkami , ze względu na interes Inwestora, musi być kompatybilne z posiadanym systemem ESOK. Przez kompatybilność rozumie się programowania szafek , dodawanie i usuwanie pasków z poziomu oprogramowania ESOK.  Ma być oparte o interfejs  przeglądarkowy wielostanowiskowy.</w:t>
      </w:r>
    </w:p>
    <w:p w:rsidR="00411A2C" w:rsidRDefault="00192F9F">
      <w:pPr>
        <w:pStyle w:val="Default"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</w:rPr>
        <w:t>.</w:t>
      </w:r>
    </w:p>
    <w:p w:rsidR="00411A2C" w:rsidRDefault="00411A2C">
      <w:pPr>
        <w:pStyle w:val="Default"/>
        <w:jc w:val="both"/>
        <w:rPr>
          <w:rFonts w:ascii="Arial" w:hAnsi="Arial" w:cs="Arial"/>
          <w:sz w:val="22"/>
          <w:szCs w:val="22"/>
          <w:highlight w:val="white"/>
        </w:rPr>
      </w:pPr>
    </w:p>
    <w:p w:rsidR="00411A2C" w:rsidRDefault="00192F9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Ilość szafek w strefach:</w:t>
      </w:r>
    </w:p>
    <w:p w:rsidR="00411A2C" w:rsidRDefault="00192F9F">
      <w:pPr>
        <w:pStyle w:val="Default"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Szatnia ogólna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– szafki systemowe z HPL, typ S2 na ławce w ilości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160 modułów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(320 drzwiczek) – 2 segmenty po 20 modułów w 4 oddzielnych szatniach.</w:t>
      </w:r>
    </w:p>
    <w:p w:rsidR="00411A2C" w:rsidRDefault="00192F9F">
      <w:pPr>
        <w:pStyle w:val="Default"/>
        <w:jc w:val="both"/>
      </w:pPr>
      <w:r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Szatnia rodzinna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– szafki systemowe z HPL, typ S2 na ławce w ilości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10 modułów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(20 drzwiczek) – 1 segment po 5 modułów w 2 oddzielnych szatniach. </w:t>
      </w:r>
    </w:p>
    <w:p w:rsidR="00411A2C" w:rsidRDefault="00411A2C">
      <w:pPr>
        <w:pStyle w:val="Default"/>
        <w:jc w:val="both"/>
        <w:rPr>
          <w:rFonts w:ascii="Arial" w:hAnsi="Arial" w:cs="Arial"/>
          <w:sz w:val="22"/>
          <w:szCs w:val="22"/>
          <w:highlight w:val="white"/>
        </w:rPr>
      </w:pPr>
    </w:p>
    <w:p w:rsidR="00666F34" w:rsidRDefault="00311AB6" w:rsidP="00311A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311AB6">
        <w:rPr>
          <w:rFonts w:ascii="Arial" w:hAnsi="Arial" w:cs="Arial"/>
          <w:color w:val="000000"/>
          <w:sz w:val="22"/>
          <w:szCs w:val="22"/>
          <w:lang w:eastAsia="pl-PL"/>
        </w:rPr>
        <w:t>Przy każdym segmencie należy umieścić szafkę serwisową (dla szatni rodzinnej 1 szafka serwisowa</w:t>
      </w:r>
      <w:r w:rsidR="00666F34">
        <w:rPr>
          <w:rFonts w:ascii="Arial" w:hAnsi="Arial" w:cs="Arial"/>
          <w:color w:val="000000"/>
          <w:sz w:val="22"/>
          <w:szCs w:val="22"/>
          <w:lang w:eastAsia="pl-PL"/>
        </w:rPr>
        <w:t xml:space="preserve"> na dwa segmenty</w:t>
      </w:r>
      <w:r w:rsidRPr="00311AB6">
        <w:rPr>
          <w:rFonts w:ascii="Arial" w:hAnsi="Arial" w:cs="Arial"/>
          <w:color w:val="000000"/>
          <w:sz w:val="22"/>
          <w:szCs w:val="22"/>
          <w:lang w:eastAsia="pl-PL"/>
        </w:rPr>
        <w:t xml:space="preserve">), w której zlokalizowany będzie sterownik oraz czytnik </w:t>
      </w:r>
    </w:p>
    <w:p w:rsidR="00311AB6" w:rsidRPr="00311AB6" w:rsidRDefault="00311AB6" w:rsidP="00311A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311AB6">
        <w:rPr>
          <w:rFonts w:ascii="Arial" w:hAnsi="Arial" w:cs="Arial"/>
          <w:color w:val="000000"/>
          <w:sz w:val="22"/>
          <w:szCs w:val="22"/>
          <w:lang w:eastAsia="pl-PL"/>
        </w:rPr>
        <w:t xml:space="preserve">z wyświetlaczem, a </w:t>
      </w:r>
      <w:r w:rsidR="00666F34">
        <w:rPr>
          <w:rFonts w:ascii="Arial" w:hAnsi="Arial" w:cs="Arial"/>
          <w:color w:val="000000"/>
          <w:sz w:val="22"/>
          <w:szCs w:val="22"/>
          <w:lang w:eastAsia="pl-PL"/>
        </w:rPr>
        <w:t>ew.</w:t>
      </w:r>
      <w:r w:rsidR="0034461A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bookmarkStart w:id="0" w:name="_GoBack"/>
      <w:bookmarkEnd w:id="0"/>
      <w:r w:rsidRPr="00311AB6">
        <w:rPr>
          <w:rFonts w:ascii="Arial" w:hAnsi="Arial" w:cs="Arial"/>
          <w:color w:val="000000"/>
          <w:sz w:val="22"/>
          <w:szCs w:val="22"/>
          <w:lang w:eastAsia="pl-PL"/>
        </w:rPr>
        <w:t xml:space="preserve">skrajne szczeliny od ścian zamaskowane blendami o szerokości dopasowanej do każdego pomieszczenia indywidualnie. </w:t>
      </w:r>
    </w:p>
    <w:p w:rsidR="00411A2C" w:rsidRDefault="00411A2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11A2C" w:rsidRDefault="00192F9F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Zamki szafkowe</w:t>
      </w:r>
      <w:r w:rsidR="005515CD">
        <w:rPr>
          <w:rFonts w:ascii="Arial" w:hAnsi="Arial" w:cs="Arial"/>
          <w:b/>
          <w:sz w:val="22"/>
          <w:szCs w:val="22"/>
        </w:rPr>
        <w:t xml:space="preserve"> elektroniczne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11A2C" w:rsidRDefault="00411A2C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411A2C" w:rsidRDefault="00192F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Zamki elektroniczne zasilane są przez 24VDC przy poborze prądu 200mA. Zamki uruchamiane są poprzez sterownik po wcześniejszym zbliżeniu identyfikatora do czytnika RFID. Zamki szafkowe są zasilane centralnie, posiadają mechanizm </w:t>
      </w:r>
      <w:proofErr w:type="spellStart"/>
      <w:r>
        <w:rPr>
          <w:rFonts w:ascii="Arial" w:hAnsi="Arial" w:cs="Arial"/>
          <w:sz w:val="22"/>
          <w:szCs w:val="22"/>
        </w:rPr>
        <w:t>bolcowy</w:t>
      </w:r>
      <w:proofErr w:type="spellEnd"/>
      <w:r>
        <w:rPr>
          <w:rFonts w:ascii="Arial" w:hAnsi="Arial" w:cs="Arial"/>
          <w:sz w:val="22"/>
          <w:szCs w:val="22"/>
        </w:rPr>
        <w:t xml:space="preserve">, który uniemożliwia dostęp do zawartości szafki np. za pomocą karty telefonicznej. </w:t>
      </w:r>
    </w:p>
    <w:p w:rsidR="004C3E6E" w:rsidRDefault="004C3E6E">
      <w:pPr>
        <w:jc w:val="both"/>
        <w:rPr>
          <w:rFonts w:ascii="Arial" w:hAnsi="Arial" w:cs="Arial"/>
          <w:sz w:val="22"/>
          <w:szCs w:val="22"/>
        </w:rPr>
      </w:pPr>
    </w:p>
    <w:p w:rsidR="00411A2C" w:rsidRDefault="00192F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Sterownik szafkowy</w:t>
      </w:r>
      <w:r>
        <w:rPr>
          <w:rFonts w:ascii="Arial" w:hAnsi="Arial" w:cs="Arial"/>
          <w:sz w:val="22"/>
          <w:szCs w:val="22"/>
        </w:rPr>
        <w:t xml:space="preserve"> grupowy z zasilaniem niskonapięciowym, bezpiecznym dla klientów pływalni, przeznaczony do sterowania zamkami szafek ubraniowych. Sterownik współpracuje z czytnikiem RFID oraz z wyświetlaczem wyświetlającym numer otwieranej szafki. </w:t>
      </w:r>
    </w:p>
    <w:p w:rsidR="00411A2C" w:rsidRDefault="00192F9F">
      <w:pPr>
        <w:jc w:val="both"/>
      </w:pPr>
      <w:r>
        <w:rPr>
          <w:rFonts w:ascii="Arial" w:hAnsi="Arial" w:cs="Arial"/>
          <w:sz w:val="22"/>
          <w:szCs w:val="22"/>
        </w:rPr>
        <w:t>Sterownik powinien obsłużyć nie mniej niż 40 rygli szafkowych i pracować w trybie OFF LINE, natomiast programowanie sterownika On Line</w:t>
      </w:r>
      <w:r w:rsidR="004C3E6E">
        <w:rPr>
          <w:rFonts w:ascii="Arial" w:hAnsi="Arial" w:cs="Arial"/>
          <w:sz w:val="22"/>
          <w:szCs w:val="22"/>
        </w:rPr>
        <w:t xml:space="preserve"> z poziomu oprogramowania ESOK. </w:t>
      </w:r>
      <w:r>
        <w:rPr>
          <w:rFonts w:ascii="Arial" w:hAnsi="Arial" w:cs="Arial"/>
          <w:sz w:val="22"/>
          <w:szCs w:val="22"/>
        </w:rPr>
        <w:t xml:space="preserve">Sterownik musi posiadać własne awaryjne zasilanie pochodzące z akumulatorów (nie dopuszcza się stosowania zasilacza UPS). </w:t>
      </w:r>
    </w:p>
    <w:p w:rsidR="00411A2C" w:rsidRDefault="00192F9F">
      <w:pPr>
        <w:pStyle w:val="Default"/>
        <w:jc w:val="both"/>
      </w:pPr>
      <w:r>
        <w:rPr>
          <w:rFonts w:ascii="Arial" w:hAnsi="Arial" w:cs="Arial"/>
          <w:sz w:val="22"/>
          <w:szCs w:val="22"/>
        </w:rPr>
        <w:t xml:space="preserve">Wymaga się aby sterownik był zamontowany wewnątrz szafki. Sterownik szafkowy ze stałą pamięcią, która pozwala zapamiętać zapisane numery szafek nawet po utracie zasilania czy  </w:t>
      </w:r>
    </w:p>
    <w:p w:rsidR="00411A2C" w:rsidRDefault="00192F9F">
      <w:pPr>
        <w:pStyle w:val="Default"/>
        <w:jc w:val="both"/>
      </w:pPr>
      <w:r>
        <w:rPr>
          <w:rFonts w:ascii="Arial" w:hAnsi="Arial" w:cs="Arial"/>
          <w:sz w:val="22"/>
          <w:szCs w:val="22"/>
        </w:rPr>
        <w:t xml:space="preserve">komunikacji z bazą danych. Po ponownym uruchomieniu systemu zaprogramowany sterownik nie wymaga ponownego programowania. Gdy do czytnika zostanie przyłożony transponder na wyświetlaczu zostaje wyświetlony numer otwieranej szafki oraz zostaje zwolniony rygiel szafki. </w:t>
      </w:r>
    </w:p>
    <w:p w:rsidR="00411A2C" w:rsidRDefault="00192F9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Sterownik szafkowy w sytuacji awaryjnej np. utraty komunikacji z bazą danych lub utraty zasilania, musi umożliwiać otwarcie szafki każdemu klientowi bez ingerencji obsługi. </w:t>
      </w:r>
    </w:p>
    <w:p w:rsidR="00411A2C" w:rsidRDefault="00411A2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11A2C" w:rsidRDefault="00192F9F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Czytnik transponderowy do sterowania szafkami </w:t>
      </w:r>
    </w:p>
    <w:p w:rsidR="004C3E6E" w:rsidRDefault="004C3E6E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4C3E6E" w:rsidRDefault="00192F9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Czytnik </w:t>
      </w:r>
      <w:r w:rsidR="004C3E6E">
        <w:rPr>
          <w:rFonts w:ascii="Arial" w:hAnsi="Arial" w:cs="Arial"/>
          <w:sz w:val="22"/>
          <w:szCs w:val="22"/>
        </w:rPr>
        <w:t>przeznaczony</w:t>
      </w:r>
      <w:r>
        <w:rPr>
          <w:rFonts w:ascii="Arial" w:hAnsi="Arial" w:cs="Arial"/>
          <w:sz w:val="22"/>
          <w:szCs w:val="22"/>
        </w:rPr>
        <w:t xml:space="preserve"> do obsługi elektronicznego systemu otwierania szafek basenowych. </w:t>
      </w:r>
    </w:p>
    <w:p w:rsidR="00411A2C" w:rsidRDefault="00192F9F">
      <w:pPr>
        <w:pStyle w:val="Default"/>
        <w:jc w:val="both"/>
      </w:pPr>
      <w:r>
        <w:rPr>
          <w:rFonts w:ascii="Arial" w:hAnsi="Arial" w:cs="Arial"/>
          <w:sz w:val="22"/>
          <w:szCs w:val="22"/>
        </w:rPr>
        <w:t xml:space="preserve">Po przyłożeniu transpondera do czytnika na wyświetlaczu LCD zostanie wyświetlony numer szafki, która została dla klienta otwarta. </w:t>
      </w:r>
    </w:p>
    <w:p w:rsidR="00411A2C" w:rsidRDefault="00192F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 się aby czytnik został zamontowany w sposób wandaloodporny - za płytą HPL drzwiczek, uniemożliwiający uszkodzenie czytnika np. poprzez uderzenie.</w:t>
      </w:r>
    </w:p>
    <w:p w:rsidR="00411A2C" w:rsidRDefault="00411A2C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411A2C" w:rsidRDefault="00192F9F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Szafki zamykane na kluczyk</w:t>
      </w:r>
    </w:p>
    <w:p w:rsidR="00411A2C" w:rsidRDefault="00411A2C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411A2C" w:rsidRDefault="00192F9F">
      <w:pPr>
        <w:pStyle w:val="Defaul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u w:val="single"/>
        </w:rPr>
        <w:t>Szatnia dla ratowników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– szafki z HPL, typ S2 na ławce w ilości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5 modułów </w:t>
      </w:r>
      <w:r>
        <w:rPr>
          <w:rFonts w:ascii="Arial" w:hAnsi="Arial" w:cs="Arial"/>
          <w:sz w:val="22"/>
          <w:szCs w:val="22"/>
          <w:shd w:val="clear" w:color="auto" w:fill="FFFFFF"/>
        </w:rPr>
        <w:t>(10 drzwiczek) – 1 segment w 1 oddzielnej szatni.</w:t>
      </w:r>
    </w:p>
    <w:p w:rsidR="00311AB6" w:rsidRDefault="00311AB6" w:rsidP="00311AB6">
      <w:pPr>
        <w:pStyle w:val="Default"/>
        <w:jc w:val="both"/>
      </w:pPr>
      <w:r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Szatnia dla trenerów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– szafki systemowe z HPL, typ S2 na ławce w ilości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5 modułów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(10 drzwiczek) – 1 segment w 1 oddzielnej szatni. </w:t>
      </w:r>
    </w:p>
    <w:p w:rsidR="004C3E6E" w:rsidRDefault="004C3E6E">
      <w:pPr>
        <w:pStyle w:val="Default"/>
        <w:jc w:val="both"/>
      </w:pPr>
    </w:p>
    <w:p w:rsidR="00411A2C" w:rsidRDefault="00192F9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Szafki powinny charakteryzować się wysoką odpornością na zginanie, rozrywanie, wysoką twardością powierzchni, odpornością na zabrudzenia, wandalizm, odpornością termiczną.</w:t>
      </w:r>
    </w:p>
    <w:p w:rsidR="004C3E6E" w:rsidRDefault="00192F9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Szafki mają być wyposażone w zamek cylindryczny wyposażony w dwa kluczyki </w:t>
      </w:r>
    </w:p>
    <w:p w:rsidR="00411A2C" w:rsidRDefault="00192F9F">
      <w:pPr>
        <w:pStyle w:val="Default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standardzie oraz</w:t>
      </w:r>
      <w:r w:rsidR="007C684E">
        <w:rPr>
          <w:rFonts w:ascii="Arial" w:hAnsi="Arial" w:cs="Arial"/>
          <w:sz w:val="22"/>
          <w:szCs w:val="22"/>
        </w:rPr>
        <w:t xml:space="preserve"> zamek</w:t>
      </w:r>
      <w:r>
        <w:rPr>
          <w:rFonts w:ascii="Arial" w:hAnsi="Arial" w:cs="Arial"/>
          <w:sz w:val="22"/>
          <w:szCs w:val="22"/>
        </w:rPr>
        <w:t xml:space="preserve"> centralny. Nie może posiadać plastikowych elementów, które mogą uszkodzić się podczas użytkowania. Zamek powinien mieć chromowany korpus, mosiężną nakrętkę oraz możliwość zamówienia z jednym kodem kluczyka.</w:t>
      </w:r>
    </w:p>
    <w:p w:rsidR="00411A2C" w:rsidRDefault="00411A2C">
      <w:pPr>
        <w:pStyle w:val="Default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411A2C" w:rsidRDefault="00192F9F">
      <w:pPr>
        <w:pStyle w:val="Default"/>
        <w:jc w:val="both"/>
      </w:pPr>
      <w:r>
        <w:rPr>
          <w:rFonts w:ascii="Arial" w:hAnsi="Arial" w:cs="Arial"/>
          <w:b/>
          <w:sz w:val="22"/>
          <w:szCs w:val="22"/>
        </w:rPr>
        <w:t>Konstrukcja szafki</w:t>
      </w:r>
      <w:r>
        <w:rPr>
          <w:rFonts w:ascii="Arial" w:hAnsi="Arial" w:cs="Arial"/>
          <w:sz w:val="22"/>
          <w:szCs w:val="22"/>
        </w:rPr>
        <w:t xml:space="preserve"> (wszystkie elementy złączne) powinny być wykonane ze stali nierdzewnej lub innego materiału odpornego na agresywne środowisko (wilgoć, chlor, bakterie, itp.) np. aluminium anodowane. Stelaż wyposażony w stopki regulacyjne odporne na chlor.</w:t>
      </w:r>
    </w:p>
    <w:p w:rsidR="00411A2C" w:rsidRDefault="00192F9F">
      <w:pPr>
        <w:pStyle w:val="Default"/>
        <w:jc w:val="both"/>
      </w:pPr>
      <w:r>
        <w:rPr>
          <w:rFonts w:ascii="Arial" w:hAnsi="Arial" w:cs="Arial"/>
          <w:sz w:val="22"/>
          <w:szCs w:val="22"/>
        </w:rPr>
        <w:t xml:space="preserve">Ściany boczne, tylna i góra szafki wykonane z płyty HPL o grubości min.3 mm, natomiast pozostałe elementy: drzwiczki, podstawa, półka z laminatu o grubości min. 10 mm. </w:t>
      </w:r>
    </w:p>
    <w:p w:rsidR="00411A2C" w:rsidRDefault="00192F9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Moduł szafki składa się z dwóch schowków umieszczonych jeden na drugim. </w:t>
      </w:r>
    </w:p>
    <w:p w:rsidR="00411A2C" w:rsidRDefault="00192F9F">
      <w:pPr>
        <w:pStyle w:val="Default"/>
        <w:jc w:val="both"/>
      </w:pPr>
      <w:r>
        <w:rPr>
          <w:rFonts w:ascii="Arial" w:hAnsi="Arial" w:cs="Arial"/>
          <w:sz w:val="22"/>
          <w:szCs w:val="22"/>
        </w:rPr>
        <w:t xml:space="preserve">Szerokość szafki 350 mm, głębokość 450 mm, wysokość całkowita szafki 1520 mm </w:t>
      </w:r>
      <w:r>
        <w:rPr>
          <w:rFonts w:ascii="Arial" w:hAnsi="Arial" w:cs="Arial"/>
          <w:sz w:val="22"/>
          <w:szCs w:val="22"/>
          <w:shd w:val="clear" w:color="auto" w:fill="FFFFFF"/>
        </w:rPr>
        <w:t>na nogach 380 mm.</w:t>
      </w:r>
    </w:p>
    <w:p w:rsidR="00411A2C" w:rsidRDefault="00192F9F">
      <w:pPr>
        <w:pStyle w:val="Default"/>
        <w:jc w:val="both"/>
      </w:pPr>
      <w:r>
        <w:rPr>
          <w:rFonts w:ascii="Arial" w:hAnsi="Arial" w:cs="Arial"/>
          <w:sz w:val="22"/>
          <w:szCs w:val="22"/>
        </w:rPr>
        <w:t xml:space="preserve">Szafka posiada podwójny wieszak na bokach z materiału odpornego na warunki atmosferyczne. </w:t>
      </w:r>
    </w:p>
    <w:p w:rsidR="00411A2C" w:rsidRDefault="00192F9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Drzwiczki szafek powinny posiadać uchwyt umożliwiający otwarcie drzwi.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F4C3C" w:rsidRDefault="006F4C3C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6F4C3C" w:rsidRDefault="006F4C3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Ławka </w:t>
      </w:r>
      <w:proofErr w:type="spellStart"/>
      <w:r>
        <w:rPr>
          <w:rFonts w:ascii="Arial" w:hAnsi="Arial" w:cs="Arial"/>
          <w:b/>
          <w:sz w:val="22"/>
          <w:szCs w:val="22"/>
        </w:rPr>
        <w:t>przyszafkowa</w:t>
      </w:r>
      <w:proofErr w:type="spellEnd"/>
      <w:r>
        <w:rPr>
          <w:rFonts w:ascii="Arial" w:hAnsi="Arial" w:cs="Arial"/>
          <w:sz w:val="22"/>
          <w:szCs w:val="22"/>
        </w:rPr>
        <w:t xml:space="preserve"> o głębokości 250 mm na wspornikach mocowanych do postumentów  </w:t>
      </w:r>
    </w:p>
    <w:p w:rsidR="006F4C3C" w:rsidRDefault="006F4C3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bez dodatkowych nóżek. Materiał siedziska musi być całkowicie wodoodporny – płyta  </w:t>
      </w:r>
    </w:p>
    <w:p w:rsidR="006F4C3C" w:rsidRDefault="006F4C3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laminowana HPL, charakteryzująca się łatwością utrzymania w czystości, wysoką  </w:t>
      </w:r>
    </w:p>
    <w:p w:rsidR="00411A2C" w:rsidRDefault="006F4C3C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odpornością na uszkodzenia mechaniczne a także na działanie wilgoci.</w:t>
      </w:r>
    </w:p>
    <w:p w:rsidR="00411A2C" w:rsidRDefault="00411A2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11A2C" w:rsidRDefault="00192F9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Zestawienie ilościowe szafek, urządzeń i materiałów elektronicznego systemu zamków </w:t>
      </w:r>
    </w:p>
    <w:p w:rsidR="00411A2C" w:rsidRDefault="00192F9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zamków na kluczyk</w:t>
      </w:r>
    </w:p>
    <w:p w:rsidR="00411A2C" w:rsidRDefault="00411A2C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424" w:type="dxa"/>
        <w:tblInd w:w="-52" w:type="dxa"/>
        <w:tblBorders>
          <w:top w:val="single" w:sz="4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30" w:type="dxa"/>
          <w:left w:w="37" w:type="dxa"/>
          <w:bottom w:w="30" w:type="dxa"/>
          <w:right w:w="45" w:type="dxa"/>
        </w:tblCellMar>
        <w:tblLook w:val="0000" w:firstRow="0" w:lastRow="0" w:firstColumn="0" w:lastColumn="0" w:noHBand="0" w:noVBand="0"/>
      </w:tblPr>
      <w:tblGrid>
        <w:gridCol w:w="313"/>
        <w:gridCol w:w="5686"/>
        <w:gridCol w:w="850"/>
        <w:gridCol w:w="1575"/>
      </w:tblGrid>
      <w:tr w:rsidR="00411A2C" w:rsidTr="007C684E">
        <w:trPr>
          <w:trHeight w:val="315"/>
        </w:trPr>
        <w:tc>
          <w:tcPr>
            <w:tcW w:w="3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1A2C" w:rsidRDefault="00192F9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-7" w:type="dxa"/>
              <w:bottom w:w="0" w:type="dxa"/>
              <w:right w:w="0" w:type="dxa"/>
            </w:tcMar>
          </w:tcPr>
          <w:p w:rsidR="00411A2C" w:rsidRDefault="00192F9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Szafki 2S z ławeczką 350x450x1520mm na nogach 380mm, </w:t>
            </w:r>
            <w:r>
              <w:rPr>
                <w:rFonts w:ascii="Arial" w:hAnsi="Arial" w:cs="Arial"/>
                <w:sz w:val="20"/>
                <w:szCs w:val="20"/>
              </w:rPr>
              <w:br/>
              <w:t>Szatnia ogólna, zamki elektroniczne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411A2C" w:rsidRDefault="00192F9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411A2C" w:rsidRDefault="00192F9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411A2C" w:rsidTr="007C684E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1A2C" w:rsidRDefault="00192F9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-7" w:type="dxa"/>
              <w:bottom w:w="0" w:type="dxa"/>
              <w:right w:w="0" w:type="dxa"/>
            </w:tcMar>
          </w:tcPr>
          <w:p w:rsidR="00411A2C" w:rsidRDefault="00192F9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Szafki 2S z ławeczką 350x450x1520mm na nogach 380mm, </w:t>
            </w:r>
            <w:r>
              <w:rPr>
                <w:rFonts w:ascii="Arial" w:hAnsi="Arial" w:cs="Arial"/>
                <w:sz w:val="20"/>
                <w:szCs w:val="20"/>
              </w:rPr>
              <w:br/>
              <w:t>Szatnia rodzinna, zamki elektroniczne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411A2C" w:rsidRDefault="00192F9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411A2C" w:rsidRDefault="00192F9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11A2C" w:rsidTr="007C684E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1A2C" w:rsidRDefault="00192F9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-7" w:type="dxa"/>
              <w:bottom w:w="0" w:type="dxa"/>
              <w:right w:w="0" w:type="dxa"/>
            </w:tcMar>
          </w:tcPr>
          <w:p w:rsidR="00411A2C" w:rsidRDefault="00192F9F" w:rsidP="00311AB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Szafki 2S z ławeczką 350x450x1520mm na nogach 380mm,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Szatnia dla trenerów dla ,zamki </w:t>
            </w:r>
            <w:r w:rsidR="00311AB6">
              <w:rPr>
                <w:rFonts w:ascii="Arial" w:hAnsi="Arial" w:cs="Arial"/>
                <w:sz w:val="20"/>
                <w:szCs w:val="20"/>
              </w:rPr>
              <w:t>na kluczyk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411A2C" w:rsidRDefault="00192F9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411A2C" w:rsidRDefault="00192F9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11A2C" w:rsidTr="007C684E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1A2C" w:rsidRDefault="00192F9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-7" w:type="dxa"/>
              <w:bottom w:w="0" w:type="dxa"/>
              <w:right w:w="0" w:type="dxa"/>
            </w:tcMar>
          </w:tcPr>
          <w:p w:rsidR="00411A2C" w:rsidRDefault="00192F9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Szafki 2S z ławeczką 350x450x1520mm na nogach 380mm, </w:t>
            </w:r>
            <w:r>
              <w:rPr>
                <w:rFonts w:ascii="Arial" w:hAnsi="Arial" w:cs="Arial"/>
                <w:sz w:val="20"/>
                <w:szCs w:val="20"/>
              </w:rPr>
              <w:br/>
              <w:t>Szatnia dla ratowników, zamki na kluczyk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411A2C" w:rsidRDefault="00192F9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411A2C" w:rsidRDefault="00192F9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11A2C" w:rsidTr="007C684E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1A2C" w:rsidRDefault="00192F9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-7" w:type="dxa"/>
              <w:bottom w:w="0" w:type="dxa"/>
              <w:right w:w="0" w:type="dxa"/>
            </w:tcMar>
          </w:tcPr>
          <w:p w:rsidR="00411A2C" w:rsidRDefault="00192F9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Zabudowy z HPL do umieszczenia czytnika i sterownika, </w:t>
            </w:r>
          </w:p>
          <w:p w:rsidR="00411A2C" w:rsidRDefault="00192F9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 gdzie występują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411A2C" w:rsidRDefault="00192F9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411A2C" w:rsidRDefault="00192F9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11A2C" w:rsidTr="007C684E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1A2C" w:rsidRDefault="00192F9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-7" w:type="dxa"/>
              <w:bottom w:w="0" w:type="dxa"/>
              <w:right w:w="0" w:type="dxa"/>
            </w:tcMar>
          </w:tcPr>
          <w:p w:rsidR="00411A2C" w:rsidRDefault="00192F9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Obudowa do czytnika- montaż w szafce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411A2C" w:rsidRDefault="00192F9F">
            <w:pPr>
              <w:pStyle w:val="Default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411A2C" w:rsidRDefault="00192F9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11A2C" w:rsidTr="007C684E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1A2C" w:rsidRDefault="00192F9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-7" w:type="dxa"/>
              <w:bottom w:w="0" w:type="dxa"/>
              <w:right w:w="0" w:type="dxa"/>
            </w:tcMar>
          </w:tcPr>
          <w:p w:rsidR="00411A2C" w:rsidRDefault="00192F9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Obudowa do sterownika – szatnia rodzinna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411A2C" w:rsidRDefault="00192F9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411A2C" w:rsidRDefault="00192F9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11A2C" w:rsidTr="007C684E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1A2C" w:rsidRDefault="00192F9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-7" w:type="dxa"/>
              <w:bottom w:w="0" w:type="dxa"/>
              <w:right w:w="0" w:type="dxa"/>
            </w:tcMar>
          </w:tcPr>
          <w:p w:rsidR="00411A2C" w:rsidRDefault="00192F9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transponderowa pracownicza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411A2C" w:rsidRDefault="00192F9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411A2C" w:rsidRDefault="00192F9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11A2C" w:rsidTr="007C684E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1A2C" w:rsidRDefault="00192F9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-7" w:type="dxa"/>
              <w:bottom w:w="0" w:type="dxa"/>
              <w:right w:w="0" w:type="dxa"/>
            </w:tcMar>
          </w:tcPr>
          <w:p w:rsidR="00411A2C" w:rsidRDefault="00192F9F">
            <w:pPr>
              <w:pStyle w:val="Default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Czytnik RFID  z wyświetlaczem LCD - szafkowy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411A2C" w:rsidRDefault="00192F9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411A2C" w:rsidRDefault="00192F9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11A2C" w:rsidTr="007C684E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1A2C" w:rsidRDefault="00192F9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-7" w:type="dxa"/>
              <w:bottom w:w="0" w:type="dxa"/>
              <w:right w:w="0" w:type="dxa"/>
            </w:tcMar>
          </w:tcPr>
          <w:p w:rsidR="00411A2C" w:rsidRDefault="00192F9F">
            <w:pPr>
              <w:pStyle w:val="Default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Sterownik szafkowy do obsługi zamków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411A2C" w:rsidRDefault="00192F9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411A2C" w:rsidRDefault="00192F9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11A2C" w:rsidTr="007C684E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1A2C" w:rsidRDefault="00192F9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-7" w:type="dxa"/>
              <w:bottom w:w="0" w:type="dxa"/>
              <w:right w:w="0" w:type="dxa"/>
            </w:tcMar>
          </w:tcPr>
          <w:p w:rsidR="00411A2C" w:rsidRDefault="00192F9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Zamek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bolcowy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411A2C" w:rsidRDefault="00192F9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411A2C" w:rsidRDefault="00192F9F" w:rsidP="00311AB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11AB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11A2C" w:rsidTr="007C684E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1A2C" w:rsidRDefault="00192F9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-7" w:type="dxa"/>
              <w:bottom w:w="0" w:type="dxa"/>
              <w:right w:w="0" w:type="dxa"/>
            </w:tcMar>
          </w:tcPr>
          <w:p w:rsidR="00411A2C" w:rsidRDefault="00192F9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Zamek kluczykowy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411A2C" w:rsidRDefault="00192F9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411A2C" w:rsidRDefault="00311AB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11A2C" w:rsidTr="007C684E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1A2C" w:rsidRDefault="00192F9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-7" w:type="dxa"/>
              <w:bottom w:w="0" w:type="dxa"/>
              <w:right w:w="0" w:type="dxa"/>
            </w:tcMar>
          </w:tcPr>
          <w:p w:rsidR="00411A2C" w:rsidRDefault="00192F9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Okablowanie szafek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411A2C" w:rsidRDefault="00192F9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411A2C" w:rsidRDefault="00192F9F" w:rsidP="00311AB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11AB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11A2C" w:rsidTr="007C684E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1A2C" w:rsidRDefault="00192F9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11A2C" w:rsidRDefault="00192F9F">
            <w:pPr>
              <w:pStyle w:val="Default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Magistrala komunikacyjna, podłączenie i konfiguracja  </w:t>
            </w:r>
          </w:p>
          <w:p w:rsidR="00411A2C" w:rsidRDefault="00192F9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elektroniki, materiały, korytka</w:t>
            </w:r>
            <w:r w:rsidR="007C684E">
              <w:rPr>
                <w:rFonts w:ascii="Arial" w:hAnsi="Arial" w:cs="Arial"/>
                <w:sz w:val="20"/>
                <w:szCs w:val="20"/>
              </w:rPr>
              <w:t>, itp.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411A2C" w:rsidRDefault="00192F9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411A2C" w:rsidRDefault="00192F9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411A2C" w:rsidRDefault="00411A2C">
      <w:pPr>
        <w:pStyle w:val="Default"/>
        <w:jc w:val="both"/>
        <w:rPr>
          <w:rFonts w:ascii="Arial" w:hAnsi="Arial" w:cs="Arial"/>
          <w:sz w:val="20"/>
          <w:szCs w:val="20"/>
        </w:rPr>
      </w:pPr>
    </w:p>
    <w:sectPr w:rsidR="00411A2C">
      <w:footerReference w:type="default" r:id="rId8"/>
      <w:footerReference w:type="first" r:id="rId9"/>
      <w:pgSz w:w="11906" w:h="16838"/>
      <w:pgMar w:top="851" w:right="1418" w:bottom="851" w:left="1418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FD" w:rsidRDefault="00A902FD">
      <w:r>
        <w:separator/>
      </w:r>
    </w:p>
  </w:endnote>
  <w:endnote w:type="continuationSeparator" w:id="0">
    <w:p w:rsidR="00A902FD" w:rsidRDefault="00A9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2C" w:rsidRDefault="00192F9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11A2C" w:rsidRDefault="00192F9F">
                          <w:pPr>
                            <w:pStyle w:val="Stopka"/>
                            <w:rPr>
                              <w:rStyle w:val="Numerstron"/>
                            </w:rPr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</w:rPr>
                            <w:instrText>PAGE</w:instrText>
                          </w:r>
                          <w:r>
                            <w:rPr>
                              <w:rStyle w:val="Numerstron"/>
                            </w:rPr>
                            <w:fldChar w:fldCharType="separate"/>
                          </w:r>
                          <w:r w:rsidR="0034461A">
                            <w:rPr>
                              <w:rStyle w:val="Numerstron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45.15pt;margin-top:.05pt;width:6.05pt;height:13.8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" stroked="f">
              <v:fill opacity="0"/>
              <v:textbox inset="0,0,0,0">
                <w:txbxContent>
                  <w:p w:rsidR="00411A2C" w:rsidRDefault="00192F9F">
                    <w:pPr>
                      <w:pStyle w:val="Stopka"/>
                      <w:rPr>
                        <w:rStyle w:val="Numerstron"/>
                      </w:rPr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rPr>
                        <w:rStyle w:val="Numerstron"/>
                      </w:rPr>
                      <w:instrText>PAGE</w:instrText>
                    </w:r>
                    <w:r>
                      <w:rPr>
                        <w:rStyle w:val="Numerstron"/>
                      </w:rPr>
                      <w:fldChar w:fldCharType="separate"/>
                    </w:r>
                    <w:r w:rsidR="0034461A">
                      <w:rPr>
                        <w:rStyle w:val="Numerstron"/>
                        <w:noProof/>
                      </w:rPr>
                      <w:t>3</w:t>
                    </w:r>
                    <w:r>
                      <w:rPr>
                        <w:rStyle w:val="Numerstron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307420"/>
      <w:docPartObj>
        <w:docPartGallery w:val="Page Numbers (Bottom of Page)"/>
        <w:docPartUnique/>
      </w:docPartObj>
    </w:sdtPr>
    <w:sdtEndPr/>
    <w:sdtContent>
      <w:p w:rsidR="00C8160F" w:rsidRDefault="00C816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61A">
          <w:rPr>
            <w:noProof/>
          </w:rPr>
          <w:t>1</w:t>
        </w:r>
        <w:r>
          <w:fldChar w:fldCharType="end"/>
        </w:r>
      </w:p>
    </w:sdtContent>
  </w:sdt>
  <w:p w:rsidR="00411A2C" w:rsidRDefault="00411A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FD" w:rsidRDefault="00A902FD">
      <w:r>
        <w:separator/>
      </w:r>
    </w:p>
  </w:footnote>
  <w:footnote w:type="continuationSeparator" w:id="0">
    <w:p w:rsidR="00A902FD" w:rsidRDefault="00A9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060"/>
    <w:multiLevelType w:val="multilevel"/>
    <w:tmpl w:val="92B6D5A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1A2C"/>
    <w:rsid w:val="00192F9F"/>
    <w:rsid w:val="00311AB6"/>
    <w:rsid w:val="0034461A"/>
    <w:rsid w:val="003478F9"/>
    <w:rsid w:val="00411A2C"/>
    <w:rsid w:val="004C3E6E"/>
    <w:rsid w:val="004D1060"/>
    <w:rsid w:val="005515CD"/>
    <w:rsid w:val="00666F34"/>
    <w:rsid w:val="006A645F"/>
    <w:rsid w:val="006F4C3C"/>
    <w:rsid w:val="007C684E"/>
    <w:rsid w:val="0082744C"/>
    <w:rsid w:val="009C5642"/>
    <w:rsid w:val="00A902FD"/>
    <w:rsid w:val="00B00D9A"/>
    <w:rsid w:val="00C8160F"/>
    <w:rsid w:val="00D9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b/>
      <w:bCs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Numerstron">
    <w:name w:val="Numer stron"/>
    <w:basedOn w:val="Domylnaczcionkaakapitu"/>
  </w:style>
  <w:style w:type="character" w:customStyle="1" w:styleId="ListLabel4">
    <w:name w:val="ListLabel 4"/>
    <w:qFormat/>
    <w:rPr>
      <w:rFonts w:ascii="Times New Roman" w:hAnsi="Times New Roman" w:cs="Times New Roman"/>
      <w:position w:val="0"/>
      <w:sz w:val="24"/>
      <w:szCs w:val="24"/>
      <w:vertAlign w:val="baselin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basedOn w:val="Normalny"/>
    <w:qFormat/>
    <w:pPr>
      <w:suppressAutoHyphens/>
      <w:spacing w:line="276" w:lineRule="auto"/>
      <w:ind w:left="720"/>
      <w:contextualSpacing/>
    </w:pPr>
    <w:rPr>
      <w:rFonts w:ascii="Arial" w:eastAsia="Arial" w:hAnsi="Arial" w:cs="Mangal"/>
      <w:color w:val="000000"/>
      <w:sz w:val="22"/>
      <w:szCs w:val="20"/>
      <w:lang w:bidi="hi-I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character" w:customStyle="1" w:styleId="StopkaZnak">
    <w:name w:val="Stopka Znak"/>
    <w:basedOn w:val="Domylnaczcionkaakapitu"/>
    <w:link w:val="Stopka"/>
    <w:uiPriority w:val="99"/>
    <w:rsid w:val="00C8160F"/>
    <w:rPr>
      <w:rFonts w:ascii="Times New Roman" w:eastAsia="Times New Roman" w:hAnsi="Times New Roman" w:cs="Times New Roman"/>
      <w:sz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8F9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1226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RODZICA/PRAWNEGO OPIEKUNA</vt:lpstr>
    </vt:vector>
  </TitlesOfParts>
  <Company/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RODZICA/PRAWNEGO OPIEKUNA</dc:title>
  <dc:subject/>
  <dc:creator>KGiruc</dc:creator>
  <dc:description/>
  <cp:lastModifiedBy>MNo</cp:lastModifiedBy>
  <cp:revision>15</cp:revision>
  <cp:lastPrinted>2021-08-19T10:51:00Z</cp:lastPrinted>
  <dcterms:created xsi:type="dcterms:W3CDTF">2021-08-12T20:17:00Z</dcterms:created>
  <dcterms:modified xsi:type="dcterms:W3CDTF">2021-08-19T12:40:00Z</dcterms:modified>
  <dc:language>pl-PL</dc:language>
</cp:coreProperties>
</file>