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7FC9ED5A"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Wykonanie robót remontowych w lokalu mieszkalnym przy ul. 10 lutego 2/2 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77777777"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ul. 10 lutego 2/2 </w:t>
      </w:r>
    </w:p>
    <w:p w14:paraId="7C3BDDC2" w14:textId="02688BBF" w:rsidR="00D635CB" w:rsidRPr="00080A56" w:rsidRDefault="009C3B26" w:rsidP="00BA7604">
      <w:pPr>
        <w:autoSpaceDE w:val="0"/>
        <w:jc w:val="center"/>
        <w:rPr>
          <w:rFonts w:asciiTheme="minorHAnsi" w:hAnsiTheme="minorHAnsi" w:cstheme="minorHAnsi"/>
          <w:b/>
          <w:bCs/>
        </w:rPr>
      </w:pPr>
      <w:r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7FC5DDC6"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ul. 10 lutego 2/2 </w:t>
      </w:r>
      <w:r w:rsidR="00C45F8E" w:rsidRPr="00080A56">
        <w:rPr>
          <w:rFonts w:asciiTheme="minorHAnsi" w:hAnsiTheme="minorHAnsi" w:cstheme="minorHAnsi"/>
          <w:bCs/>
        </w:rPr>
        <w:br/>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Pr="00EF5A44" w:rsidRDefault="00BD4BFE"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4FA66829" w14:textId="77777777" w:rsidR="008F62CC" w:rsidRPr="00EF5A44" w:rsidRDefault="008F62CC"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11107D">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11107D">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11107D">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11107D">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11107D">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11107D">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11107D">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11107D">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11107D">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11107D">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11107D">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11107D">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1EEC14A3"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ul. 10 lutego 2/2 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3C44A172"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ul. 10 lutego 2/2 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77777777"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oraz wynagrodzenia nastąpi przelewem na rachunek bankowy Wykonawcy </w:t>
      </w:r>
      <w:r w:rsidRPr="00EF5A44">
        <w:rPr>
          <w:rFonts w:asciiTheme="minorHAnsi" w:hAnsiTheme="minorHAnsi" w:cstheme="minorHAnsi"/>
          <w:spacing w:val="-2"/>
        </w:rPr>
        <w:br/>
        <w:t>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w:t>
      </w:r>
      <w:r w:rsidRPr="00EF5A44">
        <w:rPr>
          <w:rFonts w:asciiTheme="minorHAnsi" w:hAnsiTheme="minorHAnsi" w:cstheme="minorHAnsi"/>
        </w:rPr>
        <w:lastRenderedPageBreak/>
        <w:t xml:space="preserve">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77777777"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Jeżeli w trakcie czynności odbiorowych zostaną stwierdzone wady nadające się </w:t>
      </w:r>
      <w:r w:rsidRPr="00EF5A44">
        <w:rPr>
          <w:rFonts w:asciiTheme="minorHAnsi" w:hAnsiTheme="minorHAnsi" w:cstheme="minorHAnsi"/>
        </w:rPr>
        <w:br/>
        <w:t xml:space="preserve">do usunięcia w granicach odbioru ostatecznego, Wykonawca usunie je niezwłocznie – </w:t>
      </w:r>
      <w:r w:rsidRPr="00EF5A44">
        <w:rPr>
          <w:rFonts w:asciiTheme="minorHAnsi" w:hAnsiTheme="minorHAnsi" w:cstheme="minorHAnsi"/>
        </w:rPr>
        <w:lastRenderedPageBreak/>
        <w:t>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lastRenderedPageBreak/>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w:t>
      </w:r>
      <w:r w:rsidRPr="00EF5A44">
        <w:rPr>
          <w:rFonts w:asciiTheme="minorHAnsi" w:hAnsiTheme="minorHAnsi" w:cstheme="minorHAnsi"/>
        </w:rPr>
        <w:lastRenderedPageBreak/>
        <w:t xml:space="preserve">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2A7D3E2F"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Wykonanie robót remontowych w lokalu mieszkalnym przy ul. 10 lutego 2/2 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080A56" w:rsidRPr="00080A56" w14:paraId="6812D204" w14:textId="77777777" w:rsidTr="007A1F72">
        <w:tc>
          <w:tcPr>
            <w:tcW w:w="562" w:type="dxa"/>
            <w:shd w:val="clear" w:color="auto" w:fill="auto"/>
            <w:vAlign w:val="center"/>
          </w:tcPr>
          <w:p w14:paraId="3DBD7149" w14:textId="0555B0E9"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1</w:t>
            </w:r>
          </w:p>
        </w:tc>
        <w:tc>
          <w:tcPr>
            <w:tcW w:w="4962" w:type="dxa"/>
            <w:shd w:val="clear" w:color="auto" w:fill="auto"/>
            <w:vAlign w:val="center"/>
          </w:tcPr>
          <w:p w14:paraId="27AFD7F6" w14:textId="459FB225" w:rsidR="00313713" w:rsidRPr="00080A56" w:rsidRDefault="00313713" w:rsidP="00313713">
            <w:pPr>
              <w:jc w:val="both"/>
              <w:rPr>
                <w:rFonts w:ascii="Calibri" w:hAnsi="Calibri" w:cs="Calibri"/>
              </w:rPr>
            </w:pPr>
            <w:r w:rsidRPr="00080A56">
              <w:rPr>
                <w:rFonts w:ascii="Calibri" w:hAnsi="Calibri" w:cs="Calibri"/>
              </w:rPr>
              <w:t>Czynności w zakresie robót ogólnobudowlanych</w:t>
            </w:r>
          </w:p>
        </w:tc>
        <w:tc>
          <w:tcPr>
            <w:tcW w:w="2268" w:type="dxa"/>
            <w:shd w:val="clear" w:color="auto" w:fill="auto"/>
            <w:vAlign w:val="center"/>
          </w:tcPr>
          <w:p w14:paraId="1FFCB510"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CBADF3C"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080A56" w:rsidRPr="00080A56" w14:paraId="2261A695" w14:textId="77777777" w:rsidTr="007A1F72">
        <w:tc>
          <w:tcPr>
            <w:tcW w:w="562" w:type="dxa"/>
            <w:shd w:val="clear" w:color="auto" w:fill="auto"/>
            <w:vAlign w:val="center"/>
          </w:tcPr>
          <w:p w14:paraId="7A9434D1" w14:textId="43709ED4"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2</w:t>
            </w:r>
          </w:p>
        </w:tc>
        <w:tc>
          <w:tcPr>
            <w:tcW w:w="4962" w:type="dxa"/>
            <w:shd w:val="clear" w:color="auto" w:fill="auto"/>
            <w:vAlign w:val="center"/>
          </w:tcPr>
          <w:p w14:paraId="22BB2007" w14:textId="7C0D8A72" w:rsidR="00313713" w:rsidRPr="00080A56" w:rsidRDefault="00313713" w:rsidP="00313713">
            <w:pPr>
              <w:jc w:val="both"/>
              <w:rPr>
                <w:rFonts w:ascii="Calibri" w:hAnsi="Calibri" w:cs="Calibri"/>
              </w:rPr>
            </w:pPr>
            <w:r w:rsidRPr="00080A56">
              <w:rPr>
                <w:rFonts w:ascii="Calibri" w:hAnsi="Calibri" w:cs="Calibri"/>
              </w:rPr>
              <w:t>Czynności w zakresie robót sanitarnych</w:t>
            </w:r>
          </w:p>
        </w:tc>
        <w:tc>
          <w:tcPr>
            <w:tcW w:w="2268" w:type="dxa"/>
            <w:shd w:val="clear" w:color="auto" w:fill="auto"/>
            <w:vAlign w:val="center"/>
          </w:tcPr>
          <w:p w14:paraId="7FC867CF"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313713" w:rsidRPr="00080A56" w14:paraId="3FA80398" w14:textId="77777777" w:rsidTr="007A1F72">
        <w:tc>
          <w:tcPr>
            <w:tcW w:w="562" w:type="dxa"/>
            <w:shd w:val="clear" w:color="auto" w:fill="auto"/>
            <w:vAlign w:val="center"/>
          </w:tcPr>
          <w:p w14:paraId="073A03AC" w14:textId="528A1018"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3</w:t>
            </w:r>
          </w:p>
        </w:tc>
        <w:tc>
          <w:tcPr>
            <w:tcW w:w="4962" w:type="dxa"/>
            <w:shd w:val="clear" w:color="auto" w:fill="auto"/>
            <w:vAlign w:val="center"/>
          </w:tcPr>
          <w:p w14:paraId="57AB8066" w14:textId="144291EF" w:rsidR="00313713" w:rsidRPr="00080A56" w:rsidRDefault="00313713" w:rsidP="00313713">
            <w:pPr>
              <w:jc w:val="both"/>
              <w:rPr>
                <w:rFonts w:ascii="Calibri" w:hAnsi="Calibri" w:cs="Calibri"/>
                <w:b/>
              </w:rPr>
            </w:pPr>
            <w:r w:rsidRPr="00080A56">
              <w:rPr>
                <w:rFonts w:ascii="Calibri" w:hAnsi="Calibri" w:cs="Calibri"/>
              </w:rPr>
              <w:t>Czynności w zakresie robót elektrycznych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80A56" w:rsidRPr="00080A56">
          <w:rPr>
            <w:rFonts w:asciiTheme="majorHAnsi" w:eastAsiaTheme="majorEastAsia" w:hAnsiTheme="majorHAnsi" w:cstheme="majorBidi"/>
            <w:noProof/>
            <w:sz w:val="20"/>
            <w:szCs w:val="20"/>
          </w:rPr>
          <w:t>19</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6C68" w14:textId="77777777" w:rsidR="005C54DF" w:rsidRDefault="005C54DF" w:rsidP="00057CA7">
    <w:pPr>
      <w:pStyle w:val="Nagwek"/>
      <w:jc w:val="right"/>
      <w:rPr>
        <w:rFonts w:ascii="Calibri" w:hAnsi="Calibri" w:cs="Calibri"/>
        <w:sz w:val="20"/>
        <w:szCs w:val="20"/>
      </w:rPr>
    </w:pPr>
  </w:p>
  <w:p w14:paraId="201FB86F" w14:textId="77777777" w:rsidR="005C54DF" w:rsidRDefault="005C54DF" w:rsidP="00057CA7">
    <w:pPr>
      <w:pStyle w:val="Nagwek"/>
      <w:jc w:val="right"/>
      <w:rPr>
        <w:rFonts w:ascii="Calibri" w:hAnsi="Calibri" w:cs="Calibri"/>
        <w:sz w:val="20"/>
        <w:szCs w:val="20"/>
      </w:rPr>
    </w:pPr>
  </w:p>
  <w:p w14:paraId="7BF34E51" w14:textId="77777777" w:rsidR="005C54DF" w:rsidRPr="00057CA7" w:rsidRDefault="005C54DF"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574469616">
    <w:abstractNumId w:val="29"/>
  </w:num>
  <w:num w:numId="2" w16cid:durableId="2082019960">
    <w:abstractNumId w:val="1"/>
  </w:num>
  <w:num w:numId="3" w16cid:durableId="142085662">
    <w:abstractNumId w:val="32"/>
  </w:num>
  <w:num w:numId="4" w16cid:durableId="964458260">
    <w:abstractNumId w:val="40"/>
  </w:num>
  <w:num w:numId="5" w16cid:durableId="254242953">
    <w:abstractNumId w:val="7"/>
  </w:num>
  <w:num w:numId="6" w16cid:durableId="571306773">
    <w:abstractNumId w:val="13"/>
  </w:num>
  <w:num w:numId="7" w16cid:durableId="564950683">
    <w:abstractNumId w:val="2"/>
  </w:num>
  <w:num w:numId="8" w16cid:durableId="1232273757">
    <w:abstractNumId w:val="28"/>
  </w:num>
  <w:num w:numId="9" w16cid:durableId="1736663972">
    <w:abstractNumId w:val="35"/>
  </w:num>
  <w:num w:numId="10" w16cid:durableId="674840162">
    <w:abstractNumId w:val="34"/>
  </w:num>
  <w:num w:numId="11" w16cid:durableId="1555460569">
    <w:abstractNumId w:val="10"/>
  </w:num>
  <w:num w:numId="12" w16cid:durableId="1822235971">
    <w:abstractNumId w:val="25"/>
  </w:num>
  <w:num w:numId="13" w16cid:durableId="544295119">
    <w:abstractNumId w:val="30"/>
  </w:num>
  <w:num w:numId="14" w16cid:durableId="702100603">
    <w:abstractNumId w:val="36"/>
  </w:num>
  <w:num w:numId="15" w16cid:durableId="547765396">
    <w:abstractNumId w:val="15"/>
  </w:num>
  <w:num w:numId="16" w16cid:durableId="1395472383">
    <w:abstractNumId w:val="14"/>
  </w:num>
  <w:num w:numId="17" w16cid:durableId="1355302012">
    <w:abstractNumId w:val="9"/>
  </w:num>
  <w:num w:numId="18" w16cid:durableId="1599094774">
    <w:abstractNumId w:val="39"/>
  </w:num>
  <w:num w:numId="19" w16cid:durableId="487554892">
    <w:abstractNumId w:val="6"/>
  </w:num>
  <w:num w:numId="20" w16cid:durableId="1702782464">
    <w:abstractNumId w:val="17"/>
  </w:num>
  <w:num w:numId="21" w16cid:durableId="366180630">
    <w:abstractNumId w:val="24"/>
  </w:num>
  <w:num w:numId="22" w16cid:durableId="1147863993">
    <w:abstractNumId w:val="31"/>
  </w:num>
  <w:num w:numId="23" w16cid:durableId="1492328424">
    <w:abstractNumId w:val="16"/>
  </w:num>
  <w:num w:numId="24" w16cid:durableId="723985773">
    <w:abstractNumId w:val="37"/>
  </w:num>
  <w:num w:numId="25" w16cid:durableId="234629103">
    <w:abstractNumId w:val="11"/>
  </w:num>
  <w:num w:numId="26" w16cid:durableId="465246046">
    <w:abstractNumId w:val="27"/>
  </w:num>
  <w:num w:numId="27" w16cid:durableId="1867939221">
    <w:abstractNumId w:val="33"/>
  </w:num>
  <w:num w:numId="28" w16cid:durableId="683749128">
    <w:abstractNumId w:val="20"/>
  </w:num>
  <w:num w:numId="29" w16cid:durableId="1298028886">
    <w:abstractNumId w:val="4"/>
  </w:num>
  <w:num w:numId="30" w16cid:durableId="1141656894">
    <w:abstractNumId w:val="12"/>
  </w:num>
  <w:num w:numId="31" w16cid:durableId="1093277421">
    <w:abstractNumId w:val="23"/>
  </w:num>
  <w:num w:numId="32" w16cid:durableId="2133161791">
    <w:abstractNumId w:val="42"/>
  </w:num>
  <w:num w:numId="33" w16cid:durableId="1840584726">
    <w:abstractNumId w:val="19"/>
  </w:num>
  <w:num w:numId="34" w16cid:durableId="575674275">
    <w:abstractNumId w:val="26"/>
  </w:num>
  <w:num w:numId="35" w16cid:durableId="2057897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5902668">
    <w:abstractNumId w:val="3"/>
  </w:num>
  <w:num w:numId="37" w16cid:durableId="1344162275">
    <w:abstractNumId w:val="22"/>
  </w:num>
  <w:num w:numId="38" w16cid:durableId="1677729432">
    <w:abstractNumId w:val="8"/>
  </w:num>
  <w:num w:numId="39" w16cid:durableId="1850633453">
    <w:abstractNumId w:val="5"/>
  </w:num>
  <w:num w:numId="40" w16cid:durableId="340861718">
    <w:abstractNumId w:val="18"/>
  </w:num>
  <w:num w:numId="41" w16cid:durableId="1243759027">
    <w:abstractNumId w:val="38"/>
  </w:num>
  <w:num w:numId="42" w16cid:durableId="1491749822">
    <w:abstractNumId w:val="21"/>
  </w:num>
  <w:num w:numId="43" w16cid:durableId="384067614">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EA87-E604-4D8D-A9D9-3357ABB5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7146</Words>
  <Characters>47543</Characters>
  <Application>Microsoft Office Word</Application>
  <DocSecurity>0</DocSecurity>
  <Lines>396</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54580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5</cp:revision>
  <cp:lastPrinted>2022-06-15T08:16:00Z</cp:lastPrinted>
  <dcterms:created xsi:type="dcterms:W3CDTF">2024-02-02T12:45:00Z</dcterms:created>
  <dcterms:modified xsi:type="dcterms:W3CDTF">2024-02-05T13:14:00Z</dcterms:modified>
</cp:coreProperties>
</file>