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F0CC9E2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992589">
        <w:rPr>
          <w:rFonts w:ascii="Lato Light" w:hAnsi="Lato Light"/>
          <w:sz w:val="22"/>
          <w:szCs w:val="22"/>
        </w:rPr>
        <w:t>3</w:t>
      </w:r>
      <w:r w:rsidRPr="002650DD">
        <w:rPr>
          <w:rFonts w:ascii="Lato Light" w:hAnsi="Lato Light"/>
          <w:sz w:val="22"/>
          <w:szCs w:val="22"/>
        </w:rPr>
        <w:t>-</w:t>
      </w:r>
      <w:r w:rsidR="00992589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D326DB">
        <w:rPr>
          <w:rFonts w:ascii="Lato Light" w:hAnsi="Lato Light"/>
          <w:sz w:val="22"/>
          <w:szCs w:val="22"/>
        </w:rPr>
        <w:t>23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30605F1F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23F955B0" w14:textId="2810F820" w:rsidR="00E020BA" w:rsidRPr="002650DD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EF2FDF">
        <w:rPr>
          <w:rFonts w:ascii="Lato Light" w:hAnsi="Lato Light" w:cs="Arial"/>
          <w:bCs/>
          <w:sz w:val="22"/>
          <w:szCs w:val="22"/>
        </w:rPr>
        <w:t>1</w:t>
      </w:r>
      <w:r w:rsidR="00992589">
        <w:rPr>
          <w:rFonts w:ascii="Lato Light" w:hAnsi="Lato Light" w:cs="Arial"/>
          <w:bCs/>
          <w:sz w:val="22"/>
          <w:szCs w:val="22"/>
        </w:rPr>
        <w:t>5</w:t>
      </w:r>
      <w:r w:rsidR="009E367C">
        <w:rPr>
          <w:rFonts w:ascii="Lato Light" w:hAnsi="Lato Light" w:cs="Arial"/>
          <w:bCs/>
          <w:sz w:val="22"/>
          <w:szCs w:val="22"/>
        </w:rPr>
        <w:t>.</w:t>
      </w:r>
      <w:r w:rsidR="00D326DB">
        <w:rPr>
          <w:rFonts w:ascii="Lato Light" w:hAnsi="Lato Light" w:cs="Arial"/>
          <w:bCs/>
          <w:sz w:val="22"/>
          <w:szCs w:val="22"/>
        </w:rPr>
        <w:t>2</w:t>
      </w:r>
      <w:r w:rsidR="00992589">
        <w:rPr>
          <w:rFonts w:ascii="Lato Light" w:hAnsi="Lato Light" w:cs="Arial"/>
          <w:bCs/>
          <w:sz w:val="22"/>
          <w:szCs w:val="22"/>
        </w:rPr>
        <w:t>.</w:t>
      </w:r>
      <w:r w:rsidR="00187556" w:rsidRPr="00187556">
        <w:rPr>
          <w:rFonts w:ascii="Lato Light" w:hAnsi="Lato Light" w:cs="Arial"/>
          <w:bCs/>
          <w:sz w:val="22"/>
          <w:szCs w:val="22"/>
        </w:rPr>
        <w:t>202</w:t>
      </w:r>
      <w:r w:rsidR="00992589">
        <w:rPr>
          <w:rFonts w:ascii="Lato Light" w:hAnsi="Lato Light" w:cs="Arial"/>
          <w:bCs/>
          <w:sz w:val="22"/>
          <w:szCs w:val="22"/>
        </w:rPr>
        <w:t>3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24989503" w14:textId="77777777" w:rsidR="00EF2FDF" w:rsidRDefault="008979FC" w:rsidP="00EF2FDF">
      <w:pPr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EF2FDF" w:rsidRPr="00EF2FDF">
        <w:rPr>
          <w:rFonts w:ascii="Lato Light" w:hAnsi="Lato Light"/>
          <w:i/>
          <w:sz w:val="22"/>
          <w:szCs w:val="22"/>
        </w:rPr>
        <w:t xml:space="preserve">Dostawa energii elektrycznej, obejmująca sprzedaż energii </w:t>
      </w:r>
      <w:r w:rsidR="00EF2FDF">
        <w:rPr>
          <w:rFonts w:ascii="Lato Light" w:hAnsi="Lato Light"/>
          <w:i/>
          <w:sz w:val="22"/>
          <w:szCs w:val="22"/>
        </w:rPr>
        <w:t xml:space="preserve">      </w:t>
      </w:r>
    </w:p>
    <w:p w14:paraId="74FB164E" w14:textId="55BEA6A2" w:rsidR="00EF2FDF" w:rsidRPr="00EF2FDF" w:rsidRDefault="00EF2FDF" w:rsidP="00EF2FDF">
      <w:pPr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EF2FDF">
        <w:rPr>
          <w:rFonts w:ascii="Lato Light" w:hAnsi="Lato Light"/>
          <w:i/>
          <w:sz w:val="22"/>
          <w:szCs w:val="22"/>
        </w:rPr>
        <w:t>elektrycznej oraz świadczenie usługi jej dystrybucji</w:t>
      </w:r>
    </w:p>
    <w:p w14:paraId="5E698651" w14:textId="5F93925D" w:rsidR="00E020BA" w:rsidRPr="002650DD" w:rsidRDefault="00E020BA" w:rsidP="00EF2FDF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</w:p>
    <w:bookmarkEnd w:id="0"/>
    <w:p w14:paraId="3AB47472" w14:textId="5C39B272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EC4648D" w:rsidR="00E020BA" w:rsidRPr="002650DD" w:rsidRDefault="008612EE" w:rsidP="00E020BA">
      <w:pPr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="00E020BA"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D040365" w14:textId="2FD228F3" w:rsidR="00EF2FDF" w:rsidRDefault="00BD2F47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C05200">
        <w:rPr>
          <w:rFonts w:ascii="Lato Light" w:hAnsi="Lato Light" w:cs="Arial"/>
          <w:b/>
          <w:sz w:val="22"/>
          <w:szCs w:val="22"/>
        </w:rPr>
        <w:t xml:space="preserve">cz. I pkt IV ppkt 2: </w:t>
      </w:r>
    </w:p>
    <w:p w14:paraId="03510547" w14:textId="5644232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F06398A" w14:textId="4325C4C1" w:rsidR="00EF2FDF" w:rsidRDefault="00C05200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Otrzymuje brzmienie: </w:t>
      </w:r>
    </w:p>
    <w:p w14:paraId="492FB0A0" w14:textId="77777777" w:rsidR="00C05200" w:rsidRDefault="00C05200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3C6106D" w14:textId="170E337E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>Zamawiający nie dokonuje podziału zamówienia na części.</w:t>
      </w:r>
    </w:p>
    <w:p w14:paraId="6070D759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Przeprowadzając  przetarg Zamawiający bez podziału na części, dzięki „efektowi skali” spodziewa się uzyskać  korzystniejsze warunki cenowe. „Efekt skali”, który powinien spowodować uzyskanie </w:t>
      </w:r>
    </w:p>
    <w:p w14:paraId="6402628C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korzystniejszych cen jest konsekwencją uregulowań rynku energii na poziomie hurtowym. Na </w:t>
      </w:r>
    </w:p>
    <w:p w14:paraId="4A8B804E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rynku tym sprzedawcy energii dokonują jej zakupu na Towarowej Giełdzie Energii (TGE). Większy </w:t>
      </w:r>
    </w:p>
    <w:p w14:paraId="64C61C4E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wolumen przetargowy pozwala sprzedawcy zbudować bardziej zdywersyfikowany portfel </w:t>
      </w:r>
    </w:p>
    <w:p w14:paraId="1F38D2BA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zakupowy (zarówno w zakresie produktów budujących strukturę zużycia energii odpowiadającą </w:t>
      </w:r>
    </w:p>
    <w:p w14:paraId="61F8DCBF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zapotrzebowaniu wynikającemu z przetargu jak i uwzględniający czas dokonywania transakcji). </w:t>
      </w:r>
    </w:p>
    <w:p w14:paraId="2339678D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Drugim pozytywnym czynnikiem „efektu skali” jest obniżenie odchyleń rzeczywistego zużycia od </w:t>
      </w:r>
    </w:p>
    <w:p w14:paraId="6C464FBB" w14:textId="77777777" w:rsidR="00C05200" w:rsidRPr="00C05200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 xml:space="preserve">prognozowanego, co przekłada się na niższe odchylenia na rynku bilansującym energii a tym </w:t>
      </w:r>
    </w:p>
    <w:p w14:paraId="55041775" w14:textId="299E5620" w:rsidR="00EF2FDF" w:rsidRDefault="00C05200" w:rsidP="00C0520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5200">
        <w:rPr>
          <w:rFonts w:ascii="Lato Light" w:hAnsi="Lato Light" w:cs="Arial"/>
          <w:sz w:val="22"/>
          <w:szCs w:val="22"/>
        </w:rPr>
        <w:t>samym na niższe koszty obsługi sprzedaży ponoszone przez sprzedawcę energii. Ponadto podział na części generowałby nadmierne trudności czy koszty oraz brak koordynacji, skutkujący poważną groźbą nieprawidłowej realizacji zamówienia</w:t>
      </w:r>
      <w:r>
        <w:rPr>
          <w:rFonts w:ascii="Lato Light" w:hAnsi="Lato Light" w:cs="Arial"/>
          <w:sz w:val="22"/>
          <w:szCs w:val="22"/>
        </w:rPr>
        <w:t xml:space="preserve">- weryfikacja i analiza danych z możliwie dwóch podmiotów – dostawa i dystrybucja, podczas gdy koszty dystrybucji i tak podlegają unormowaniom zewnętrznym. </w:t>
      </w:r>
    </w:p>
    <w:p w14:paraId="654B315D" w14:textId="10B1ACA8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B3963C7" w14:textId="33B58C5B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BE5DFCF" w14:textId="1CC7F73F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E64E6B5" w14:textId="3FF377C9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A471F2D" w14:textId="1583F44A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23F86F0" w14:textId="5A2866A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AF7CB3F" w14:textId="77777777" w:rsidR="00EF2FDF" w:rsidRPr="002C753D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A6C79CD" w14:textId="77777777" w:rsidR="00BD2F47" w:rsidRPr="002C753D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28D88C21" w:rsidR="00DE5C1E" w:rsidRPr="00E84B78" w:rsidRDefault="00BD2F47" w:rsidP="00696E8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8476" w14:textId="77777777" w:rsidR="00F515CF" w:rsidRDefault="00F515CF" w:rsidP="00DE5C1E">
      <w:r>
        <w:separator/>
      </w:r>
    </w:p>
  </w:endnote>
  <w:endnote w:type="continuationSeparator" w:id="0">
    <w:p w14:paraId="41F9F44D" w14:textId="77777777" w:rsidR="00F515CF" w:rsidRDefault="00F515C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5AEA" w14:textId="77777777" w:rsidR="00F515CF" w:rsidRDefault="00F515CF" w:rsidP="00DE5C1E">
      <w:r>
        <w:separator/>
      </w:r>
    </w:p>
  </w:footnote>
  <w:footnote w:type="continuationSeparator" w:id="0">
    <w:p w14:paraId="6AB7B7E6" w14:textId="77777777" w:rsidR="00F515CF" w:rsidRDefault="00F515C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787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42086C"/>
    <w:rsid w:val="00424227"/>
    <w:rsid w:val="004B4359"/>
    <w:rsid w:val="00503D45"/>
    <w:rsid w:val="005709E3"/>
    <w:rsid w:val="0059172B"/>
    <w:rsid w:val="005B5544"/>
    <w:rsid w:val="005E0FB1"/>
    <w:rsid w:val="006406F3"/>
    <w:rsid w:val="00696E8C"/>
    <w:rsid w:val="00742DFC"/>
    <w:rsid w:val="007760CB"/>
    <w:rsid w:val="00784014"/>
    <w:rsid w:val="008418C7"/>
    <w:rsid w:val="008612EE"/>
    <w:rsid w:val="00864DFD"/>
    <w:rsid w:val="008979FC"/>
    <w:rsid w:val="008A0E8F"/>
    <w:rsid w:val="008D2BBF"/>
    <w:rsid w:val="0096191A"/>
    <w:rsid w:val="00962343"/>
    <w:rsid w:val="0099062E"/>
    <w:rsid w:val="00992589"/>
    <w:rsid w:val="009E367C"/>
    <w:rsid w:val="009F6A60"/>
    <w:rsid w:val="00A500E7"/>
    <w:rsid w:val="00A6283C"/>
    <w:rsid w:val="00BD2F47"/>
    <w:rsid w:val="00BE5E33"/>
    <w:rsid w:val="00C05200"/>
    <w:rsid w:val="00C06FCE"/>
    <w:rsid w:val="00CB3F2B"/>
    <w:rsid w:val="00D326D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EF2FDF"/>
    <w:rsid w:val="00F113E1"/>
    <w:rsid w:val="00F43C98"/>
    <w:rsid w:val="00F515CF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3</cp:revision>
  <cp:lastPrinted>2023-10-06T09:10:00Z</cp:lastPrinted>
  <dcterms:created xsi:type="dcterms:W3CDTF">2023-10-23T20:01:00Z</dcterms:created>
  <dcterms:modified xsi:type="dcterms:W3CDTF">2023-10-23T20:02:00Z</dcterms:modified>
</cp:coreProperties>
</file>