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6F" w:rsidRDefault="00DD206F" w:rsidP="00DD206F">
      <w:pPr>
        <w:tabs>
          <w:tab w:val="right" w:pos="1560"/>
          <w:tab w:val="left" w:pos="1701"/>
        </w:tabs>
        <w:jc w:val="right"/>
        <w:rPr>
          <w:rFonts w:cs="Arial"/>
          <w:kern w:val="2"/>
          <w:szCs w:val="22"/>
        </w:rPr>
      </w:pPr>
      <w:r>
        <w:rPr>
          <w:rFonts w:cs="Arial"/>
          <w:szCs w:val="22"/>
        </w:rPr>
        <w:t>Łomża, dnia 16.11.2020 r.</w:t>
      </w:r>
    </w:p>
    <w:p w:rsidR="00DD206F" w:rsidRDefault="00DD206F" w:rsidP="00DD206F">
      <w:pPr>
        <w:pStyle w:val="Tekstpodstawowy"/>
        <w:tabs>
          <w:tab w:val="left" w:pos="27000"/>
        </w:tabs>
        <w:jc w:val="both"/>
        <w:rPr>
          <w:rFonts w:cs="Arial"/>
          <w:b/>
          <w:szCs w:val="22"/>
        </w:rPr>
      </w:pPr>
    </w:p>
    <w:p w:rsidR="00DD206F" w:rsidRDefault="00DD1AEC" w:rsidP="00DD206F">
      <w:pPr>
        <w:pStyle w:val="Tekstpodstawowy"/>
        <w:tabs>
          <w:tab w:val="left" w:pos="27000"/>
        </w:tabs>
        <w:jc w:val="both"/>
        <w:rPr>
          <w:rFonts w:cs="Arial"/>
          <w:b/>
        </w:rPr>
      </w:pPr>
      <w:r>
        <w:rPr>
          <w:rFonts w:cs="Arial"/>
          <w:b/>
          <w:szCs w:val="22"/>
        </w:rPr>
        <w:t>WIR.271.2.22.3</w:t>
      </w:r>
      <w:bookmarkStart w:id="0" w:name="_GoBack"/>
      <w:bookmarkEnd w:id="0"/>
      <w:r w:rsidR="00DD206F">
        <w:rPr>
          <w:rFonts w:cs="Arial"/>
          <w:b/>
          <w:szCs w:val="22"/>
        </w:rPr>
        <w:t>.2020</w:t>
      </w:r>
    </w:p>
    <w:p w:rsidR="00DD206F" w:rsidRDefault="00DD206F" w:rsidP="00DD206F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Do wszystkich</w:t>
      </w:r>
    </w:p>
    <w:p w:rsidR="00DD206F" w:rsidRDefault="00DD206F" w:rsidP="00DD206F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6"/>
          <w:szCs w:val="26"/>
        </w:rPr>
        <w:t>Wykonawców</w:t>
      </w:r>
    </w:p>
    <w:p w:rsidR="00DD206F" w:rsidRDefault="00DD206F" w:rsidP="00DD206F">
      <w:pPr>
        <w:pStyle w:val="Tekstpodstawowy"/>
        <w:tabs>
          <w:tab w:val="left" w:pos="27360"/>
        </w:tabs>
        <w:ind w:left="7090"/>
        <w:jc w:val="both"/>
        <w:rPr>
          <w:rFonts w:cs="Arial"/>
          <w:b/>
          <w:sz w:val="20"/>
          <w:szCs w:val="20"/>
        </w:rPr>
      </w:pPr>
    </w:p>
    <w:p w:rsidR="00DD206F" w:rsidRDefault="00DD206F" w:rsidP="00DD206F">
      <w:pPr>
        <w:ind w:left="993" w:hanging="993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dotyczy: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postępowania o udzielenie zamówienia publicznego prowadzonego w trybie przetargu nieograniczonego na zadanie pn.: „</w:t>
      </w:r>
      <w:r>
        <w:rPr>
          <w:rFonts w:cs="Arial"/>
          <w:b/>
          <w:bCs/>
          <w:szCs w:val="22"/>
        </w:rPr>
        <w:t>Budowa i przebudowa dróg na terenie miasta Łomża 2020 rok – ETAP I</w:t>
      </w:r>
      <w:r>
        <w:rPr>
          <w:rFonts w:cs="Arial"/>
          <w:b/>
          <w:szCs w:val="22"/>
        </w:rPr>
        <w:t>” - nr sprawy WIR.271.2.22.2020.</w:t>
      </w:r>
    </w:p>
    <w:p w:rsidR="00DD206F" w:rsidRDefault="00DD206F" w:rsidP="00DD206F">
      <w:pPr>
        <w:tabs>
          <w:tab w:val="right" w:pos="1560"/>
          <w:tab w:val="left" w:pos="1701"/>
        </w:tabs>
        <w:jc w:val="both"/>
        <w:rPr>
          <w:rFonts w:cs="Arial"/>
          <w:szCs w:val="22"/>
        </w:rPr>
      </w:pPr>
    </w:p>
    <w:p w:rsidR="00DD206F" w:rsidRDefault="00DD206F" w:rsidP="00DD206F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:rsidR="00DD206F" w:rsidRDefault="00DD206F" w:rsidP="00DD206F">
      <w:pPr>
        <w:tabs>
          <w:tab w:val="left" w:pos="0"/>
        </w:tabs>
        <w:spacing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Zamawiający, Miasto Łomża, działając na podstawie art. 38 ust. 1 i 2 ustawy z dnia 29 stycznia 2004 roku - Prawo Zamówień Publicznych (Dz.U. z 2019 r. poz. 1843 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 xml:space="preserve">. zm.) zwanej dalej „ustawą </w:t>
      </w:r>
      <w:proofErr w:type="spellStart"/>
      <w:r>
        <w:rPr>
          <w:rFonts w:cs="Arial"/>
          <w:szCs w:val="22"/>
        </w:rPr>
        <w:t>Pzp</w:t>
      </w:r>
      <w:proofErr w:type="spellEnd"/>
      <w:r>
        <w:rPr>
          <w:rFonts w:cs="Arial"/>
          <w:szCs w:val="22"/>
        </w:rPr>
        <w:t>” przekazuje treść zapytań Wykonawców wraz z wyjaśnieniami Zamawiającego jak poniżej:</w:t>
      </w:r>
    </w:p>
    <w:p w:rsidR="007D5977" w:rsidRDefault="007D5977"/>
    <w:p w:rsidR="008A48D8" w:rsidRPr="008A48D8" w:rsidRDefault="008A48D8">
      <w:pPr>
        <w:rPr>
          <w:b/>
        </w:rPr>
      </w:pPr>
      <w:r w:rsidRPr="008A48D8">
        <w:rPr>
          <w:b/>
        </w:rPr>
        <w:t>Pytanie nr 1:</w:t>
      </w:r>
    </w:p>
    <w:p w:rsidR="008A48D8" w:rsidRDefault="008A48D8" w:rsidP="008A48D8">
      <w:r>
        <w:t>Część I - Proszę o udostępnienie schematu szafki oświetleniowej na ul.</w:t>
      </w:r>
      <w:r>
        <w:t xml:space="preserve"> Meblowej (brak w </w:t>
      </w:r>
      <w:r>
        <w:t>załączonej dokumentacji)</w:t>
      </w:r>
      <w:r>
        <w:t>,</w:t>
      </w:r>
      <w:r>
        <w:br/>
        <w:t>Część III - Proszę o udostępnienie schematu szafki oświetleniowej na ul.</w:t>
      </w:r>
      <w:r>
        <w:t xml:space="preserve"> Jaworowej (brak w </w:t>
      </w:r>
      <w:r>
        <w:t>załączonej dokumentacji)</w:t>
      </w:r>
      <w:r>
        <w:t>.</w:t>
      </w:r>
    </w:p>
    <w:p w:rsidR="008A48D8" w:rsidRPr="008A48D8" w:rsidRDefault="008A48D8">
      <w:pPr>
        <w:rPr>
          <w:b/>
        </w:rPr>
      </w:pPr>
      <w:r w:rsidRPr="008A48D8">
        <w:rPr>
          <w:b/>
        </w:rPr>
        <w:t>Odpowiedź:</w:t>
      </w:r>
    </w:p>
    <w:p w:rsidR="008A48D8" w:rsidRDefault="008A48D8">
      <w:r>
        <w:t>Zamawiający załącza ww. schematy.</w:t>
      </w:r>
    </w:p>
    <w:p w:rsidR="008A48D8" w:rsidRDefault="008A48D8"/>
    <w:p w:rsidR="00755DC7" w:rsidRPr="007D5977" w:rsidRDefault="007D5977">
      <w:pPr>
        <w:rPr>
          <w:b/>
        </w:rPr>
      </w:pPr>
      <w:r w:rsidRPr="007D5977">
        <w:rPr>
          <w:b/>
        </w:rPr>
        <w:t>Pytanie</w:t>
      </w:r>
      <w:r w:rsidR="008A48D8">
        <w:rPr>
          <w:b/>
        </w:rPr>
        <w:t xml:space="preserve"> nr 2</w:t>
      </w:r>
      <w:r w:rsidRPr="007D5977">
        <w:rPr>
          <w:b/>
        </w:rPr>
        <w:t>:</w:t>
      </w:r>
    </w:p>
    <w:p w:rsidR="00DD206F" w:rsidRDefault="00DD206F" w:rsidP="007D5977">
      <w:pPr>
        <w:ind w:firstLine="708"/>
        <w:jc w:val="both"/>
        <w:rPr>
          <w:rFonts w:eastAsia="NSimSun" w:cs="Arial"/>
          <w:kern w:val="3"/>
          <w:szCs w:val="22"/>
          <w:lang w:eastAsia="zh-CN"/>
        </w:rPr>
      </w:pPr>
      <w:r w:rsidRPr="00DD206F">
        <w:rPr>
          <w:rFonts w:eastAsia="NSimSun" w:cs="Arial"/>
          <w:kern w:val="3"/>
          <w:szCs w:val="22"/>
          <w:lang w:eastAsia="zh-CN"/>
        </w:rPr>
        <w:t>W nawiązaniu do punktu „1.3 – Zakres robót objętych</w:t>
      </w:r>
      <w:r>
        <w:rPr>
          <w:rFonts w:eastAsia="NSimSun" w:cs="Arial"/>
          <w:kern w:val="3"/>
          <w:szCs w:val="22"/>
          <w:lang w:eastAsia="zh-CN"/>
        </w:rPr>
        <w:t xml:space="preserve"> SST” proszę podać informację o </w:t>
      </w:r>
      <w:r w:rsidRPr="00DD206F">
        <w:rPr>
          <w:rFonts w:eastAsia="NSimSun" w:cs="Arial"/>
          <w:kern w:val="3"/>
          <w:szCs w:val="22"/>
          <w:lang w:eastAsia="zh-CN"/>
        </w:rPr>
        <w:t>podstawie prawnej dotyczącej „przeniesienia punktów</w:t>
      </w:r>
      <w:r>
        <w:rPr>
          <w:rFonts w:eastAsia="NSimSun" w:cs="Arial"/>
          <w:kern w:val="3"/>
          <w:szCs w:val="22"/>
          <w:lang w:eastAsia="zh-CN"/>
        </w:rPr>
        <w:t xml:space="preserve"> osnowy geodezyjnej”. Zgodnie z </w:t>
      </w:r>
      <w:r w:rsidRPr="00DD206F">
        <w:rPr>
          <w:rFonts w:eastAsia="NSimSun" w:cs="Arial"/>
          <w:kern w:val="3"/>
          <w:szCs w:val="22"/>
          <w:lang w:eastAsia="zh-CN"/>
        </w:rPr>
        <w:t>ustawą Prawo geodezyjne i kartograficzne osnowa szczegółowa, która występuje na obszarze opracowania, jest w gestii Starosty, który jest organem wiodącym (Art.3 Ustawy). Według naszej wiedzy ustawa, ani rozporządzenia nie regulują czynności „przeniesienia punktów osnowy geodezyjnej”. Przepisy mówią o zakładaniu i ochronie punktów osnowy geodezyjnej (Art.7 ustawy), która polega na (Art.15 Ustawy): nie dokonywaniu czynności powodujących ich zniszczenia, uszkodzenia lub przemieszczenia, oraz niezwłocznym zawiadomieniu Starosty o ich zniszczeniu, uszkodzeniu l</w:t>
      </w:r>
      <w:r>
        <w:rPr>
          <w:rFonts w:eastAsia="NSimSun" w:cs="Arial"/>
          <w:kern w:val="3"/>
          <w:szCs w:val="22"/>
          <w:lang w:eastAsia="zh-CN"/>
        </w:rPr>
        <w:t>ub przemieszczeniu.</w:t>
      </w:r>
    </w:p>
    <w:p w:rsidR="00DD206F" w:rsidRDefault="00DD206F" w:rsidP="00DD206F">
      <w:pPr>
        <w:jc w:val="both"/>
        <w:rPr>
          <w:rFonts w:eastAsia="NSimSun" w:cs="Arial"/>
          <w:kern w:val="3"/>
          <w:szCs w:val="22"/>
          <w:lang w:eastAsia="zh-CN"/>
        </w:rPr>
      </w:pPr>
      <w:r>
        <w:rPr>
          <w:rFonts w:eastAsia="NSimSun" w:cs="Arial"/>
          <w:kern w:val="3"/>
          <w:szCs w:val="22"/>
          <w:lang w:eastAsia="zh-CN"/>
        </w:rPr>
        <w:t>W związku z </w:t>
      </w:r>
      <w:r w:rsidRPr="00DD206F">
        <w:rPr>
          <w:rFonts w:eastAsia="NSimSun" w:cs="Arial"/>
          <w:kern w:val="3"/>
          <w:szCs w:val="22"/>
          <w:lang w:eastAsia="zh-CN"/>
        </w:rPr>
        <w:t>powyższym według naszej wiedzy nie ma możliwości przemieszczenia – przeniesienia takiego znaku. Odtworzenia znaku można dokonać, w sytuacji jeżeli jest dokonywana modernizacja osnowy, zlecana przez Starostę. W obszarze opracowania punkty osnowy geodezyjnej występują w bazie danych (BDOS</w:t>
      </w:r>
      <w:r>
        <w:rPr>
          <w:rFonts w:eastAsia="NSimSun" w:cs="Arial"/>
          <w:kern w:val="3"/>
          <w:szCs w:val="22"/>
          <w:lang w:eastAsia="zh-CN"/>
        </w:rPr>
        <w:t>), natomiast z doświadczenia, z </w:t>
      </w:r>
      <w:r w:rsidRPr="00DD206F">
        <w:rPr>
          <w:rFonts w:eastAsia="NSimSun" w:cs="Arial"/>
          <w:kern w:val="3"/>
          <w:szCs w:val="22"/>
          <w:lang w:eastAsia="zh-CN"/>
        </w:rPr>
        <w:t>wysokim prawdopodobieństwem można stwierdzić, że fizycznie nie ma już ich w terenie lub są zniszczone. Z analizy wynika też, że są w miejscach, w których nie dałoby się ich odtworzyć, że względu na infrastrukturę drogową i proj</w:t>
      </w:r>
      <w:r>
        <w:rPr>
          <w:rFonts w:eastAsia="NSimSun" w:cs="Arial"/>
          <w:kern w:val="3"/>
          <w:szCs w:val="22"/>
          <w:lang w:eastAsia="zh-CN"/>
        </w:rPr>
        <w:t>ektowane oraz istniejące sieci.</w:t>
      </w:r>
    </w:p>
    <w:p w:rsidR="007D5977" w:rsidRPr="007D5977" w:rsidRDefault="00DD206F" w:rsidP="00DD206F">
      <w:pPr>
        <w:ind w:firstLine="708"/>
        <w:jc w:val="both"/>
        <w:rPr>
          <w:rFonts w:eastAsia="NSimSun" w:cs="Arial"/>
          <w:kern w:val="3"/>
          <w:szCs w:val="22"/>
          <w:lang w:eastAsia="zh-CN"/>
        </w:rPr>
      </w:pPr>
      <w:r w:rsidRPr="00DD206F">
        <w:rPr>
          <w:rFonts w:eastAsia="NSimSun" w:cs="Arial"/>
          <w:kern w:val="3"/>
          <w:szCs w:val="22"/>
          <w:lang w:eastAsia="zh-CN"/>
        </w:rPr>
        <w:t xml:space="preserve">Jeżeli wystąpiłaby jednak konieczność wznowienia tych punktów, to uprawnienia do tych czynności ma jedynie kilkanaście osób w Polsce, </w:t>
      </w:r>
      <w:r>
        <w:rPr>
          <w:rFonts w:eastAsia="NSimSun" w:cs="Arial"/>
          <w:kern w:val="3"/>
          <w:szCs w:val="22"/>
          <w:lang w:eastAsia="zh-CN"/>
        </w:rPr>
        <w:t>które czynnie wykonują zawód. W </w:t>
      </w:r>
      <w:r w:rsidRPr="00DD206F">
        <w:rPr>
          <w:rFonts w:eastAsia="NSimSun" w:cs="Arial"/>
          <w:kern w:val="3"/>
          <w:szCs w:val="22"/>
          <w:lang w:eastAsia="zh-CN"/>
        </w:rPr>
        <w:t>związku z tym koszt tej czynności znacznie przewyższałby potencjalne korzyści. Osnowa geodezyjna w ostatnim czasie, szczególnie po wejściu w życie nowelizacji Ustawy Prawo geodezyjne i kartograficzne i rozporządzeń (Standardów...), traci na znaczeniu, gdyż pomiar obecnie można wykonywać w dowiązaniu do szczegółów sytuacyjnych I grupy dokładnościowej.</w:t>
      </w:r>
    </w:p>
    <w:p w:rsidR="007D5977" w:rsidRDefault="007D5977">
      <w:pPr>
        <w:rPr>
          <w:rFonts w:eastAsia="NSimSun" w:cs="Arial"/>
          <w:b/>
          <w:kern w:val="3"/>
          <w:szCs w:val="22"/>
          <w:lang w:eastAsia="zh-CN"/>
        </w:rPr>
      </w:pPr>
    </w:p>
    <w:p w:rsidR="00AB1646" w:rsidRPr="00AB1646" w:rsidRDefault="00AB1646">
      <w:pPr>
        <w:rPr>
          <w:rFonts w:cs="Arial"/>
          <w:b/>
          <w:szCs w:val="22"/>
        </w:rPr>
      </w:pPr>
      <w:r w:rsidRPr="00AB1646">
        <w:rPr>
          <w:rFonts w:cs="Arial"/>
          <w:b/>
          <w:szCs w:val="22"/>
        </w:rPr>
        <w:t>Odpowiedź</w:t>
      </w:r>
    </w:p>
    <w:p w:rsidR="00AB1646" w:rsidRDefault="00AB1646" w:rsidP="007D5977">
      <w:pPr>
        <w:jc w:val="both"/>
      </w:pPr>
      <w:r w:rsidRPr="008A48D8">
        <w:rPr>
          <w:rFonts w:cs="Arial"/>
          <w:szCs w:val="22"/>
        </w:rPr>
        <w:t xml:space="preserve">Zamawiający </w:t>
      </w:r>
      <w:r w:rsidR="007D5977" w:rsidRPr="008A48D8">
        <w:rPr>
          <w:rFonts w:cs="Arial"/>
          <w:szCs w:val="22"/>
        </w:rPr>
        <w:t xml:space="preserve">odstępuje od przeniesienia </w:t>
      </w:r>
      <w:r w:rsidR="008A48D8">
        <w:rPr>
          <w:rFonts w:cs="Arial"/>
          <w:szCs w:val="22"/>
        </w:rPr>
        <w:t>punktów</w:t>
      </w:r>
      <w:r w:rsidR="007D5977" w:rsidRPr="008A48D8">
        <w:rPr>
          <w:rFonts w:cs="Arial"/>
          <w:szCs w:val="22"/>
        </w:rPr>
        <w:t xml:space="preserve"> osnowy geodezyjnej. Podczas prac geodezyjnych nal</w:t>
      </w:r>
      <w:r w:rsidR="008A48D8">
        <w:rPr>
          <w:rFonts w:cs="Arial"/>
          <w:szCs w:val="22"/>
        </w:rPr>
        <w:t>eży zinwentaryzować istniejące punkty</w:t>
      </w:r>
      <w:r w:rsidR="00DD206F" w:rsidRPr="008A48D8">
        <w:rPr>
          <w:rFonts w:cs="Arial"/>
          <w:szCs w:val="22"/>
        </w:rPr>
        <w:t xml:space="preserve"> i zabezpieczyć w miarę</w:t>
      </w:r>
      <w:r w:rsidR="007D5977" w:rsidRPr="008A48D8">
        <w:rPr>
          <w:rFonts w:cs="Arial"/>
          <w:szCs w:val="22"/>
        </w:rPr>
        <w:t xml:space="preserve"> możliw</w:t>
      </w:r>
      <w:r w:rsidR="00DD206F" w:rsidRPr="008A48D8">
        <w:rPr>
          <w:rFonts w:cs="Arial"/>
          <w:szCs w:val="22"/>
        </w:rPr>
        <w:t>ości</w:t>
      </w:r>
      <w:r w:rsidR="007D5977" w:rsidRPr="008A48D8">
        <w:rPr>
          <w:rFonts w:cs="Arial"/>
          <w:szCs w:val="22"/>
        </w:rPr>
        <w:t>. Wykonując roboty budowlane należy zachować ostrożność aby ich trwale nie zniszczyć.</w:t>
      </w:r>
    </w:p>
    <w:p w:rsidR="00AB1646" w:rsidRDefault="00AB1646"/>
    <w:p w:rsidR="007E21A5" w:rsidRDefault="007E21A5" w:rsidP="00AB1646">
      <w:pPr>
        <w:ind w:firstLine="708"/>
        <w:jc w:val="both"/>
        <w:rPr>
          <w:rFonts w:cs="Arial"/>
          <w:szCs w:val="22"/>
        </w:rPr>
      </w:pPr>
      <w:r w:rsidRPr="004A4862">
        <w:rPr>
          <w:rFonts w:cs="Arial"/>
          <w:szCs w:val="22"/>
        </w:rPr>
        <w:t>Powyższe odpowiedzi stanowią integralną część Specyfikacj</w:t>
      </w:r>
      <w:r>
        <w:rPr>
          <w:rFonts w:cs="Arial"/>
          <w:szCs w:val="22"/>
        </w:rPr>
        <w:t>i Istotnych Warunków Zamówienia</w:t>
      </w:r>
      <w:r w:rsidR="00AF67F3">
        <w:rPr>
          <w:rFonts w:cs="Arial"/>
          <w:szCs w:val="22"/>
        </w:rPr>
        <w:t xml:space="preserve"> i nie prowadzą do </w:t>
      </w:r>
      <w:r w:rsidR="008A48D8">
        <w:rPr>
          <w:rFonts w:cs="Arial"/>
          <w:szCs w:val="22"/>
        </w:rPr>
        <w:t xml:space="preserve">istotnej </w:t>
      </w:r>
      <w:r w:rsidR="00AF67F3">
        <w:rPr>
          <w:rFonts w:cs="Arial"/>
          <w:szCs w:val="22"/>
        </w:rPr>
        <w:t>zmiany treści SIWZ, an</w:t>
      </w:r>
      <w:r w:rsidR="008A48D8">
        <w:rPr>
          <w:rFonts w:cs="Arial"/>
          <w:szCs w:val="22"/>
        </w:rPr>
        <w:t>i zmiany ogłoszenia o </w:t>
      </w:r>
      <w:r w:rsidR="005065C8">
        <w:rPr>
          <w:rFonts w:cs="Arial"/>
          <w:szCs w:val="22"/>
        </w:rPr>
        <w:t>zamówieniu,</w:t>
      </w:r>
      <w:r w:rsidR="008008DD">
        <w:rPr>
          <w:rFonts w:cs="Arial"/>
          <w:szCs w:val="22"/>
        </w:rPr>
        <w:t xml:space="preserve"> ani </w:t>
      </w:r>
      <w:r w:rsidR="00AF67F3">
        <w:rPr>
          <w:rFonts w:cs="Arial"/>
          <w:szCs w:val="22"/>
        </w:rPr>
        <w:t>zmiany terminu składania i otwarcia ofert.</w:t>
      </w:r>
    </w:p>
    <w:p w:rsidR="00C237B2" w:rsidRDefault="00C237B2" w:rsidP="00C237B2">
      <w:pPr>
        <w:jc w:val="both"/>
        <w:rPr>
          <w:rFonts w:cs="Arial"/>
          <w:szCs w:val="22"/>
        </w:rPr>
      </w:pPr>
    </w:p>
    <w:p w:rsidR="00C237B2" w:rsidRDefault="00C237B2" w:rsidP="00C237B2">
      <w:pPr>
        <w:jc w:val="both"/>
        <w:rPr>
          <w:rFonts w:cs="Arial"/>
          <w:szCs w:val="22"/>
        </w:rPr>
      </w:pPr>
    </w:p>
    <w:p w:rsidR="00C237B2" w:rsidRDefault="00C237B2" w:rsidP="00C237B2">
      <w:pPr>
        <w:jc w:val="both"/>
        <w:rPr>
          <w:rFonts w:cs="Arial"/>
          <w:szCs w:val="22"/>
        </w:rPr>
      </w:pPr>
    </w:p>
    <w:p w:rsidR="00C237B2" w:rsidRDefault="00C237B2" w:rsidP="00C237B2">
      <w:pPr>
        <w:jc w:val="both"/>
        <w:rPr>
          <w:rFonts w:cs="Arial"/>
          <w:szCs w:val="22"/>
        </w:rPr>
      </w:pPr>
    </w:p>
    <w:p w:rsidR="00C237B2" w:rsidRDefault="00C237B2" w:rsidP="00C237B2">
      <w:pPr>
        <w:jc w:val="both"/>
        <w:rPr>
          <w:rFonts w:cs="Arial"/>
          <w:szCs w:val="22"/>
        </w:rPr>
      </w:pPr>
    </w:p>
    <w:p w:rsidR="00C237B2" w:rsidRDefault="00C237B2" w:rsidP="00C237B2">
      <w:pPr>
        <w:jc w:val="both"/>
        <w:rPr>
          <w:rFonts w:eastAsiaTheme="minorHAnsi" w:cs="Arial"/>
          <w:b/>
          <w:kern w:val="0"/>
          <w:sz w:val="18"/>
          <w:szCs w:val="18"/>
          <w:u w:val="single"/>
          <w:lang w:eastAsia="en-US" w:bidi="ar-SA"/>
        </w:rPr>
      </w:pPr>
    </w:p>
    <w:p w:rsidR="00C237B2" w:rsidRDefault="00C237B2" w:rsidP="00C237B2">
      <w:pPr>
        <w:jc w:val="both"/>
        <w:rPr>
          <w:rFonts w:eastAsiaTheme="minorHAnsi" w:cs="Arial"/>
          <w:b/>
          <w:kern w:val="0"/>
          <w:sz w:val="18"/>
          <w:szCs w:val="18"/>
          <w:u w:val="single"/>
          <w:lang w:eastAsia="en-US" w:bidi="ar-SA"/>
        </w:rPr>
      </w:pPr>
    </w:p>
    <w:p w:rsidR="00C237B2" w:rsidRPr="00C237B2" w:rsidRDefault="00C237B2" w:rsidP="00C237B2">
      <w:pPr>
        <w:jc w:val="both"/>
        <w:rPr>
          <w:rFonts w:eastAsiaTheme="minorHAnsi" w:cs="Arial"/>
          <w:b/>
          <w:kern w:val="0"/>
          <w:sz w:val="18"/>
          <w:szCs w:val="18"/>
          <w:u w:val="single"/>
          <w:lang w:eastAsia="en-US" w:bidi="ar-SA"/>
        </w:rPr>
      </w:pPr>
      <w:r w:rsidRPr="00C237B2">
        <w:rPr>
          <w:rFonts w:eastAsiaTheme="minorHAnsi" w:cs="Arial"/>
          <w:b/>
          <w:kern w:val="0"/>
          <w:sz w:val="18"/>
          <w:szCs w:val="18"/>
          <w:u w:val="single"/>
          <w:lang w:eastAsia="en-US" w:bidi="ar-SA"/>
        </w:rPr>
        <w:t>Załączniki:</w:t>
      </w:r>
    </w:p>
    <w:p w:rsidR="00C237B2" w:rsidRPr="00C237B2" w:rsidRDefault="00C237B2" w:rsidP="00C237B2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 w:cs="Arial"/>
          <w:sz w:val="18"/>
          <w:szCs w:val="18"/>
          <w:lang w:eastAsia="en-US" w:bidi="en-US"/>
        </w:rPr>
      </w:pPr>
      <w:r w:rsidRPr="00C237B2">
        <w:rPr>
          <w:rFonts w:eastAsia="Calibri" w:cs="Arial"/>
          <w:sz w:val="18"/>
          <w:szCs w:val="18"/>
          <w:lang w:eastAsia="en-US" w:bidi="en-US"/>
        </w:rPr>
        <w:t xml:space="preserve">schemat szafki </w:t>
      </w:r>
      <w:r>
        <w:rPr>
          <w:rFonts w:eastAsia="Calibri" w:cs="Arial"/>
          <w:sz w:val="18"/>
          <w:szCs w:val="18"/>
          <w:lang w:eastAsia="en-US" w:bidi="en-US"/>
        </w:rPr>
        <w:t xml:space="preserve">oświetleniowej - </w:t>
      </w:r>
      <w:r w:rsidRPr="00C237B2">
        <w:rPr>
          <w:rFonts w:eastAsia="Calibri" w:cs="Arial"/>
          <w:sz w:val="18"/>
          <w:szCs w:val="18"/>
          <w:lang w:eastAsia="en-US" w:bidi="en-US"/>
        </w:rPr>
        <w:t>Meblowa</w:t>
      </w:r>
    </w:p>
    <w:p w:rsidR="00C237B2" w:rsidRPr="00C237B2" w:rsidRDefault="00C237B2" w:rsidP="00C237B2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 w:cs="Arial"/>
          <w:sz w:val="18"/>
          <w:szCs w:val="18"/>
          <w:lang w:eastAsia="en-US" w:bidi="en-US"/>
        </w:rPr>
      </w:pPr>
      <w:r w:rsidRPr="00C237B2">
        <w:rPr>
          <w:rFonts w:eastAsia="Calibri" w:cs="Arial"/>
          <w:sz w:val="18"/>
          <w:szCs w:val="18"/>
          <w:lang w:eastAsia="en-US" w:bidi="en-US"/>
        </w:rPr>
        <w:t xml:space="preserve">schemat szafki </w:t>
      </w:r>
      <w:r>
        <w:rPr>
          <w:rFonts w:eastAsia="Calibri" w:cs="Arial"/>
          <w:sz w:val="18"/>
          <w:szCs w:val="18"/>
          <w:lang w:eastAsia="en-US" w:bidi="en-US"/>
        </w:rPr>
        <w:t>oświetleniowej</w:t>
      </w:r>
      <w:r>
        <w:rPr>
          <w:rFonts w:eastAsia="Calibri" w:cs="Arial"/>
          <w:sz w:val="18"/>
          <w:szCs w:val="18"/>
          <w:lang w:eastAsia="en-US" w:bidi="en-US"/>
        </w:rPr>
        <w:t xml:space="preserve"> - Jaworowa</w:t>
      </w:r>
    </w:p>
    <w:p w:rsidR="00C237B2" w:rsidRDefault="00C237B2" w:rsidP="00C237B2">
      <w:pPr>
        <w:jc w:val="both"/>
      </w:pPr>
    </w:p>
    <w:sectPr w:rsidR="00C237B2" w:rsidSect="002008E3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A9" w:rsidRDefault="008B24A9" w:rsidP="005065C8">
      <w:r>
        <w:separator/>
      </w:r>
    </w:p>
  </w:endnote>
  <w:endnote w:type="continuationSeparator" w:id="0">
    <w:p w:rsidR="008B24A9" w:rsidRDefault="008B24A9" w:rsidP="005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465807"/>
      <w:docPartObj>
        <w:docPartGallery w:val="Page Numbers (Bottom of Page)"/>
        <w:docPartUnique/>
      </w:docPartObj>
    </w:sdtPr>
    <w:sdtEndPr/>
    <w:sdtContent>
      <w:p w:rsidR="00E366FE" w:rsidRDefault="00E366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EC">
          <w:rPr>
            <w:noProof/>
          </w:rPr>
          <w:t>2</w:t>
        </w:r>
        <w:r>
          <w:fldChar w:fldCharType="end"/>
        </w:r>
      </w:p>
    </w:sdtContent>
  </w:sdt>
  <w:p w:rsidR="002107FC" w:rsidRDefault="00210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A9" w:rsidRDefault="008B24A9" w:rsidP="005065C8">
      <w:r>
        <w:separator/>
      </w:r>
    </w:p>
  </w:footnote>
  <w:footnote w:type="continuationSeparator" w:id="0">
    <w:p w:rsidR="008B24A9" w:rsidRDefault="008B24A9" w:rsidP="0050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1ED"/>
    <w:multiLevelType w:val="hybridMultilevel"/>
    <w:tmpl w:val="2DC6819A"/>
    <w:lvl w:ilvl="0" w:tplc="4EF0DD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94544"/>
    <w:multiLevelType w:val="hybridMultilevel"/>
    <w:tmpl w:val="EC7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A5"/>
    <w:rsid w:val="0000103A"/>
    <w:rsid w:val="000509CF"/>
    <w:rsid w:val="0006085A"/>
    <w:rsid w:val="000E7545"/>
    <w:rsid w:val="0010632C"/>
    <w:rsid w:val="001D5E65"/>
    <w:rsid w:val="002008E3"/>
    <w:rsid w:val="002107FC"/>
    <w:rsid w:val="002E3B43"/>
    <w:rsid w:val="003E08E6"/>
    <w:rsid w:val="005065C8"/>
    <w:rsid w:val="0055121C"/>
    <w:rsid w:val="005C457E"/>
    <w:rsid w:val="00636963"/>
    <w:rsid w:val="006666CF"/>
    <w:rsid w:val="007D5977"/>
    <w:rsid w:val="007E21A5"/>
    <w:rsid w:val="008008DD"/>
    <w:rsid w:val="0081088D"/>
    <w:rsid w:val="008A0F60"/>
    <w:rsid w:val="008A48D8"/>
    <w:rsid w:val="008B24A9"/>
    <w:rsid w:val="00A35C16"/>
    <w:rsid w:val="00AB1646"/>
    <w:rsid w:val="00AF67F3"/>
    <w:rsid w:val="00C021AC"/>
    <w:rsid w:val="00C237B2"/>
    <w:rsid w:val="00D56BFE"/>
    <w:rsid w:val="00DA4F2D"/>
    <w:rsid w:val="00DA7A1E"/>
    <w:rsid w:val="00DB15E9"/>
    <w:rsid w:val="00DD1AEC"/>
    <w:rsid w:val="00DD206F"/>
    <w:rsid w:val="00E366FE"/>
    <w:rsid w:val="00E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F27B-59A5-4592-8A65-8F01BD0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A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21A5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E21A5"/>
    <w:pPr>
      <w:spacing w:after="200" w:line="252" w:lineRule="auto"/>
      <w:ind w:left="720"/>
    </w:pPr>
    <w:rPr>
      <w:rFonts w:ascii="Cambria" w:eastAsia="Calibri" w:hAnsi="Cambria" w:cs="Times New Roman"/>
      <w:szCs w:val="22"/>
      <w:lang w:eastAsia="en-US" w:bidi="en-US"/>
    </w:rPr>
  </w:style>
  <w:style w:type="paragraph" w:customStyle="1" w:styleId="Standard">
    <w:name w:val="Standard"/>
    <w:rsid w:val="007E21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7E21A5"/>
    <w:rPr>
      <w:rFonts w:ascii="Cambria" w:eastAsia="Calibri" w:hAnsi="Cambria" w:cs="Times New Roman"/>
      <w:kern w:val="1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0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5C8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6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5C8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8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E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Jaroslaw Sulkowski</cp:lastModifiedBy>
  <cp:revision>10</cp:revision>
  <cp:lastPrinted>2020-11-16T12:54:00Z</cp:lastPrinted>
  <dcterms:created xsi:type="dcterms:W3CDTF">2020-11-10T10:32:00Z</dcterms:created>
  <dcterms:modified xsi:type="dcterms:W3CDTF">2020-11-16T12:55:00Z</dcterms:modified>
</cp:coreProperties>
</file>