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6"/>
        <w:gridCol w:w="7963"/>
      </w:tblGrid>
      <w:tr w:rsidR="00B90311" w:rsidRPr="00445EC9" w14:paraId="2BE73094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1564991C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  <w:hideMark/>
          </w:tcPr>
          <w:p w14:paraId="4F5285E3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Charakterystyka (wymagania minimalne)</w:t>
            </w:r>
          </w:p>
        </w:tc>
      </w:tr>
      <w:tr w:rsidR="00B90311" w:rsidRPr="00AE6392" w14:paraId="4D889CA6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72CF" w14:textId="0BE37953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702B" w14:textId="77777777" w:rsidR="007176E8" w:rsidRPr="00445EC9" w:rsidRDefault="007176E8" w:rsidP="007176E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Obudowa </w:t>
            </w:r>
            <w:proofErr w:type="spellStart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rack</w:t>
            </w:r>
            <w:proofErr w:type="spellEnd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i wysuwanie serwera do celów serwisowych oraz organizatorem do kabli. </w:t>
            </w:r>
          </w:p>
          <w:p w14:paraId="2C016B92" w14:textId="2840E44F" w:rsidR="007176E8" w:rsidRPr="00445EC9" w:rsidRDefault="007176E8" w:rsidP="00717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Obudowa z możliwością wyposażenia w </w:t>
            </w:r>
            <w:r w:rsidRPr="00445EC9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</w:tr>
      <w:tr w:rsidR="00B90311" w:rsidRPr="00AE6392" w14:paraId="6C8A9C7F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9A1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C97D" w14:textId="77777777" w:rsidR="001700D7" w:rsidRPr="00445EC9" w:rsidRDefault="001700D7" w:rsidP="00DD434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Płyta główna z możliwością zainstalowania do dwóch procesorów. Płyta główna musi być zaprojektowana przez producenta serwera i oznaczona jego znakiem firmowym.</w:t>
            </w:r>
          </w:p>
        </w:tc>
      </w:tr>
      <w:tr w:rsidR="00B90311" w:rsidRPr="00AE6392" w14:paraId="4315A4EF" w14:textId="77777777" w:rsidTr="00DD4349">
        <w:trPr>
          <w:trHeight w:val="7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970B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Chipset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51D9" w14:textId="77777777" w:rsidR="001700D7" w:rsidRPr="00445EC9" w:rsidRDefault="001700D7" w:rsidP="00DD4349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Cs/>
                <w:sz w:val="20"/>
                <w:szCs w:val="20"/>
                <w:lang w:val="pl-PL"/>
              </w:rPr>
              <w:t>Dedykowany przez producenta procesora do pracy w serwerach dwuprocesorowych.</w:t>
            </w:r>
          </w:p>
        </w:tc>
      </w:tr>
      <w:tr w:rsidR="00B90311" w:rsidRPr="00AE6392" w14:paraId="725E9D20" w14:textId="77777777" w:rsidTr="00DD4349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3A05" w14:textId="2E875C24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Procesor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9973" w14:textId="69494E60" w:rsidR="007176E8" w:rsidRPr="00445EC9" w:rsidRDefault="007176E8" w:rsidP="007176E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Zainstalowane dwa procesory min.</w:t>
            </w:r>
            <w:r w:rsidR="00486FF4"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0113E" w:rsidRPr="00445EC9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-rdzeniowe, min. </w:t>
            </w:r>
            <w:r w:rsidR="00672E25" w:rsidRPr="00445EC9">
              <w:rPr>
                <w:rFonts w:ascii="Arial" w:hAnsi="Arial" w:cs="Arial"/>
                <w:sz w:val="20"/>
                <w:szCs w:val="20"/>
                <w:lang w:val="pl-PL"/>
              </w:rPr>
              <w:t>3.2G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Hz, klasy x86 dedykowane do pracy z zaoferowanym serwerem umożliwiające osiągnięcie wyniku min. </w:t>
            </w:r>
            <w:r w:rsidR="00C65036"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160 </w:t>
            </w:r>
            <w:r w:rsidR="00A87E3E"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punktów 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w teście SPECrate2017_</w:t>
            </w:r>
            <w:r w:rsidR="001A40FE" w:rsidRPr="00445EC9">
              <w:rPr>
                <w:rFonts w:ascii="Arial" w:hAnsi="Arial" w:cs="Arial"/>
                <w:sz w:val="20"/>
                <w:szCs w:val="20"/>
                <w:lang w:val="pl-PL"/>
              </w:rPr>
              <w:t>fp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_base,</w:t>
            </w:r>
            <w:r w:rsidRPr="00445EC9">
              <w:rPr>
                <w:rFonts w:ascii="Arial" w:hAnsi="Arial" w:cs="Arial"/>
                <w:lang w:val="pl-PL"/>
              </w:rPr>
              <w:t xml:space="preserve"> 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dostępnym na stronie www.spec.org dla konfiguracji dwuprocesorowej.</w:t>
            </w:r>
          </w:p>
        </w:tc>
      </w:tr>
      <w:tr w:rsidR="00B90311" w:rsidRPr="00445EC9" w14:paraId="3DE95BEE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D85A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B4C2" w14:textId="2839EB23" w:rsidR="001700D7" w:rsidRPr="00445EC9" w:rsidRDefault="001700D7" w:rsidP="00DD434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Minimum 256GB DDR4 RDIMM 3200MT/s, na płycie głównej powinno znajdować się minimum 16 slotów przeznaczone do instalacji pamięci. Płyta główna powinna obsługiwać do </w:t>
            </w:r>
            <w:r w:rsidR="00E01DC8" w:rsidRPr="00445EC9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TB pamięci RAM.</w:t>
            </w:r>
          </w:p>
        </w:tc>
      </w:tr>
      <w:tr w:rsidR="00B90311" w:rsidRPr="00445EC9" w14:paraId="5072A49C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910D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Funkcjonalność pamięci 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8685" w14:textId="77777777" w:rsidR="001700D7" w:rsidRPr="00445EC9" w:rsidRDefault="001700D7" w:rsidP="00DD4349">
            <w:pPr>
              <w:rPr>
                <w:rFonts w:ascii="Arial" w:hAnsi="Arial" w:cs="Arial"/>
                <w:sz w:val="20"/>
                <w:szCs w:val="20"/>
              </w:rPr>
            </w:pPr>
            <w:r w:rsidRPr="00445EC9">
              <w:rPr>
                <w:rFonts w:ascii="Arial" w:hAnsi="Arial" w:cs="Arial"/>
                <w:sz w:val="20"/>
                <w:szCs w:val="20"/>
              </w:rPr>
              <w:t xml:space="preserve">Memory Rank Sparing, Memory Mirror, Failed DIMM isolation, Memory Address Parity Protection, Memory Thermal Throttling </w:t>
            </w:r>
          </w:p>
        </w:tc>
      </w:tr>
      <w:tr w:rsidR="00B90311" w:rsidRPr="00AE6392" w14:paraId="02C971FE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DE18" w14:textId="70C4A9F5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Gniazda PCI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2E5E" w14:textId="6AC997F7" w:rsidR="007176E8" w:rsidRPr="00445EC9" w:rsidRDefault="007176E8" w:rsidP="007176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minimum </w:t>
            </w:r>
            <w:r w:rsidR="0049245C"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trzy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sloty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PCIe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x16 generacji 4 </w:t>
            </w:r>
          </w:p>
        </w:tc>
      </w:tr>
      <w:tr w:rsidR="00B90311" w:rsidRPr="00AE6392" w14:paraId="3E6258F3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C657" w14:textId="21F886FD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Interfejsy sieciowe/FC/SAS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F21" w14:textId="5F72DB89" w:rsidR="007176E8" w:rsidRPr="00445EC9" w:rsidRDefault="007176E8" w:rsidP="007176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Wbudowane min. </w:t>
            </w:r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2 interfejsy sieciowe 1Gb Ethernet w standardzie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oraz 4 interfejsy sieciowe 10Gb Ethernet w standardzie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BaseT</w:t>
            </w:r>
            <w:proofErr w:type="spellEnd"/>
          </w:p>
        </w:tc>
      </w:tr>
      <w:tr w:rsidR="00B90311" w:rsidRPr="00AE6392" w14:paraId="5DF7CDB7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B3273" w14:textId="5DCED5A5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Dyski twarde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E48E" w14:textId="77777777" w:rsidR="007176E8" w:rsidRPr="00445EC9" w:rsidRDefault="007176E8" w:rsidP="007176E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>Możliwość</w:t>
            </w:r>
            <w:proofErr w:type="spellEnd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>instalacji</w:t>
            </w:r>
            <w:proofErr w:type="spellEnd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>dysków</w:t>
            </w:r>
            <w:proofErr w:type="spellEnd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SAS, SATA, SSD</w:t>
            </w:r>
          </w:p>
          <w:p w14:paraId="2BF20097" w14:textId="29102B94" w:rsidR="007176E8" w:rsidRPr="00445EC9" w:rsidRDefault="007176E8" w:rsidP="007176E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>Zainstalowane</w:t>
            </w:r>
            <w:proofErr w:type="spellEnd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8577DF" w:rsidRPr="00445EC9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>dysk</w:t>
            </w:r>
            <w:r w:rsidR="00DF0967" w:rsidRPr="00445EC9">
              <w:rPr>
                <w:rFonts w:ascii="Arial" w:hAnsi="Arial" w:cs="Arial"/>
                <w:sz w:val="20"/>
                <w:szCs w:val="20"/>
                <w:lang w:val="de-DE"/>
              </w:rPr>
              <w:t>ów</w:t>
            </w:r>
            <w:proofErr w:type="spellEnd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SSD </w:t>
            </w:r>
            <w:proofErr w:type="spellStart"/>
            <w:r w:rsidR="008577DF" w:rsidRPr="00445EC9">
              <w:rPr>
                <w:rFonts w:ascii="Arial" w:hAnsi="Arial" w:cs="Arial"/>
                <w:sz w:val="20"/>
                <w:szCs w:val="20"/>
                <w:lang w:val="de-DE"/>
              </w:rPr>
              <w:t>vSAS</w:t>
            </w:r>
            <w:proofErr w:type="spellEnd"/>
            <w:r w:rsidR="008577DF"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12Gbit/s</w:t>
            </w:r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>pojemności</w:t>
            </w:r>
            <w:proofErr w:type="spellEnd"/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min. </w:t>
            </w:r>
            <w:r w:rsidR="00A15D42" w:rsidRPr="00445EC9">
              <w:rPr>
                <w:rFonts w:ascii="Arial" w:hAnsi="Arial" w:cs="Arial"/>
                <w:sz w:val="20"/>
                <w:szCs w:val="20"/>
                <w:lang w:val="de-DE"/>
              </w:rPr>
              <w:t>960</w:t>
            </w:r>
            <w:r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GB, 2,5“ </w:t>
            </w:r>
            <w:proofErr w:type="spellStart"/>
            <w:r w:rsidR="00DF0967" w:rsidRPr="00445EC9">
              <w:rPr>
                <w:rFonts w:ascii="Arial" w:hAnsi="Arial" w:cs="Arial"/>
                <w:sz w:val="20"/>
                <w:szCs w:val="20"/>
                <w:lang w:val="de-DE"/>
              </w:rPr>
              <w:t>umożliwiając</w:t>
            </w:r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>ych</w:t>
            </w:r>
            <w:proofErr w:type="spellEnd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>wymianę</w:t>
            </w:r>
            <w:proofErr w:type="spellEnd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>trakcie</w:t>
            </w:r>
            <w:proofErr w:type="spellEnd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>pracy</w:t>
            </w:r>
            <w:proofErr w:type="spellEnd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>serwera</w:t>
            </w:r>
            <w:proofErr w:type="spellEnd"/>
            <w:r w:rsidR="00415C40" w:rsidRPr="00445EC9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14:paraId="7E0D74FF" w14:textId="7221D3A6" w:rsidR="007176E8" w:rsidRPr="00445EC9" w:rsidRDefault="007176E8" w:rsidP="007176E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zainstalowania dwóch dysków M.2 SATA o pojemności min. 480GB z możliwością konfiguracji RAID 1.</w:t>
            </w:r>
          </w:p>
          <w:p w14:paraId="7B53EEA9" w14:textId="654E5A2A" w:rsidR="007176E8" w:rsidRPr="00445EC9" w:rsidRDefault="007176E8" w:rsidP="007176E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dedykowanego modułu dla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hypervisora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wirtualizacyjnego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, wyposażony w 2 nośniki typu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flash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B90311" w:rsidRPr="00445EC9" w14:paraId="6DFE77EE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0F5D" w14:textId="09E5DD18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Kontroler RAID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61B6" w14:textId="525FA168" w:rsidR="007176E8" w:rsidRPr="00445EC9" w:rsidRDefault="007176E8" w:rsidP="007176E8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Sprzętowy kontroler dyskowy</w:t>
            </w:r>
            <w:r w:rsidRPr="00445EC9">
              <w:rPr>
                <w:rFonts w:ascii="Arial" w:hAnsi="Arial" w:cs="Arial"/>
                <w:color w:val="000000"/>
                <w:sz w:val="20"/>
                <w:lang w:val="pl-PL"/>
              </w:rPr>
              <w:t xml:space="preserve">, posiadający min. 4GB nieulotnej pamięci cache, możliwe konfiguracje poziomów RAID: 0, 1, 5, 6, 10, 50, 60. Wsparcie dla dysków </w:t>
            </w:r>
            <w:proofErr w:type="spellStart"/>
            <w:r w:rsidRPr="00445EC9">
              <w:rPr>
                <w:rFonts w:ascii="Arial" w:hAnsi="Arial" w:cs="Arial"/>
                <w:color w:val="000000"/>
                <w:sz w:val="20"/>
                <w:lang w:val="pl-PL"/>
              </w:rPr>
              <w:t>samoszyfrujących</w:t>
            </w:r>
            <w:proofErr w:type="spellEnd"/>
            <w:r w:rsidRPr="00445EC9">
              <w:rPr>
                <w:rFonts w:ascii="Arial" w:hAnsi="Arial" w:cs="Arial"/>
                <w:color w:val="000000"/>
                <w:sz w:val="20"/>
                <w:lang w:val="pl-PL"/>
              </w:rPr>
              <w:t>.</w:t>
            </w:r>
          </w:p>
        </w:tc>
      </w:tr>
      <w:tr w:rsidR="00B90311" w:rsidRPr="00AE6392" w14:paraId="5790D67E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594F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445EC9">
              <w:rPr>
                <w:rFonts w:ascii="Arial" w:hAnsi="Arial" w:cs="Arial"/>
                <w:b/>
                <w:sz w:val="20"/>
                <w:szCs w:val="20"/>
                <w:lang w:val="de-DE"/>
              </w:rPr>
              <w:t>Wbudowane</w:t>
            </w:r>
            <w:proofErr w:type="spellEnd"/>
            <w:r w:rsidRPr="00445EC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45EC9">
              <w:rPr>
                <w:rFonts w:ascii="Arial" w:hAnsi="Arial" w:cs="Arial"/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023E" w14:textId="25D3BCB5" w:rsidR="001700D7" w:rsidRPr="00445EC9" w:rsidRDefault="00443457" w:rsidP="00DD434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3</w:t>
            </w:r>
            <w:r w:rsidR="001700D7" w:rsidRPr="00445EC9">
              <w:rPr>
                <w:rFonts w:ascii="Arial" w:hAnsi="Arial" w:cs="Arial"/>
                <w:sz w:val="20"/>
                <w:lang w:val="pl-PL"/>
              </w:rPr>
              <w:t xml:space="preserve"> x USB z czego nie mniej niż 1x USB </w:t>
            </w:r>
            <w:r w:rsidR="007647D4" w:rsidRPr="00445EC9">
              <w:rPr>
                <w:rFonts w:ascii="Arial" w:hAnsi="Arial" w:cs="Arial"/>
                <w:sz w:val="20"/>
                <w:lang w:val="pl-PL"/>
              </w:rPr>
              <w:t>3</w:t>
            </w:r>
            <w:r w:rsidR="001700D7" w:rsidRPr="00445EC9">
              <w:rPr>
                <w:rFonts w:ascii="Arial" w:hAnsi="Arial" w:cs="Arial"/>
                <w:sz w:val="20"/>
                <w:lang w:val="pl-PL"/>
              </w:rPr>
              <w:t>.0, 2xVGA z czego jeden na panelu przednim.</w:t>
            </w:r>
          </w:p>
        </w:tc>
      </w:tr>
      <w:tr w:rsidR="00B90311" w:rsidRPr="00AE6392" w14:paraId="02145621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9509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5E61" w14:textId="77777777" w:rsidR="001700D7" w:rsidRPr="00445EC9" w:rsidRDefault="001700D7" w:rsidP="00DD434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Zintegrowana karta graficzna umożliwiająca wyświetlenie rozdzielczości min. 1920x1200</w:t>
            </w:r>
          </w:p>
        </w:tc>
      </w:tr>
      <w:tr w:rsidR="00B90311" w:rsidRPr="00AE6392" w14:paraId="1472961E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EDE1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Zasilacze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ABED" w14:textId="77777777" w:rsidR="001700D7" w:rsidRPr="00445EC9" w:rsidRDefault="001700D7" w:rsidP="00DD434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Redundantne, Hot-Plug min. 800W każdy.</w:t>
            </w:r>
          </w:p>
        </w:tc>
      </w:tr>
      <w:tr w:rsidR="00B90311" w:rsidRPr="00445EC9" w14:paraId="2B2B8A9F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A969" w14:textId="0939E2FB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Bezpieczeństwo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D411" w14:textId="77777777" w:rsidR="007176E8" w:rsidRPr="00445EC9" w:rsidRDefault="007176E8" w:rsidP="007176E8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Zatrzask górnej pokrywy oraz blokada na ramce </w:t>
            </w:r>
            <w:proofErr w:type="spellStart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panela</w:t>
            </w:r>
            <w:proofErr w:type="spellEnd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zamykana na klucz służąca do ochrony nieautoryzowanego dostępu do dysków twardych. </w:t>
            </w:r>
          </w:p>
          <w:p w14:paraId="3D1D526A" w14:textId="77777777" w:rsidR="007176E8" w:rsidRPr="00445EC9" w:rsidRDefault="007176E8" w:rsidP="007176E8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Możliwość wyłączenia w BIOS funkcji przycisku zasilania. </w:t>
            </w:r>
          </w:p>
          <w:p w14:paraId="28EF75DD" w14:textId="77777777" w:rsidR="007176E8" w:rsidRPr="00445EC9" w:rsidRDefault="007176E8" w:rsidP="007176E8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14:paraId="05897276" w14:textId="77777777" w:rsidR="007176E8" w:rsidRPr="00445EC9" w:rsidRDefault="007176E8" w:rsidP="007176E8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Wbudowany czujnik otwarcia obudowy współpracujący z BIOS i kartą zarządzającą. </w:t>
            </w:r>
          </w:p>
          <w:p w14:paraId="3BFE706B" w14:textId="75617A72" w:rsidR="007176E8" w:rsidRPr="00445EC9" w:rsidRDefault="007176E8" w:rsidP="00FE7C56">
            <w:pPr>
              <w:pStyle w:val="Akapitzlist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Moduł TPM 2.0 </w:t>
            </w:r>
          </w:p>
        </w:tc>
      </w:tr>
      <w:tr w:rsidR="00B90311" w:rsidRPr="00AE6392" w14:paraId="48757342" w14:textId="77777777" w:rsidTr="00FE49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AFC2" w14:textId="3AC754F5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Diagnostyka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6F94" w14:textId="3BADB190" w:rsidR="007176E8" w:rsidRPr="00445EC9" w:rsidRDefault="00FE7C56" w:rsidP="007176E8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Cs/>
                <w:sz w:val="20"/>
                <w:szCs w:val="20"/>
                <w:lang w:val="pl-PL"/>
              </w:rPr>
              <w:t>P</w:t>
            </w:r>
            <w:r w:rsidR="007176E8" w:rsidRPr="00445EC9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anel LCD umieszczony na froncie obudowy, umożliwiający wyświetlenie informacji o stanie procesora, pamięci, dysków, </w:t>
            </w:r>
            <w:proofErr w:type="spellStart"/>
            <w:r w:rsidR="007176E8" w:rsidRPr="00445EC9">
              <w:rPr>
                <w:rFonts w:ascii="Arial" w:hAnsi="Arial" w:cs="Arial"/>
                <w:bCs/>
                <w:sz w:val="20"/>
                <w:szCs w:val="20"/>
                <w:lang w:val="pl-PL"/>
              </w:rPr>
              <w:t>BIOS’u</w:t>
            </w:r>
            <w:proofErr w:type="spellEnd"/>
            <w:r w:rsidR="007176E8" w:rsidRPr="00445EC9">
              <w:rPr>
                <w:rFonts w:ascii="Arial" w:hAnsi="Arial" w:cs="Arial"/>
                <w:bCs/>
                <w:sz w:val="20"/>
                <w:szCs w:val="20"/>
                <w:lang w:val="pl-PL"/>
              </w:rPr>
              <w:t>, zasilaniu oraz temperaturze.</w:t>
            </w:r>
          </w:p>
        </w:tc>
      </w:tr>
      <w:tr w:rsidR="00B90311" w:rsidRPr="00AE6392" w14:paraId="1DF42090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736E" w14:textId="371F62FD" w:rsidR="007176E8" w:rsidRPr="00445EC9" w:rsidRDefault="007176E8" w:rsidP="007176E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Karta Zarządzania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F9D" w14:textId="77777777" w:rsidR="007176E8" w:rsidRPr="00445EC9" w:rsidRDefault="007176E8" w:rsidP="007176E8">
            <w:p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Niezależna od zainstalowanego na serwerze systemu operacyjnego posiadająca dedykowany port Gigabit Ethernet RJ-45 i umożliwiająca:</w:t>
            </w:r>
          </w:p>
          <w:p w14:paraId="5563AE69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zdalny dostęp do graficznego interfejsu Web karty zarządzającej;</w:t>
            </w:r>
          </w:p>
          <w:p w14:paraId="6C26CAB5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zdalne monitorowanie i informowanie o statusie serwera (m.in. prędkości obrotowej wentylatorów, konfiguracji serwera);</w:t>
            </w:r>
          </w:p>
          <w:p w14:paraId="273B766B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szyfrowane połączenie (TLS) oraz autentykacje i autoryzację użytkownika;</w:t>
            </w:r>
          </w:p>
          <w:p w14:paraId="2F3AB9AB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możliwość podmontowania zdalnych wirtualnych napędów;</w:t>
            </w:r>
          </w:p>
          <w:p w14:paraId="7AF1A3F1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wirtualną konsolę z dostępem do myszy, klawiatury;</w:t>
            </w:r>
          </w:p>
          <w:p w14:paraId="232B580D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proofErr w:type="spellStart"/>
            <w:r w:rsidRPr="00445EC9">
              <w:rPr>
                <w:rFonts w:ascii="Arial" w:hAnsi="Arial" w:cs="Arial"/>
                <w:sz w:val="20"/>
              </w:rPr>
              <w:t>wsparcie</w:t>
            </w:r>
            <w:proofErr w:type="spellEnd"/>
            <w:r w:rsidRPr="00445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5EC9">
              <w:rPr>
                <w:rFonts w:ascii="Arial" w:hAnsi="Arial" w:cs="Arial"/>
                <w:sz w:val="20"/>
              </w:rPr>
              <w:t>dla</w:t>
            </w:r>
            <w:proofErr w:type="spellEnd"/>
            <w:r w:rsidRPr="00445EC9">
              <w:rPr>
                <w:rFonts w:ascii="Arial" w:hAnsi="Arial" w:cs="Arial"/>
                <w:sz w:val="20"/>
              </w:rPr>
              <w:t xml:space="preserve"> IPv6;</w:t>
            </w:r>
          </w:p>
          <w:p w14:paraId="50DDBC2B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proofErr w:type="spellStart"/>
            <w:r w:rsidRPr="00445EC9">
              <w:rPr>
                <w:rFonts w:ascii="Arial" w:hAnsi="Arial" w:cs="Arial"/>
                <w:sz w:val="20"/>
              </w:rPr>
              <w:t>wsparcie</w:t>
            </w:r>
            <w:proofErr w:type="spellEnd"/>
            <w:r w:rsidRPr="00445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5EC9">
              <w:rPr>
                <w:rFonts w:ascii="Arial" w:hAnsi="Arial" w:cs="Arial"/>
                <w:sz w:val="20"/>
              </w:rPr>
              <w:t>dla</w:t>
            </w:r>
            <w:proofErr w:type="spellEnd"/>
            <w:r w:rsidRPr="00445EC9">
              <w:rPr>
                <w:rFonts w:ascii="Arial" w:hAnsi="Arial" w:cs="Arial"/>
                <w:sz w:val="20"/>
              </w:rPr>
              <w:t xml:space="preserve"> WSMAN (Web Service for Management); SNMP; IPMI2.0, SSH, Redfish;</w:t>
            </w:r>
          </w:p>
          <w:p w14:paraId="6588A878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możliwość zdalnego monitorowania w czasie rzeczywistym poboru prądu przez serwer;</w:t>
            </w:r>
          </w:p>
          <w:p w14:paraId="46B3DE2F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możliwość zdalnego ustawienia limitu poboru prądu przez konkretny serwer;</w:t>
            </w:r>
          </w:p>
          <w:p w14:paraId="7D5F7BB3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proofErr w:type="spellStart"/>
            <w:r w:rsidRPr="00445EC9">
              <w:rPr>
                <w:rFonts w:ascii="Arial" w:hAnsi="Arial" w:cs="Arial"/>
                <w:sz w:val="20"/>
              </w:rPr>
              <w:t>integracja</w:t>
            </w:r>
            <w:proofErr w:type="spellEnd"/>
            <w:r w:rsidRPr="00445EC9">
              <w:rPr>
                <w:rFonts w:ascii="Arial" w:hAnsi="Arial" w:cs="Arial"/>
                <w:sz w:val="20"/>
              </w:rPr>
              <w:t xml:space="preserve"> z Active Directory;</w:t>
            </w:r>
          </w:p>
          <w:p w14:paraId="53197EEF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możliwość obsługi przez dwóch administratorów jednocześnie;</w:t>
            </w:r>
          </w:p>
          <w:p w14:paraId="142768E0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proofErr w:type="spellStart"/>
            <w:r w:rsidRPr="00445EC9">
              <w:rPr>
                <w:rFonts w:ascii="Arial" w:hAnsi="Arial" w:cs="Arial"/>
                <w:sz w:val="20"/>
              </w:rPr>
              <w:t>wsparcie</w:t>
            </w:r>
            <w:proofErr w:type="spellEnd"/>
            <w:r w:rsidRPr="00445EC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45EC9">
              <w:rPr>
                <w:rFonts w:ascii="Arial" w:hAnsi="Arial" w:cs="Arial"/>
                <w:sz w:val="20"/>
              </w:rPr>
              <w:t>dla</w:t>
            </w:r>
            <w:proofErr w:type="spellEnd"/>
            <w:r w:rsidRPr="00445EC9">
              <w:rPr>
                <w:rFonts w:ascii="Arial" w:hAnsi="Arial" w:cs="Arial"/>
                <w:sz w:val="20"/>
              </w:rPr>
              <w:t xml:space="preserve"> dynamic DNS;</w:t>
            </w:r>
          </w:p>
          <w:p w14:paraId="46EF08E1" w14:textId="77777777" w:rsidR="007176E8" w:rsidRPr="00445EC9" w:rsidRDefault="007176E8" w:rsidP="007176E8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wysyłanie do administratora maila z powiadomieniem o awarii lub zmianie konfiguracji sprzętowej.</w:t>
            </w:r>
          </w:p>
          <w:p w14:paraId="26E0ED16" w14:textId="76B41C58" w:rsidR="007176E8" w:rsidRPr="00445EC9" w:rsidRDefault="007176E8" w:rsidP="00805E5F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lang w:val="pl-PL"/>
              </w:rPr>
              <w:t>możliwość bezpośredniego zarządzania poprzez dedykowany port USB na przednim panelu serwera</w:t>
            </w:r>
          </w:p>
        </w:tc>
      </w:tr>
      <w:tr w:rsidR="00B90311" w:rsidRPr="00AE6392" w14:paraId="4E294BD8" w14:textId="77777777" w:rsidTr="00DD4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F74D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Certyfikaty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0749" w14:textId="47A12BCE" w:rsidR="001700D7" w:rsidRPr="00445EC9" w:rsidRDefault="001700D7" w:rsidP="00DD434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Serwer musi być wyprodukowany zgodnie z normą ISO-9001:2015 oraz ISO-14001. </w:t>
            </w: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br/>
              <w:t>Serwer musi posiadać deklarację CE.</w:t>
            </w: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br/>
              <w:t xml:space="preserve">Oferowany serwer musi znajdować się na liście Windows Server </w:t>
            </w:r>
            <w:proofErr w:type="spellStart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Catalog</w:t>
            </w:r>
            <w:proofErr w:type="spellEnd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i posiadać status „</w:t>
            </w:r>
            <w:proofErr w:type="spellStart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Certified</w:t>
            </w:r>
            <w:proofErr w:type="spellEnd"/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for Windows” dla systemów Microsoft Windows 2016, Microsoft Windows 2019</w:t>
            </w:r>
            <w:r w:rsidR="00D75F12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, </w:t>
            </w:r>
            <w:r w:rsidR="00D75F12"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Microsoft Windows Server 2022</w:t>
            </w:r>
          </w:p>
        </w:tc>
      </w:tr>
      <w:tr w:rsidR="00B90311" w:rsidRPr="00AE6392" w14:paraId="75958C43" w14:textId="77777777" w:rsidTr="001E0D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F0CF" w14:textId="21A804F8" w:rsidR="001E0DCE" w:rsidRPr="00445EC9" w:rsidRDefault="001E0DCE" w:rsidP="001E0D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Zainstalowane oprogramowanie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49F" w14:textId="42A9515D" w:rsidR="001E0DCE" w:rsidRPr="00445EC9" w:rsidRDefault="008B1977" w:rsidP="00DD434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Ze względu na konieczność integracji serwera ze środowiskiem wirtualnym </w:t>
            </w:r>
            <w:r w:rsidR="004B3CD2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Zamawiającego</w:t>
            </w: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wymagany jest </w:t>
            </w:r>
            <w:r w:rsidR="00330927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zainstalowany system operacyjny MS Windows Server 2022 Standard z licencjami pokrywającymi </w:t>
            </w:r>
            <w:r w:rsidR="006E0197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wszystkie rdzenie zainstalowanych procesorów i umożliwiające uruchomienie </w:t>
            </w:r>
            <w:r w:rsidR="004B3CD2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do </w:t>
            </w:r>
            <w:r w:rsidR="00B90311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8</w:t>
            </w:r>
            <w:r w:rsidR="004B3CD2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maszyn wirtualnych na dostarczonym serwerze.</w:t>
            </w:r>
          </w:p>
          <w:p w14:paraId="72638054" w14:textId="6F4D341E" w:rsidR="00FA4818" w:rsidRPr="00445EC9" w:rsidRDefault="00805E5F" w:rsidP="00DD434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Z</w:t>
            </w:r>
            <w:r w:rsidR="00FA4818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systemem operacyjnym wymagana jest dostarczenie</w:t>
            </w:r>
            <w:r w:rsidR="002A12A7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</w:t>
            </w:r>
            <w:r w:rsidR="00FA4818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nośników instalacyjnyc</w:t>
            </w:r>
            <w:r w:rsidR="002A12A7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h.</w:t>
            </w:r>
          </w:p>
          <w:p w14:paraId="0EBFF7E4" w14:textId="2CB7E61C" w:rsidR="004B3CD2" w:rsidRPr="00445EC9" w:rsidRDefault="004B3CD2" w:rsidP="00DD4349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Wraz z licencjami</w:t>
            </w:r>
            <w:r w:rsidR="00A73A42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systemu operacyjnego wymagane jest dostarczenie </w:t>
            </w:r>
            <w:r w:rsidR="00641146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130 licencji dostępowych CAL na użytkownika dla </w:t>
            </w:r>
            <w:r w:rsidR="00FA4818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systemu </w:t>
            </w:r>
            <w:r w:rsidR="00641146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Windows Server 2022 </w:t>
            </w:r>
            <w:r w:rsidR="00FA4818" w:rsidRPr="00445EC9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Standard</w:t>
            </w:r>
          </w:p>
        </w:tc>
      </w:tr>
      <w:tr w:rsidR="00B90311" w:rsidRPr="00AE6392" w14:paraId="353118EC" w14:textId="77777777" w:rsidTr="00DD4349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6C85" w14:textId="77777777" w:rsidR="001700D7" w:rsidRPr="00445EC9" w:rsidRDefault="001700D7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Warunki gwarancji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F6E7" w14:textId="0839246F" w:rsidR="007176E8" w:rsidRPr="00445EC9" w:rsidRDefault="001E0DCE" w:rsidP="007176E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Min. 3</w:t>
            </w:r>
            <w:r w:rsidR="007176E8"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lat</w:t>
            </w:r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a</w:t>
            </w:r>
            <w:r w:rsidR="007176E8"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gwarancji producenta, z czasem reakcji do następnego dnia roboczego od przyjęcia zgłoszenia, możliwość zgłaszania awarii 24x7x365 poprzez ogólnopolską linię telefoniczną producenta. </w:t>
            </w:r>
          </w:p>
          <w:p w14:paraId="5724DC20" w14:textId="77777777" w:rsidR="007176E8" w:rsidRPr="00445EC9" w:rsidRDefault="007176E8" w:rsidP="007176E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14:paraId="3C1D9A28" w14:textId="77777777" w:rsidR="007176E8" w:rsidRPr="00445EC9" w:rsidRDefault="007176E8" w:rsidP="007176E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14:paraId="56AFC4E6" w14:textId="77777777" w:rsidR="007176E8" w:rsidRPr="00445EC9" w:rsidRDefault="007176E8" w:rsidP="007176E8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14:paraId="302199A0" w14:textId="77777777" w:rsidR="007176E8" w:rsidRPr="00445EC9" w:rsidRDefault="007176E8" w:rsidP="0071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Możliwość rozszerzenia gwarancji przez producenta do 7 lat.</w:t>
            </w:r>
          </w:p>
          <w:p w14:paraId="140F6273" w14:textId="77777777" w:rsidR="007176E8" w:rsidRPr="00445EC9" w:rsidRDefault="007176E8" w:rsidP="007176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</w:p>
          <w:p w14:paraId="6AFE3481" w14:textId="2D4088A8" w:rsidR="001700D7" w:rsidRPr="00445EC9" w:rsidRDefault="007176E8" w:rsidP="007176E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>mikrokodu</w:t>
            </w:r>
            <w:proofErr w:type="spellEnd"/>
            <w:r w:rsidRPr="00445EC9"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  <w:t xml:space="preserve"> oraz sterowników nawet w przypadku wygaśnięcia gwarancji serwera</w:t>
            </w:r>
          </w:p>
        </w:tc>
      </w:tr>
      <w:tr w:rsidR="00196FA7" w:rsidRPr="00AE6392" w14:paraId="7292217B" w14:textId="77777777" w:rsidTr="00E0010D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9923" w14:textId="77777777" w:rsidR="00AA6AE2" w:rsidRPr="00445EC9" w:rsidRDefault="00AA6AE2" w:rsidP="00E0010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Dokumentacja użytkownika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C0AA" w14:textId="77777777" w:rsidR="00AA6AE2" w:rsidRPr="00445EC9" w:rsidRDefault="00AA6AE2" w:rsidP="00E001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Zamawiający wymaga dokumentacji w języku polskim lub angi</w:t>
            </w:r>
            <w:r w:rsidRPr="00445EC9">
              <w:rPr>
                <w:rFonts w:ascii="Arial" w:hAnsi="Arial" w:cs="Arial"/>
                <w:i/>
                <w:sz w:val="20"/>
                <w:szCs w:val="20"/>
                <w:lang w:val="pl-PL"/>
              </w:rPr>
              <w:t>e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lskim.</w:t>
            </w:r>
          </w:p>
          <w:p w14:paraId="7101F147" w14:textId="77777777" w:rsidR="00AA6AE2" w:rsidRPr="00445EC9" w:rsidRDefault="00AA6AE2" w:rsidP="00E0010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Cs/>
                <w:sz w:val="20"/>
                <w:szCs w:val="20"/>
                <w:lang w:val="pl-PL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B90311" w:rsidRPr="00AE6392" w14:paraId="092973B0" w14:textId="77777777" w:rsidTr="00DD4349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EA7B" w14:textId="3DE335B0" w:rsidR="001700D7" w:rsidRPr="00445EC9" w:rsidRDefault="00AA6AE2" w:rsidP="00DD43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b/>
                <w:sz w:val="20"/>
                <w:szCs w:val="20"/>
                <w:lang w:val="pl-PL"/>
              </w:rPr>
              <w:t>Inne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0DB9" w14:textId="038F180C" w:rsidR="001700D7" w:rsidRPr="00445EC9" w:rsidRDefault="00AA6AE2" w:rsidP="00DD434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Serwer zostanie dostarczony i zainstalowany we wskazanym przez Zamawiającego miejscu. Ponadto zostanie dokonana konfiguracja serwera umożliwiająca</w:t>
            </w:r>
            <w:r w:rsidR="00B90311"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 Zamawiającemu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 migracj</w:t>
            </w:r>
            <w:r w:rsidR="00B90311" w:rsidRPr="00445EC9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posiadanych przez Zamawiającego maszyn wirtualnych, tj. co najmniej konfiguracja kart sieciowych</w:t>
            </w:r>
            <w:r w:rsidR="00196FA7" w:rsidRPr="00445EC9">
              <w:rPr>
                <w:rFonts w:ascii="Arial" w:hAnsi="Arial" w:cs="Arial"/>
                <w:sz w:val="20"/>
                <w:szCs w:val="20"/>
                <w:lang w:val="pl-PL"/>
              </w:rPr>
              <w:t>, kontrolera RAID, karty zarządzania</w:t>
            </w:r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 xml:space="preserve">, aktualizacja </w:t>
            </w:r>
            <w:proofErr w:type="spellStart"/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firmware</w:t>
            </w:r>
            <w:proofErr w:type="spellEnd"/>
            <w:r w:rsidRPr="00445EC9">
              <w:rPr>
                <w:rFonts w:ascii="Arial" w:hAnsi="Arial" w:cs="Arial"/>
                <w:sz w:val="20"/>
                <w:szCs w:val="20"/>
                <w:lang w:val="pl-PL"/>
              </w:rPr>
              <w:t>, instalacja systemu operacyjnego hosta</w:t>
            </w:r>
          </w:p>
        </w:tc>
      </w:tr>
    </w:tbl>
    <w:p w14:paraId="6792284A" w14:textId="77777777" w:rsidR="001700D7" w:rsidRPr="00445EC9" w:rsidRDefault="001700D7" w:rsidP="00EC312A">
      <w:pPr>
        <w:rPr>
          <w:rFonts w:ascii="Arial" w:hAnsi="Arial" w:cs="Arial"/>
          <w:lang w:val="pl-PL"/>
        </w:rPr>
      </w:pPr>
    </w:p>
    <w:sectPr w:rsidR="001700D7" w:rsidRPr="00445E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57BD" w14:textId="77777777" w:rsidR="00A40DC7" w:rsidRDefault="00A40DC7" w:rsidP="0013341D">
      <w:pPr>
        <w:spacing w:after="0" w:line="240" w:lineRule="auto"/>
      </w:pPr>
      <w:r>
        <w:separator/>
      </w:r>
    </w:p>
  </w:endnote>
  <w:endnote w:type="continuationSeparator" w:id="0">
    <w:p w14:paraId="1DDEEDB9" w14:textId="77777777" w:rsidR="00A40DC7" w:rsidRDefault="00A40DC7" w:rsidP="0013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7EA" w14:textId="77777777" w:rsidR="00A40DC7" w:rsidRDefault="00A40DC7" w:rsidP="0013341D">
      <w:pPr>
        <w:spacing w:after="0" w:line="240" w:lineRule="auto"/>
      </w:pPr>
      <w:r>
        <w:separator/>
      </w:r>
    </w:p>
  </w:footnote>
  <w:footnote w:type="continuationSeparator" w:id="0">
    <w:p w14:paraId="469D331B" w14:textId="77777777" w:rsidR="00A40DC7" w:rsidRDefault="00A40DC7" w:rsidP="0013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5E2E" w14:textId="497B216B" w:rsidR="00AE6392" w:rsidRDefault="00AE6392">
    <w:pPr>
      <w:pStyle w:val="Nagwek"/>
    </w:pPr>
    <w:proofErr w:type="spellStart"/>
    <w:r>
      <w:t>Opis</w:t>
    </w:r>
    <w:proofErr w:type="spellEnd"/>
    <w:r>
      <w:t xml:space="preserve"> </w:t>
    </w:r>
    <w:proofErr w:type="spellStart"/>
    <w:r>
      <w:t>przedmiotu</w:t>
    </w:r>
    <w:proofErr w:type="spellEnd"/>
    <w:r>
      <w:t xml:space="preserve"> </w:t>
    </w:r>
    <w:proofErr w:type="spellStart"/>
    <w:r>
      <w:t>zamówienia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14F"/>
    <w:multiLevelType w:val="hybridMultilevel"/>
    <w:tmpl w:val="AAF05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53C68"/>
    <w:multiLevelType w:val="hybridMultilevel"/>
    <w:tmpl w:val="479A5786"/>
    <w:lvl w:ilvl="0" w:tplc="919A38E2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55289">
    <w:abstractNumId w:val="4"/>
  </w:num>
  <w:num w:numId="2" w16cid:durableId="489951689">
    <w:abstractNumId w:val="2"/>
  </w:num>
  <w:num w:numId="3" w16cid:durableId="1720589058">
    <w:abstractNumId w:val="1"/>
  </w:num>
  <w:num w:numId="4" w16cid:durableId="39864081">
    <w:abstractNumId w:val="4"/>
  </w:num>
  <w:num w:numId="5" w16cid:durableId="1389525111">
    <w:abstractNumId w:val="3"/>
  </w:num>
  <w:num w:numId="6" w16cid:durableId="1198355911">
    <w:abstractNumId w:val="7"/>
  </w:num>
  <w:num w:numId="7" w16cid:durableId="1333605202">
    <w:abstractNumId w:val="5"/>
  </w:num>
  <w:num w:numId="8" w16cid:durableId="209735290">
    <w:abstractNumId w:val="0"/>
  </w:num>
  <w:num w:numId="9" w16cid:durableId="552667222">
    <w:abstractNumId w:val="6"/>
  </w:num>
  <w:num w:numId="10" w16cid:durableId="12938317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CF"/>
    <w:rsid w:val="000255C6"/>
    <w:rsid w:val="00033550"/>
    <w:rsid w:val="000351CF"/>
    <w:rsid w:val="00060B26"/>
    <w:rsid w:val="000642E9"/>
    <w:rsid w:val="000673BB"/>
    <w:rsid w:val="000C5A05"/>
    <w:rsid w:val="000E3EC1"/>
    <w:rsid w:val="001101E1"/>
    <w:rsid w:val="00110BED"/>
    <w:rsid w:val="0013341D"/>
    <w:rsid w:val="00156A3F"/>
    <w:rsid w:val="001700D7"/>
    <w:rsid w:val="00175060"/>
    <w:rsid w:val="00196FA7"/>
    <w:rsid w:val="001A40FE"/>
    <w:rsid w:val="001E0DCE"/>
    <w:rsid w:val="00292FD2"/>
    <w:rsid w:val="00296FD0"/>
    <w:rsid w:val="002A12A7"/>
    <w:rsid w:val="00323C56"/>
    <w:rsid w:val="003255EA"/>
    <w:rsid w:val="00330927"/>
    <w:rsid w:val="0034101B"/>
    <w:rsid w:val="00362CCB"/>
    <w:rsid w:val="003B43D0"/>
    <w:rsid w:val="003E4FB7"/>
    <w:rsid w:val="00411374"/>
    <w:rsid w:val="00415C40"/>
    <w:rsid w:val="00443457"/>
    <w:rsid w:val="00445EC9"/>
    <w:rsid w:val="0045028B"/>
    <w:rsid w:val="004546EC"/>
    <w:rsid w:val="00477751"/>
    <w:rsid w:val="00486FF4"/>
    <w:rsid w:val="0049245C"/>
    <w:rsid w:val="004B3CD2"/>
    <w:rsid w:val="00541D23"/>
    <w:rsid w:val="005B14A1"/>
    <w:rsid w:val="005E4EF2"/>
    <w:rsid w:val="00631A06"/>
    <w:rsid w:val="00641146"/>
    <w:rsid w:val="00645D74"/>
    <w:rsid w:val="00672E25"/>
    <w:rsid w:val="006D5A35"/>
    <w:rsid w:val="006E0197"/>
    <w:rsid w:val="0070113E"/>
    <w:rsid w:val="007176E8"/>
    <w:rsid w:val="007647D4"/>
    <w:rsid w:val="00770713"/>
    <w:rsid w:val="007714B4"/>
    <w:rsid w:val="00801C04"/>
    <w:rsid w:val="00805E5F"/>
    <w:rsid w:val="008577DF"/>
    <w:rsid w:val="00896F14"/>
    <w:rsid w:val="008A6D8B"/>
    <w:rsid w:val="008B1977"/>
    <w:rsid w:val="008C4DF3"/>
    <w:rsid w:val="008D0507"/>
    <w:rsid w:val="008F62C3"/>
    <w:rsid w:val="00915546"/>
    <w:rsid w:val="00941DA6"/>
    <w:rsid w:val="0096533E"/>
    <w:rsid w:val="009C2633"/>
    <w:rsid w:val="00A15D42"/>
    <w:rsid w:val="00A40DC7"/>
    <w:rsid w:val="00A55E0F"/>
    <w:rsid w:val="00A73A42"/>
    <w:rsid w:val="00A87E3E"/>
    <w:rsid w:val="00AA6AE2"/>
    <w:rsid w:val="00AC68DE"/>
    <w:rsid w:val="00AE6392"/>
    <w:rsid w:val="00AF5B27"/>
    <w:rsid w:val="00B16CC1"/>
    <w:rsid w:val="00B55E7D"/>
    <w:rsid w:val="00B71F3B"/>
    <w:rsid w:val="00B8395F"/>
    <w:rsid w:val="00B90311"/>
    <w:rsid w:val="00B95DB8"/>
    <w:rsid w:val="00C0518C"/>
    <w:rsid w:val="00C24C68"/>
    <w:rsid w:val="00C65036"/>
    <w:rsid w:val="00CA638C"/>
    <w:rsid w:val="00CE5127"/>
    <w:rsid w:val="00D67AB0"/>
    <w:rsid w:val="00D75F12"/>
    <w:rsid w:val="00DA0CE8"/>
    <w:rsid w:val="00DC05D5"/>
    <w:rsid w:val="00DF0967"/>
    <w:rsid w:val="00DF7CF4"/>
    <w:rsid w:val="00E01DC8"/>
    <w:rsid w:val="00E25AC7"/>
    <w:rsid w:val="00E33347"/>
    <w:rsid w:val="00E60795"/>
    <w:rsid w:val="00E90812"/>
    <w:rsid w:val="00EC312A"/>
    <w:rsid w:val="00F55A30"/>
    <w:rsid w:val="00F84AE4"/>
    <w:rsid w:val="00FA0D68"/>
    <w:rsid w:val="00FA4818"/>
    <w:rsid w:val="00FE77E2"/>
    <w:rsid w:val="00FE7C56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ACAE0F"/>
  <w15:chartTrackingRefBased/>
  <w15:docId w15:val="{0CE9220E-A8CB-4877-A5A6-005FB707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1CF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1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3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1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AF5B27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541D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75060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B95D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5DB8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6E8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6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Warachowski, Maciej</dc:creator>
  <cp:keywords/>
  <dc:description/>
  <cp:lastModifiedBy>Iwańska, Karolina</cp:lastModifiedBy>
  <cp:revision>40</cp:revision>
  <dcterms:created xsi:type="dcterms:W3CDTF">2021-11-25T11:00:00Z</dcterms:created>
  <dcterms:modified xsi:type="dcterms:W3CDTF">2022-09-27T12:50:00Z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70ee2-0cb4-4d60-aee5-75ef2c4c8a90_Enabled">
    <vt:lpwstr>True</vt:lpwstr>
  </property>
  <property fmtid="{D5CDD505-2E9C-101B-9397-08002B2CF9AE}" pid="3" name="MSIP_Label_7de70ee2-0cb4-4d60-aee5-75ef2c4c8a90_SiteId">
    <vt:lpwstr>945c199a-83a2-4e80-9f8c-5a91be5752dd</vt:lpwstr>
  </property>
  <property fmtid="{D5CDD505-2E9C-101B-9397-08002B2CF9AE}" pid="4" name="MSIP_Label_7de70ee2-0cb4-4d60-aee5-75ef2c4c8a90_Owner">
    <vt:lpwstr>Marek_Lukaszuk@Dell.com</vt:lpwstr>
  </property>
  <property fmtid="{D5CDD505-2E9C-101B-9397-08002B2CF9AE}" pid="5" name="MSIP_Label_7de70ee2-0cb4-4d60-aee5-75ef2c4c8a90_SetDate">
    <vt:lpwstr>2019-02-12T14:01:16.3699832Z</vt:lpwstr>
  </property>
  <property fmtid="{D5CDD505-2E9C-101B-9397-08002B2CF9AE}" pid="6" name="MSIP_Label_7de70ee2-0cb4-4d60-aee5-75ef2c4c8a90_Name">
    <vt:lpwstr>Internal Use</vt:lpwstr>
  </property>
  <property fmtid="{D5CDD505-2E9C-101B-9397-08002B2CF9AE}" pid="7" name="MSIP_Label_7de70ee2-0cb4-4d60-aee5-75ef2c4c8a90_Application">
    <vt:lpwstr>Microsoft Azure Information Protection</vt:lpwstr>
  </property>
  <property fmtid="{D5CDD505-2E9C-101B-9397-08002B2CF9AE}" pid="8" name="MSIP_Label_7de70ee2-0cb4-4d60-aee5-75ef2c4c8a90_Extended_MSFT_Method">
    <vt:lpwstr>Automatic</vt:lpwstr>
  </property>
  <property fmtid="{D5CDD505-2E9C-101B-9397-08002B2CF9AE}" pid="9" name="MSIP_Label_c6e0e3e8-8921-4906-b77b-3374d4e05132_Enabled">
    <vt:lpwstr>True</vt:lpwstr>
  </property>
  <property fmtid="{D5CDD505-2E9C-101B-9397-08002B2CF9AE}" pid="10" name="MSIP_Label_c6e0e3e8-8921-4906-b77b-3374d4e05132_SiteId">
    <vt:lpwstr>945c199a-83a2-4e80-9f8c-5a91be5752dd</vt:lpwstr>
  </property>
  <property fmtid="{D5CDD505-2E9C-101B-9397-08002B2CF9AE}" pid="11" name="MSIP_Label_c6e0e3e8-8921-4906-b77b-3374d4e05132_Owner">
    <vt:lpwstr>Marek_Lukaszuk@Dell.com</vt:lpwstr>
  </property>
  <property fmtid="{D5CDD505-2E9C-101B-9397-08002B2CF9AE}" pid="12" name="MSIP_Label_c6e0e3e8-8921-4906-b77b-3374d4e05132_SetDate">
    <vt:lpwstr>2019-02-12T14:01:16.3699832Z</vt:lpwstr>
  </property>
  <property fmtid="{D5CDD505-2E9C-101B-9397-08002B2CF9AE}" pid="13" name="MSIP_Label_c6e0e3e8-8921-4906-b77b-3374d4e05132_Name">
    <vt:lpwstr>No Visual Marking</vt:lpwstr>
  </property>
  <property fmtid="{D5CDD505-2E9C-101B-9397-08002B2CF9AE}" pid="14" name="MSIP_Label_c6e0e3e8-8921-4906-b77b-3374d4e05132_Application">
    <vt:lpwstr>Microsoft Azure Information Protection</vt:lpwstr>
  </property>
  <property fmtid="{D5CDD505-2E9C-101B-9397-08002B2CF9AE}" pid="15" name="MSIP_Label_c6e0e3e8-8921-4906-b77b-3374d4e05132_Parent">
    <vt:lpwstr>7de70ee2-0cb4-4d60-aee5-75ef2c4c8a90</vt:lpwstr>
  </property>
  <property fmtid="{D5CDD505-2E9C-101B-9397-08002B2CF9AE}" pid="16" name="MSIP_Label_c6e0e3e8-8921-4906-b77b-3374d4e05132_Extended_MSFT_Method">
    <vt:lpwstr>Automatic</vt:lpwstr>
  </property>
  <property fmtid="{D5CDD505-2E9C-101B-9397-08002B2CF9AE}" pid="17" name="Sensitivity">
    <vt:lpwstr>Internal Use No Visual Marking</vt:lpwstr>
  </property>
</Properties>
</file>