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2D" w:rsidRPr="00A55ACD" w:rsidRDefault="00A55ACD" w:rsidP="00A55ACD">
      <w:pPr>
        <w:jc w:val="right"/>
        <w:rPr>
          <w:rFonts w:asciiTheme="minorHAnsi" w:hAnsiTheme="minorHAnsi"/>
          <w:b/>
          <w:szCs w:val="20"/>
        </w:rPr>
      </w:pPr>
      <w:r w:rsidRPr="00A55ACD">
        <w:rPr>
          <w:rFonts w:asciiTheme="minorHAnsi" w:hAnsiTheme="minorHAnsi"/>
          <w:b/>
          <w:noProof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1905</wp:posOffset>
            </wp:positionV>
            <wp:extent cx="6718300" cy="792480"/>
            <wp:effectExtent l="0" t="0" r="0" b="0"/>
            <wp:wrapTight wrapText="bothSides">
              <wp:wrapPolygon edited="0">
                <wp:start x="0" y="0"/>
                <wp:lineTo x="0" y="21288"/>
                <wp:lineTo x="21559" y="21288"/>
                <wp:lineTo x="215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B61" w:rsidRPr="00A55ACD">
        <w:rPr>
          <w:rFonts w:asciiTheme="minorHAnsi" w:hAnsiTheme="minorHAnsi"/>
          <w:b/>
          <w:szCs w:val="20"/>
        </w:rPr>
        <w:t>załącznik nr 1B</w:t>
      </w:r>
    </w:p>
    <w:p w:rsidR="005D3908" w:rsidRPr="00705B61" w:rsidRDefault="005D3908" w:rsidP="005D3908">
      <w:pPr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Wykonawca</w:t>
      </w:r>
    </w:p>
    <w:p w:rsidR="005D3908" w:rsidRPr="00705B61" w:rsidRDefault="005D3908" w:rsidP="005D3908">
      <w:pPr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……………………………………………………………………….</w:t>
      </w:r>
    </w:p>
    <w:p w:rsidR="005D3908" w:rsidRPr="00705B61" w:rsidRDefault="005D3908" w:rsidP="005D3908">
      <w:pPr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……………………………………………………………………….</w:t>
      </w:r>
    </w:p>
    <w:p w:rsidR="005D3908" w:rsidRPr="00705B61" w:rsidRDefault="005D3908" w:rsidP="005D3908">
      <w:pPr>
        <w:rPr>
          <w:rFonts w:asciiTheme="minorHAnsi" w:hAnsiTheme="minorHAnsi"/>
          <w:szCs w:val="20"/>
        </w:rPr>
      </w:pPr>
    </w:p>
    <w:p w:rsidR="005D3908" w:rsidRPr="00705B61" w:rsidRDefault="006553C4" w:rsidP="005D3908">
      <w:pPr>
        <w:jc w:val="both"/>
        <w:rPr>
          <w:rFonts w:asciiTheme="minorHAnsi" w:hAnsiTheme="minorHAnsi"/>
          <w:szCs w:val="20"/>
        </w:rPr>
      </w:pPr>
      <w:r w:rsidRPr="006553C4">
        <w:rPr>
          <w:rFonts w:asciiTheme="minorHAnsi" w:hAnsiTheme="minorHAnsi"/>
          <w:szCs w:val="20"/>
        </w:rPr>
        <w:t>Rozbudowa Data Center Urzędu Miejskiego w Kruszwicy o centralny obiektowy magazyn danych wraz z zintegrowanym oprogramowaniem w ramach projektu grantowego „Cyfrowa Gmina”</w:t>
      </w:r>
      <w:r>
        <w:rPr>
          <w:rFonts w:asciiTheme="minorHAnsi" w:hAnsiTheme="minorHAnsi"/>
          <w:szCs w:val="20"/>
        </w:rPr>
        <w:t>.</w:t>
      </w:r>
      <w:bookmarkStart w:id="0" w:name="_GoBack"/>
      <w:bookmarkEnd w:id="0"/>
    </w:p>
    <w:p w:rsidR="005D3908" w:rsidRPr="00705B61" w:rsidRDefault="005D3908" w:rsidP="005D3908">
      <w:pPr>
        <w:rPr>
          <w:rFonts w:asciiTheme="minorHAnsi" w:hAnsiTheme="minorHAnsi"/>
          <w:szCs w:val="20"/>
        </w:rPr>
      </w:pPr>
    </w:p>
    <w:p w:rsidR="005D3908" w:rsidRPr="00705B61" w:rsidRDefault="005D3908" w:rsidP="005D3908">
      <w:pPr>
        <w:jc w:val="center"/>
        <w:rPr>
          <w:rFonts w:asciiTheme="minorHAnsi" w:hAnsiTheme="minorHAnsi"/>
          <w:b/>
          <w:sz w:val="24"/>
        </w:rPr>
      </w:pPr>
      <w:r w:rsidRPr="00705B61">
        <w:rPr>
          <w:rFonts w:asciiTheme="minorHAnsi" w:hAnsiTheme="minorHAnsi"/>
          <w:b/>
          <w:sz w:val="24"/>
        </w:rPr>
        <w:t>Oświadczenie o zg</w:t>
      </w:r>
      <w:r w:rsidR="00705B61" w:rsidRPr="00705B61">
        <w:rPr>
          <w:rFonts w:asciiTheme="minorHAnsi" w:hAnsiTheme="minorHAnsi"/>
          <w:b/>
          <w:sz w:val="24"/>
        </w:rPr>
        <w:t>odności przedmiotu oferty z OPZ</w:t>
      </w:r>
    </w:p>
    <w:p w:rsidR="005D3908" w:rsidRPr="00705B61" w:rsidRDefault="005D3908" w:rsidP="005D3908">
      <w:pPr>
        <w:rPr>
          <w:rFonts w:asciiTheme="minorHAnsi" w:hAnsiTheme="minorHAnsi"/>
          <w:sz w:val="24"/>
        </w:rPr>
      </w:pPr>
    </w:p>
    <w:p w:rsidR="005D3908" w:rsidRPr="00705B61" w:rsidRDefault="005D3908" w:rsidP="009A1018">
      <w:pPr>
        <w:jc w:val="both"/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Wszystkie parametry techniczne są to wartości minimalne z możliwością zaoferowania rozwiązania wydajniejszego lub o parametrach wyższych niż niżej podane.</w:t>
      </w:r>
    </w:p>
    <w:p w:rsidR="005D3908" w:rsidRPr="00705B61" w:rsidRDefault="005D3908" w:rsidP="005D3908">
      <w:pPr>
        <w:pStyle w:val="Nagwek3"/>
        <w:jc w:val="both"/>
        <w:rPr>
          <w:rFonts w:asciiTheme="minorHAnsi" w:hAnsiTheme="minorHAnsi" w:cstheme="majorHAnsi"/>
          <w:szCs w:val="20"/>
        </w:rPr>
      </w:pPr>
      <w:bookmarkStart w:id="1" w:name="_Toc136422870"/>
      <w:r w:rsidRPr="00705B61">
        <w:rPr>
          <w:rFonts w:asciiTheme="minorHAnsi" w:hAnsiTheme="minorHAnsi" w:cstheme="majorHAnsi"/>
          <w:szCs w:val="20"/>
        </w:rPr>
        <w:t>Oprogramowanie do synchronizacji i bezpiecznego udostępniania danych</w:t>
      </w:r>
      <w:bookmarkEnd w:id="1"/>
      <w:r w:rsidRPr="00705B61">
        <w:rPr>
          <w:rFonts w:asciiTheme="minorHAnsi" w:hAnsiTheme="minorHAnsi" w:cstheme="majorHAnsi"/>
          <w:szCs w:val="20"/>
        </w:rPr>
        <w:t xml:space="preserve"> dla 100 użytkowników.</w:t>
      </w:r>
    </w:p>
    <w:p w:rsidR="005D3908" w:rsidRPr="00705B61" w:rsidRDefault="005D3908" w:rsidP="005D3908">
      <w:pPr>
        <w:spacing w:after="0" w:line="240" w:lineRule="auto"/>
        <w:rPr>
          <w:rFonts w:asciiTheme="minorHAnsi" w:hAnsiTheme="minorHAnsi"/>
          <w:szCs w:val="20"/>
        </w:rPr>
      </w:pPr>
    </w:p>
    <w:p w:rsidR="005D3908" w:rsidRPr="00705B61" w:rsidRDefault="005D3908" w:rsidP="005E5D99">
      <w:pPr>
        <w:spacing w:after="0"/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Nazwa oprogramowania: …………………………</w:t>
      </w:r>
    </w:p>
    <w:p w:rsidR="005D3908" w:rsidRPr="00705B61" w:rsidRDefault="005D3908" w:rsidP="005E5D99">
      <w:pPr>
        <w:spacing w:after="0"/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Nazwa producenta oprogramowania: …………………………</w:t>
      </w:r>
    </w:p>
    <w:p w:rsidR="005E5D99" w:rsidRPr="00705B61" w:rsidRDefault="005E5D99" w:rsidP="005E5D99">
      <w:pPr>
        <w:spacing w:after="0"/>
        <w:rPr>
          <w:rFonts w:asciiTheme="minorHAnsi" w:hAnsiTheme="minorHAnsi"/>
          <w:sz w:val="24"/>
        </w:rPr>
      </w:pPr>
    </w:p>
    <w:tbl>
      <w:tblPr>
        <w:tblW w:w="50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929"/>
        <w:gridCol w:w="3827"/>
        <w:gridCol w:w="1100"/>
      </w:tblGrid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color w:val="000000"/>
                <w:szCs w:val="20"/>
                <w:lang w:eastAsia="pl-PL"/>
              </w:rPr>
              <w:t>Lp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jc w:val="both"/>
              <w:rPr>
                <w:rFonts w:asciiTheme="minorHAnsi" w:eastAsia="Times New Roman" w:hAnsiTheme="minorHAnsi" w:cstheme="majorHAnsi"/>
                <w:b/>
                <w:bCs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color w:val="000000"/>
                <w:szCs w:val="20"/>
                <w:lang w:eastAsia="pl-PL"/>
              </w:rPr>
              <w:t>Opis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 xml:space="preserve">Opis Wykonawcy potwierdzający spełnienie wymagań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>Spełnia</w:t>
            </w:r>
          </w:p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>TAK/NIE</w:t>
            </w: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 xml:space="preserve">1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>Rozwiązanie musi pozwalać na współdzielenie plików pomiędzy uczestnikami projektu, pracownikami wewnątrz organizacji (w ramach wykorzystywanego katalogu usług Active Directory) oraz na zewnątrz organizacji (dla podmiotów współpracujących, kontraktorów, firm zewnętrznych).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Współdzielenie plików musi być realizowane poprzez udostępnienie linku do pliku lub katalogu.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Definicja linku powinna zawierać co najmniej:</w:t>
            </w:r>
          </w:p>
          <w:p w:rsidR="002F5E3A" w:rsidRPr="00705B61" w:rsidRDefault="002F5E3A" w:rsidP="0043362D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1560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datę, po której link przestanie być dostępny,</w:t>
            </w:r>
          </w:p>
          <w:p w:rsidR="002F5E3A" w:rsidRPr="00705B61" w:rsidRDefault="002F5E3A" w:rsidP="0043362D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1560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 xml:space="preserve">typu linku: prywatny (dostępny tylko wewnątrz organizacji) lub publiczny (dostępny </w:t>
            </w:r>
            <w:r w:rsidRPr="00705B61">
              <w:rPr>
                <w:rFonts w:cstheme="majorHAnsi"/>
                <w:color w:val="000000" w:themeColor="text1"/>
                <w:szCs w:val="20"/>
              </w:rPr>
              <w:lastRenderedPageBreak/>
              <w:t>dla wszystkich),</w:t>
            </w:r>
          </w:p>
          <w:p w:rsidR="002F5E3A" w:rsidRPr="00705B61" w:rsidRDefault="002F5E3A" w:rsidP="0043362D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1560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dodatkowe hasło, które musi być przekazane w sposób niezależny od samego linku.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W przypadku udostępniania katalogu musi istnieć dodatkowa możliwość definiowania uprawnień dla odbiorcy, w tym co najmniej „odczyt i zapis” oraz „tylko odczyt”.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Musi istnieć możliwość zarządzania linkami, w tym co najmniej: zmiana daty ważności linku, kasowanie linku, generowanie hasła do linku.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Musi istnieć możliwość tworzenia linków stałych – bez definicji daty ich ważności.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Użytkownik powinien być powiadamiany o pobraniu współdzielonego pliku oraz o zapisaniu pliku w udostępnionym katalogu.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Musi istnieć możliwość tworzenia folderów do pracy grupowej. Przestrzeń folderów do pracy grupowej nie powinna wykorzystywać przyznanego przez administratora limitu przestrzeni (quota) dla pozostałych plików.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Definicja folderu współdzielonego wewnątrz organizacji oraz folderu pracy grupowej musi zawierać:</w:t>
            </w:r>
          </w:p>
          <w:p w:rsidR="002F5E3A" w:rsidRPr="00705B61" w:rsidRDefault="002F5E3A" w:rsidP="0043362D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560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możliwość opuszczenia folderu (rezygnacja z dostępu do folderu),</w:t>
            </w:r>
          </w:p>
          <w:p w:rsidR="002F5E3A" w:rsidRPr="00705B61" w:rsidRDefault="002F5E3A" w:rsidP="0043362D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560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możliwość wyłączenia współdzielenia,</w:t>
            </w:r>
          </w:p>
          <w:p w:rsidR="002F5E3A" w:rsidRPr="00705B61" w:rsidRDefault="002F5E3A" w:rsidP="0043362D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560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możliwość dodawania i usuwania użytkowników folderu,</w:t>
            </w:r>
          </w:p>
          <w:p w:rsidR="002F5E3A" w:rsidRPr="00705B61" w:rsidRDefault="002F5E3A" w:rsidP="0043362D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560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możliwość definiowania uprawnień dla użytkowników folderu.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 xml:space="preserve">Rozwiązanie musi pozwalać na synchronizację plików pomiędzy różnymi urządzeniami. 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 w:hanging="426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 xml:space="preserve">Muszą być wspierane co najmniej następujące systemy </w:t>
            </w:r>
            <w:r w:rsidRPr="00705B61">
              <w:rPr>
                <w:rFonts w:cstheme="majorHAnsi"/>
                <w:color w:val="000000" w:themeColor="text1"/>
                <w:szCs w:val="20"/>
              </w:rPr>
              <w:lastRenderedPageBreak/>
              <w:t>operacyjne: Windows, OS X, Android, iOS.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 w:hanging="426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Użytkownik powinien mieć możliwość zatrzymania i wznowienia synchronizacji plików.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 w:hanging="426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Użytkownik musi mieć możliwość rejestracji w ramach swojego konta wielu różnych urządzeń.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 w:hanging="426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Rozwiązanie musi umożliwiać zdalne usuniecie danych z urządzenia, które zostało skradzione lub zagubione.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 w:hanging="426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Instalacja klienta systemu na urządzeniu mobilnym użytkownika musi wymagać włączenia mechanizmów bezpiecznego logowania do urządzenia (co najmniej 6 cyfrowy PIN, logowanie biometryczne).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93" w:hanging="426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Instalacja klienta systemu na urządzeniu użytkownika musi być realizowana bezpośrednio przez użytkownika, bez konieczności ingerencji działu IT. Administratorzy IT powinni mieć natomiast możliwość definicji, ile i z jakich urządzeń klienckich może korzystać użytkownik.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>Użytkownik korzystający z funkcjonalności współdzielenia i synchronizacji plików musi mieć dostęp do swoich plików w następujący sposób: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134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w postaci katalogu w systemie plików na swoim komputerze (on-line i off-line),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134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w aplikacji mobilnej na swoim smartfonie i tablecie (on-line i off-line),</w:t>
            </w:r>
          </w:p>
          <w:p w:rsidR="002F5E3A" w:rsidRPr="00705B61" w:rsidRDefault="002F5E3A" w:rsidP="0043362D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134"/>
              <w:rPr>
                <w:rFonts w:cstheme="majorHAnsi"/>
                <w:color w:val="000000" w:themeColor="text1"/>
                <w:szCs w:val="20"/>
              </w:rPr>
            </w:pPr>
            <w:r w:rsidRPr="00705B61">
              <w:rPr>
                <w:rFonts w:cstheme="majorHAnsi"/>
                <w:color w:val="000000" w:themeColor="text1"/>
                <w:szCs w:val="20"/>
              </w:rPr>
              <w:t>w przeglądarce internetowej (on-line).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>Wszystkie współdzielone i synchronizowane pliki muszą być przechowywane i zabezpieczone w dedykowanej logicznej partycji dostarczanej macierzy obiektowej, opisanej w punkcie 1.3.2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 xml:space="preserve">Wszystkie współdzielone i synchronizowane pliki powinny być wersjonowane. Użytkownik musi mieć możliwość przeglądania historii wersji oraz odzyskiwania wersji plików. </w:t>
            </w: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lastRenderedPageBreak/>
              <w:t>Administrator IT musi mieć możliwość skonfigurowania: ilości ostatnich wersji pliku oraz okresu po jakim wersje mają być nieodwracalnie kasowane z systemu.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>Użytkownik musi mieć możliwość samodzielnego (bez udziału Administratora IT) odzyskiwania skasowanych plików. Rozwiązanie musi umożliwiać definiowanie okresu przechowywania skasowanych plików.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noProof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noProof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>Funkcjonalność współdzielenia i synchronizacji musi być realizowana za pomocą komponentów zainstalowanych w centrum przetwarzania Zamawiającego. Zamawiający nie dopuszcza rozwiązań, w których jakikolwiek element rozwiązania jest zainstalowany i dostępny w chmurze publicznej.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 xml:space="preserve">Wskazani Administratorzy IT muszą mieć możliwość przeprowadzenia inspekcji aktywności zarejestrowanych użytkowników w zakresie współdzielonych i udostępnionych plików, w tym możliwość pobrania i usunięcia niepożądanych treści. 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 xml:space="preserve">Zamawiający wymaga, aby funkcjonalność węzłów synchronizacji i współdzielenia plików </w:t>
            </w:r>
            <w:r w:rsidRPr="00705B61">
              <w:rPr>
                <w:rFonts w:asciiTheme="minorHAnsi" w:hAnsiTheme="minorHAnsi" w:cstheme="majorHAnsi"/>
                <w:szCs w:val="20"/>
              </w:rPr>
              <w:t>realizowana była poprzez rozwiązania programowe uruchamiane na węzłach w warstwie wirtualizacyjnej (VMware, Hyper-V, KVM i inne) zapewniające architekturę HA dla węzłów (przełączenie pomiędzy podstawową a zapasową serwerownią Zamawiającego).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>Musi istnieć możliwość integracji zasobów plikowych przechowywanych na dyskach sieciowych w ramach interfejsu użytkownika do współdzielenia i synchronizacji plików. To oznacza, że użytkownik ten musi mieć możliwość dostępu do swoich zasobów plikowych przechowywanych na dyskach sieciowych zarówno w przeglądarce internetowej jak i w aplikacji mobilnej systemu współdzielenia i synchronizacji plików.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>Rozwiązanie powinno posiadać możliwość zarządzania co najmniej poprzez graficzny interfejs użytkownika oraz poprzez API.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  <w:tr w:rsidR="002F5E3A" w:rsidRPr="00705B61" w:rsidTr="005E5D9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Del="00B476F2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705B61" w:rsidRDefault="002F5E3A" w:rsidP="0043362D">
            <w:pPr>
              <w:spacing w:after="0" w:line="240" w:lineRule="auto"/>
              <w:rPr>
                <w:rFonts w:asciiTheme="minorHAnsi" w:hAnsiTheme="minorHAnsi" w:cstheme="majorHAnsi"/>
                <w:color w:val="000000" w:themeColor="text1"/>
                <w:szCs w:val="20"/>
              </w:rPr>
            </w:pP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t xml:space="preserve">Rozwiązanie musi posiadać możliwość integracji z Microsoft Office Online Server i zapewniać równoległą pracę na współdzielonym dokumencie w formacie Microsoft Word, Excel i Power Point </w:t>
            </w:r>
            <w:r w:rsidRPr="00705B61">
              <w:rPr>
                <w:rFonts w:asciiTheme="minorHAnsi" w:hAnsiTheme="minorHAnsi" w:cstheme="majorHAnsi"/>
                <w:color w:val="000000" w:themeColor="text1"/>
                <w:szCs w:val="20"/>
              </w:rPr>
              <w:lastRenderedPageBreak/>
              <w:t xml:space="preserve">uprawnionym użytkownikom a także podgląd plików PDF.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705B61" w:rsidRDefault="002F5E3A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Cs w:val="20"/>
                <w:lang w:eastAsia="pl-PL"/>
              </w:rPr>
            </w:pPr>
          </w:p>
        </w:tc>
      </w:tr>
    </w:tbl>
    <w:p w:rsidR="00B24BA5" w:rsidRPr="00705B61" w:rsidRDefault="00B24BA5" w:rsidP="005D3908">
      <w:pPr>
        <w:rPr>
          <w:rFonts w:asciiTheme="minorHAnsi" w:hAnsiTheme="minorHAnsi"/>
          <w:szCs w:val="20"/>
        </w:rPr>
      </w:pPr>
    </w:p>
    <w:p w:rsidR="002F5E3A" w:rsidRPr="00705B61" w:rsidRDefault="002F5E3A" w:rsidP="002F5E3A">
      <w:pPr>
        <w:pStyle w:val="Nagwek3"/>
        <w:jc w:val="both"/>
        <w:rPr>
          <w:rFonts w:asciiTheme="minorHAnsi" w:hAnsiTheme="minorHAnsi" w:cstheme="majorHAnsi"/>
          <w:szCs w:val="20"/>
        </w:rPr>
      </w:pPr>
      <w:bookmarkStart w:id="2" w:name="_Toc136422871"/>
      <w:r w:rsidRPr="00705B61">
        <w:rPr>
          <w:rFonts w:asciiTheme="minorHAnsi" w:hAnsiTheme="minorHAnsi" w:cstheme="majorHAnsi"/>
          <w:szCs w:val="20"/>
        </w:rPr>
        <w:t>Macierz obiektowa</w:t>
      </w:r>
      <w:bookmarkEnd w:id="2"/>
    </w:p>
    <w:p w:rsidR="005D3908" w:rsidRPr="00705B61" w:rsidRDefault="005D3908" w:rsidP="002F5E3A">
      <w:pPr>
        <w:spacing w:after="0" w:line="240" w:lineRule="auto"/>
        <w:rPr>
          <w:rFonts w:asciiTheme="minorHAnsi" w:hAnsiTheme="minorHAnsi"/>
          <w:szCs w:val="20"/>
        </w:rPr>
      </w:pPr>
    </w:p>
    <w:p w:rsidR="002F5E3A" w:rsidRPr="00705B61" w:rsidRDefault="002F5E3A" w:rsidP="002F5E3A">
      <w:pPr>
        <w:spacing w:after="0" w:line="240" w:lineRule="auto"/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Nazwa producenta: …………………………</w:t>
      </w:r>
    </w:p>
    <w:p w:rsidR="00B24BA5" w:rsidRPr="00705B61" w:rsidRDefault="002F5E3A" w:rsidP="002F5E3A">
      <w:pPr>
        <w:spacing w:after="0" w:line="240" w:lineRule="auto"/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Typ/model: …………………………</w:t>
      </w:r>
    </w:p>
    <w:p w:rsidR="00B24BA5" w:rsidRPr="00705B61" w:rsidRDefault="00B24BA5" w:rsidP="00B24BA5">
      <w:pPr>
        <w:rPr>
          <w:rFonts w:asciiTheme="minorHAnsi" w:hAnsiTheme="minorHAnsi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4"/>
        <w:gridCol w:w="1591"/>
        <w:gridCol w:w="3046"/>
        <w:gridCol w:w="2806"/>
        <w:gridCol w:w="1071"/>
      </w:tblGrid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>Klasa wymagań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jc w:val="both"/>
              <w:rPr>
                <w:rFonts w:asciiTheme="minorHAnsi" w:eastAsia="Times New Roman" w:hAnsiTheme="minorHAnsi" w:cstheme="majorHAnsi"/>
                <w:b/>
                <w:bCs/>
                <w:color w:val="000000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color w:val="000000"/>
                <w:szCs w:val="20"/>
                <w:lang w:eastAsia="pl-PL"/>
              </w:rPr>
              <w:t>Opis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A5" w:rsidRPr="00705B61" w:rsidRDefault="00036D9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>Opis Wykonawcy potwierdzający spełnienie wymagań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B24BA5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>Spełnia</w:t>
            </w:r>
          </w:p>
          <w:p w:rsidR="00B24BA5" w:rsidRPr="00705B61" w:rsidRDefault="00B24BA5" w:rsidP="00B24BA5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>TAK/NIE</w:t>
            </w: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 xml:space="preserve">1 </w:t>
            </w:r>
          </w:p>
        </w:tc>
        <w:tc>
          <w:tcPr>
            <w:tcW w:w="40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>wymagania funkcjonalne dot. sprzętu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1.1.1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Wymagania ogólne</w:t>
            </w:r>
            <w:r w:rsidR="00E43A3C"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Wymagana pojemność użyteczna 28 TB musi być zapewniona bez wykorzystania mechanizmów redukcji danych (np. mechanizmów deduplikacji i kompresji) i po zastosowaniu wymaganej protekcji.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1.1.2 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Urządzenie musi posiadać funkcjonalność pozwalającą na replikację w technologii geograficznie rozproszonego klastra pracującego w trybie active/active, tzn. te same dane (obiekty) powinny być dostępne w trybie odczyt/zapis w wielu ośrodkach jednocześnie.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Replikacja musi odbywać się w ramach szyfrowanego kanału. Funkcjonalność szyfrowania powinna być wspierana przez platformę obiektową.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1.1.3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highlight w:val="yellow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Całe rozwiązanie powinno być dostarczone i zainstalowane maksymalnie w jednej szafie Rack 19” . Wykonawca jest zobowiązany do dostarczenia szafy Rack 19” z 42U wewnętrznego miejsce do instalacji urządzeń.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1.1.4 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Dostarczane rozwiązanie musi być produktem rozpoznawalnym na rynku, co oznacza, że powinno być wymieniane w raportach niezależnych organizacji, takich jak Gartner, IDC, Gigaom lub ESG (Enterprise Strategy Group).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1.1.5 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Oferowane rozwiązanie musi być produktem gotowym, posiadającym na moment 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>składania oferty wszystkie wymagane przez Zamawiającego funkcjonalności. Do oferty należy załączyć listę wszystkich komponentów. Lista ma zawierać co najmniej nazwy urządzeń, modeli oraz inne informacje pozwalające w sposób jednoznaczny zidentyfikować poszczególne komponenty sprzętowe i programowe.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1.1.6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Oferowane urządzenia i wszystkie jego elementy składowe muszą pochodzić od autoryzowanego Dostawcy producenta, być fabrycznie nowe, wcześniej nie używane i wyprodukowane nie wcześniej niż 6 miesięcy przed terminem dostawy do Zamawiającego.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1.1.7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Urządzenia muszą być oznakowane przez producenta w taki sposób, aby możliwa była identyfikacja zarówno produktu jak i producenta.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1.1.8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Wraz z rozwiązaniem musi być dostarczony komplet dokumentacji w formie papierowej lub elektronicznej. Dokumentacja papierowa powinna być czytelna. Zamawiający dopuszcza dostawę dokumentacji producenta rozwiązania w językach polskim lub angielskim.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1.1.9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Wraz z rozwiązaniem musi być dostarczony komplet nośników umożliwiający odtworzenie oprogramowania systemowego urządzeń, z których zbudowane jest dostarczone rozwiązanie.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Wymagania dotyczące architektury, budowy i skalowalności</w:t>
            </w:r>
            <w:r w:rsidR="00E43A3C"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.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Przez cały okres trwania okresu gwarancji Zamawiający zastrzega sobie możliwość wykonania co 6 miesięcy testów wydajnościowych potwierdzających spełnienie oferowanych parametrów rozwiązania. Procedura testowania wydajności oferowanego rozwiązania jest opisana w punkcie 1.2.15.</w:t>
            </w:r>
            <w:r w:rsidRPr="00705B61">
              <w:rPr>
                <w:rFonts w:asciiTheme="minorHAnsi" w:hAnsiTheme="minorHAnsi" w:cstheme="majorHAnsi"/>
                <w:szCs w:val="20"/>
              </w:rPr>
              <w:t xml:space="preserve"> 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W przypadku niespełnienia przez 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>rozwiązanie wymagań w trakcie okresowego testu wydajnościowego, Wykonawca zobowiązany jest do przeprowadzenia prac naprawczych i przywrócenia wymaganych dla rozwiązania parametrów.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1.2.2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Wszystkie elementy dostarczonego rozwiązania muszą być redundantne, a jego architektura musi zapewniać odporność na wystąpienie pojedynczego punktu awarii w obrębie poszczególnych grup elementów, to jest co najmniej: interfejsów dostępowych kontrolerów, serwerów/węzłów/obudów, zasilaczy, wentylatorów. Odporność na awarię oznacza, że dostęp do urządzenia oraz do składowanych na nim danych musi być realizowany bez przerywania pracy korzystającej z niego aplikacji/systemu, zapewniając możliwość odczytów wszystkich składowanych danych oraz wykonywania zapisów na urządzenie nawet w przypadku awarii lub wymiany pojedynczego elementu urządzenia z ww. grup urządzeń. W przypadku gdy w architekturze oferowanego rozwiązania występują węzły tylko przechowujące dane, dopuszczalne jest użycie dedykowanego urządzenia wykorzystujące technologię redundantnych kontrolerów umieszczonych w pojedynczej obudowie oraz protekcję dysków algorytmem erasure coding, gdy producent gwarantuje trwałość zapisanych danych (ang. Durability level) na poziomie 9,999999999999999% ( 15 „dziewiątek”) co jest tożsame z dopuszczeniem możliwości utraty jednego obiektu raz na 1 000 000 000 000 lat. Wszystkie procesory jak i rdzenie procesorowe zainstalowane w 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>serwerze muszą być aktywne i dostarczone z aktywnymi licencjami dla systemu operacyjnego oraz oprogramowania dodatkowego.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1.2.3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 przypadku dysków, na których przechowywane są obiekty, Zamawiający wymaga, aby dostarczone rozwiązanie wykorzystywało następujące mechanizmy protekcji danych: RAID-6 lub Erasure Coding (EC) lub Replication Factor dla dysków SSD, SATA, SAS i SAS-NL.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1.2.4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Platforma powinna być zbudowana w architekturze scale-out (skalowalnej horyzontalnie).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1.2.5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powinno być skonfigurowane w taki sposób, aby mogło jednocześnie serwować dane na zewnątrz przy pomocy wszystkich protokołów wymienionych w wymaganiu 1.3.1 przy zapewnieniu redundancji na poziomie co najmniej jednego urządzenia.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1.2.6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powinno umożliwiać skalowanie poprzez dokładanie kolejnych kontrolerów i/lub dysków. Wymagana jest skalowalność do pojemności min. 100PB. Rozbudowa rozwiązania powinna być bezprzerwowa.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1.2.7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Wymagana pojemność powinna być dostarczona na dyskach twardych znajdujących się wewnątrz węzłów rozwiązania. Nie są dopuszczalne rozwiązania oparte o taśmy czy platformy chmurowe.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1.2.8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Przestrzeń służąca do przechowywania danych powinna być skonfigurowana tak, aby była odporna na jednoczesną awarię co najmniej 2 dowolnych dysków twardych.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1.2.9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Dostęp do rozwiązania powinien być realizowany za pomocą protokołu Ethernet 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 xml:space="preserve">oraz interfejsów 10Gb lub 1Gb.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1.2.10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 przypadku, gdy system wymaga przełączników na potrzeby wewnętrznej komunikacji węzłów obiektowego magazynu składowania danych, należy zapewnić redundantne przełączniki co najmniej LAN z odpowiednią ilością portów. Dostarczane przełączniki powinny być objęte co najmniej takim samym poziomem wsparcia, jak platforma obiektowa.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1.2.11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Dostarczone rozwiązanie powinno posiadać wbudowane mechanizmy przechowywania zarówno danych, jak i metadanych (informacji opisujących dane). Nie dopuszcza się wykorzystania rozwiązań plikowych (NAS) jako warstwę przechowywania w systemie składowania danych.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1.2.12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Dopuszczalne są dyski typu SATA lub NL-SAS o rozmiarach nie większych niż 18TB.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1.2.13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Wraz z urządzeniami składającymi się na komponenty sprzętowe rozwiązania należy dostarczyć wszystkie wymagane kable zasilające i transmisyjne, w tym LAN, SAN etc.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1.2.14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zapewniać możliwość wymiany komponentów sprzętowych wchodzących w jego skład i zastępowanie ich nowszymi komponentami pochodzącymi od producenta rozwiązania przy jednoczesnym zapewnieniu nieprzerwanego dostępu do danych prezentowanych przez rozwiązanie.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1.2.15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zapewnić wydajność na poziomie nie mniejszym niż: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a. dla zapisu obiektów 32KB – 700 obiektów/sekundę, 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b. dla odczytu obiektów 32KB – 1600 obiektów/sekundę, 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c. dla zapisu obiektów 100MB – 350 MB/sekundę, 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>d. dla odczytu obiektów 100MB – 500 MB/sekundę.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Określone powyżej parametry muszą być utrzymywane niezależnie od ilości danych przechowywanych w rozwiązaniu.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Wykonawca zobowiązany jest przeprowadzić testy wydajności dla dostarczonej macierzy przy pomocy narzędzia COSBench (https://github.com/intel-cloud/cosbench). Wykonawca zaplanuje i przeprowadzi testy wydajności zapisu i odczytu dla obiektów o wielkości 32KB oraz dla obiektów o wielkości 100MB. Zamawiający uzna test za zakończony sukcesem, jeśli uzyskane parametry potwierdzą wydajność operacji przedstawioną powyżej, osiągnięte z wykorzystaniem protokołu S3.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highlight w:val="yellow"/>
                <w:lang w:eastAsia="pl-PL"/>
              </w:rPr>
              <w:lastRenderedPageBreak/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highlight w:val="yellow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1.2.16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Wykonawca przekaże Zamawiającemu raport z testów. Wykonawca zapewni niezbędny sprzęt i oprogramowanie do wykonania testów.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Wymagania dotyczące składowania danych</w:t>
            </w:r>
            <w:r w:rsidR="00E43A3C"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posiadać możliwość integracji z aplikacjami za pomocą co najmniej następujących protokołów i interfejsów: HTTP/HTTPS, S3, REST API, CIFS i/lub NFS. Jeżeli wykorzystanie któregokolwiek z wymienionych protokołów i interfejsów wymaga zastosowania dodatkowej licencji lub oprogramowania, to należy je dostarczyć wraz z rozwiązaniem.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1.3.2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Dane w obiektowym systemie składowania danych będącym przedmiotem zapytania muszą być składowane jako obiekty składające się z danych oraz opisujących je metadanych. Metadane nie mogą być składowane w wydzielonej bazie danych, a replikacja danych (obiektów) odbywa się spójnie z metadanymi.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>1.3.3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Dostarczone rozwiązanie musi zapewniać i gwarantować niezmienność składowanych w nim obiektów, między innymi poprzez wykorzystanie wbudowanej technologii WORM (Write Once Read Many). Zamawiający wymaga, aby funkcjonalność WORM była realizowana wewnątrz dostarczonego gotowego rozwiązania sprzętowego (appliance) w jego oprogramowaniu systemowym. Nie dopuszcza się, aby funkcjonalność WORM realizowana była poprzez rozwiązania programowe i rozwiązania uruchamiane w warstwie wirtualizacyjnej (VMware, Hyper-V, KVM i inne).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1.3.4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posiadać możliwość definiowania różnych poziomów retencji przechowywania danych, gwarantujących brak możliwości skasowania danych przed upływem zdefiniowanego czasu.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1.3.5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ind w:left="178" w:hanging="178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posiadać mechanizmy zapewniające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przenoszenie danych (zapisanych jako WORM) pomiędzy kolejnym nowszymi modelami urządzeń. Tryb ten nie może umożliwiać ingerencji w konkretne dane, ma jedynie umożliwiać wymianę rozwiązań EOL lub zmianę rozwiązania świadczącego usługę składowania danych na WORM.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1.3.6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Funkcjonalność WORM musi działać co najmniej dla protokołu NFS. Retencja musi działać co najmniej dla protokołu dostępowego S3.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1.3.7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Rozwiązanie musi pozwalać na zdefiniowanie zasobów obiektowych lub/i plikowych, w których istnieje możliwość usuwania danych przed upływem retencji oraz zasobów obiektowych lub/i plikowych, w których usuwanie danych przed 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>upływem retencji jest niemożliwe - również przez operatora/administratora platformy. Rozwiązanie powinno pozwalać na definiowanie i uruchamianie jednocześnie obydwu typów zasobów obiektowych lub/i plikowych. Jeżeli ta funkcjonalność wymaga dodatkowej licencji, należy ją dostarczyć.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1.3.8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posiadać możliwość tworzenia logicznie odseparowanych obszarów tzw. „MULTI-TENANCY”, z możliwością zarządzania przez różnych administratorów. Rozdzielność administrowania tak tworzonymi obszarami dotyczy co najmniej: przypisywanie użytkowników, tworzenie praw dostępu, polityki składowania danych w tym retencji i replikacji, monitorowania wykorzystania pojemności.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1.3.9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Zamawiający wymaga, aby dostarczone rozwiązanie posiadało możliwość zdefiniowania co najmniej 1000 logicznych partycji ("tennant'ów").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1.3.10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Musi istnieć możliwość mapowania zasobów do różnych zastosowań w taki sposób, aby dla każdego z nich możliwe było definiowanie różnych i niezależnych parametrów i kryteriów składowania danych w tym, co najmniej: retencji, quoty i replikacji, oraz indeksowania dla protokołu S3.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1.3.11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posiadać swoje własne wbudowane mechanizmy weryfikacji integralności danych np. przy pomocy sum kontrolnych składowanych obiektów.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1.3.12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Rozwiązanie musi posiadać funkcjonalność szyfrowania danych przechowywanych na dyskach obiektowego magazynu składowania danych. Wymagane jest użycie 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>algorytmu min. AES-256 lub równoważnego. Jeżeli wymagana jest licencja, należy ją dostarczyć.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1.3.13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posiadać możliwość autentykacji użytkowników z wykorzystaniem AD/LDAP.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1.3.14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posiadać natywnie wbudowane mechanizmy umożliwiające replikację składowanych danych pomiędzy różnymi lokalizacjami z wykorzystaniem sieci LAN/WAN. Zastosowanie niniejszego mechanizmu musi również spełniać wymagania replikacji metadanych, uprawnień, polityki retencji oraz niezmienności danych tzn. awaria urządzenia w lokalizacji podstawowej nie może eliminować gwarancji niezmienności danych na platformie zdalnej.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1.3.15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Replikacja powinna być możliwa zarówno w trybie Active/Passive, czyli w trybie, w którym do odczytu i zapisu udostępniona jest replikowana przestrzeń nazw tylko w jednym ośrodku, jak i w trybie Active/Active, w którym do odczytu i zapisu udostępnione są replikowane przestrzenie nazw w każdym ośrodku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1.3.16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Replikacja powinna być możliwa pomiędzy co najmniej 3 ośrodkami. W każdym z tych ośrodków replikowana przestrzeń nazw musi być jednocześnie dostępna do zapisu i odczytu w przypadku replikacji w trybie Active/Active.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1.3.17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 replikacji active/active system powinien zwracać najbardziej aktualną wersję obiektu, niezależnie od tego, do którego ośrodka trafi zapytanie.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1.4.1</w:t>
            </w:r>
          </w:p>
        </w:tc>
        <w:tc>
          <w:tcPr>
            <w:tcW w:w="8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Wymagania dotyczące monitorowania i zarządzania</w:t>
            </w:r>
            <w:r w:rsidR="00E43A3C"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Rozwiązanie powinno posiadać możliwość zarządzania co najmniej poprzez graficzny interfejs użytkownika oraz poprzez API z wykorzystaniem </w:t>
            </w: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lastRenderedPageBreak/>
              <w:t>protokołów HTTP/HTTPS.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1.4.2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 xml:space="preserve">Rozwiązanie powinno posiadać możliwość automatycznego monitoringu obejmującą m.in.: </w:t>
            </w:r>
          </w:p>
          <w:p w:rsidR="00B24BA5" w:rsidRPr="00705B61" w:rsidRDefault="00B24BA5" w:rsidP="00E950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ajorHAnsi"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szCs w:val="20"/>
                <w:lang w:eastAsia="pl-PL"/>
              </w:rPr>
              <w:t xml:space="preserve">Obciążenia procesorów w poszczególnych serwerach/węzłach, </w:t>
            </w:r>
          </w:p>
          <w:p w:rsidR="00B24BA5" w:rsidRPr="00705B61" w:rsidRDefault="00B24BA5" w:rsidP="00E950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ajorHAnsi"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szCs w:val="20"/>
                <w:lang w:eastAsia="pl-PL"/>
              </w:rPr>
              <w:t>Utylizacji pamięci RAM w poszczególnych serwerach/węzłach,</w:t>
            </w:r>
          </w:p>
          <w:p w:rsidR="00B24BA5" w:rsidRPr="00705B61" w:rsidRDefault="00B24BA5" w:rsidP="00E950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ajorHAnsi"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szCs w:val="20"/>
                <w:lang w:eastAsia="pl-PL"/>
              </w:rPr>
              <w:t>Obciążenia interfejsów sieciowych w poszczególnych</w:t>
            </w:r>
          </w:p>
          <w:p w:rsidR="00B24BA5" w:rsidRPr="00705B61" w:rsidRDefault="00B24BA5" w:rsidP="00E950F1">
            <w:pPr>
              <w:pStyle w:val="Akapitzlist"/>
              <w:spacing w:after="0" w:line="240" w:lineRule="auto"/>
              <w:rPr>
                <w:rFonts w:eastAsia="Times New Roman" w:cstheme="majorHAnsi"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szCs w:val="20"/>
                <w:lang w:eastAsia="pl-PL"/>
              </w:rPr>
              <w:t>serwerach/węzłach,</w:t>
            </w:r>
          </w:p>
          <w:p w:rsidR="00B24BA5" w:rsidRPr="00705B61" w:rsidRDefault="00B24BA5" w:rsidP="00E950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ajorHAnsi"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szCs w:val="20"/>
                <w:lang w:eastAsia="pl-PL"/>
              </w:rPr>
              <w:t>Pojemności i zajętości poszczególnych pul dyskowych.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1.4.3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umożliwiać automatyczne wysyłanie powiadomień do administratora minimum poprzez email</w:t>
            </w:r>
          </w:p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wspierać protokół Simple Network Management Protocol (SNMP) v3.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  <w:tr w:rsidR="00B24BA5" w:rsidRPr="00705B61" w:rsidTr="00E950F1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1.4.4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E950F1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  <w:r w:rsidRPr="00705B61">
              <w:rPr>
                <w:rFonts w:asciiTheme="minorHAnsi" w:eastAsia="Times New Roman" w:hAnsiTheme="minorHAnsi" w:cstheme="majorHAnsi"/>
                <w:szCs w:val="20"/>
                <w:lang w:eastAsia="pl-PL"/>
              </w:rPr>
              <w:t>Rozwiązanie musi mieć możliwość podłączenia go do centrum serwisowego producenta, w celu zdalnego monitorowania poprawności funkcjonowania komponentów rozwiązania.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5" w:rsidRPr="00705B61" w:rsidRDefault="00B24BA5" w:rsidP="002D3D74">
            <w:pPr>
              <w:spacing w:after="0" w:line="240" w:lineRule="auto"/>
              <w:rPr>
                <w:rFonts w:asciiTheme="minorHAnsi" w:eastAsia="Times New Roman" w:hAnsiTheme="minorHAnsi" w:cstheme="majorHAnsi"/>
                <w:szCs w:val="20"/>
                <w:lang w:eastAsia="pl-PL"/>
              </w:rPr>
            </w:pPr>
          </w:p>
        </w:tc>
      </w:tr>
    </w:tbl>
    <w:p w:rsidR="002F5E3A" w:rsidRPr="00705B61" w:rsidRDefault="002F5E3A" w:rsidP="00B24BA5">
      <w:pPr>
        <w:rPr>
          <w:rFonts w:asciiTheme="minorHAnsi" w:hAnsiTheme="minorHAnsi"/>
          <w:sz w:val="24"/>
        </w:rPr>
      </w:pPr>
    </w:p>
    <w:p w:rsidR="00036D95" w:rsidRPr="00705B61" w:rsidRDefault="00036D95" w:rsidP="00036D95">
      <w:pPr>
        <w:pStyle w:val="Nagwek3"/>
        <w:jc w:val="both"/>
        <w:rPr>
          <w:rFonts w:asciiTheme="minorHAnsi" w:hAnsiTheme="minorHAnsi" w:cstheme="majorHAnsi"/>
          <w:szCs w:val="20"/>
        </w:rPr>
      </w:pPr>
      <w:r w:rsidRPr="00705B61">
        <w:rPr>
          <w:rFonts w:asciiTheme="minorHAnsi" w:hAnsiTheme="minorHAnsi" w:cstheme="majorHAnsi"/>
          <w:szCs w:val="20"/>
          <w:u w:val="single"/>
        </w:rPr>
        <w:t>Macierz obiektowa – system podtrzymania zasilania (UPS)</w:t>
      </w:r>
    </w:p>
    <w:p w:rsidR="00036D95" w:rsidRPr="00705B61" w:rsidRDefault="00036D95" w:rsidP="00B24BA5">
      <w:pPr>
        <w:rPr>
          <w:rFonts w:asciiTheme="minorHAnsi" w:hAnsiTheme="minorHAnsi"/>
          <w:szCs w:val="20"/>
        </w:rPr>
      </w:pPr>
    </w:p>
    <w:p w:rsidR="00AB4D19" w:rsidRPr="00705B61" w:rsidRDefault="00AB4D19" w:rsidP="00AB4D19">
      <w:pPr>
        <w:spacing w:after="0" w:line="240" w:lineRule="auto"/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Nazwa producenta: …………………………</w:t>
      </w:r>
    </w:p>
    <w:p w:rsidR="00AB4D19" w:rsidRPr="00705B61" w:rsidRDefault="00AB4D19" w:rsidP="00AB4D19">
      <w:pPr>
        <w:spacing w:after="0" w:line="240" w:lineRule="auto"/>
        <w:rPr>
          <w:rFonts w:asciiTheme="minorHAnsi" w:hAnsiTheme="minorHAnsi"/>
          <w:szCs w:val="20"/>
        </w:rPr>
      </w:pPr>
      <w:r w:rsidRPr="00705B61">
        <w:rPr>
          <w:rFonts w:asciiTheme="minorHAnsi" w:hAnsiTheme="minorHAnsi"/>
          <w:szCs w:val="20"/>
        </w:rPr>
        <w:t>Typ/model: …………………………</w:t>
      </w:r>
    </w:p>
    <w:p w:rsidR="00AB4D19" w:rsidRPr="00705B61" w:rsidRDefault="00AB4D19" w:rsidP="00B24BA5">
      <w:pPr>
        <w:rPr>
          <w:rFonts w:asciiTheme="minorHAnsi" w:hAnsiTheme="minorHAns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877"/>
        <w:gridCol w:w="3117"/>
        <w:gridCol w:w="2801"/>
      </w:tblGrid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b/>
                <w:szCs w:val="20"/>
              </w:rPr>
            </w:pPr>
            <w:r w:rsidRPr="00705B61">
              <w:rPr>
                <w:rFonts w:asciiTheme="minorHAnsi" w:hAnsiTheme="minorHAnsi" w:cs="Tahoma"/>
                <w:b/>
                <w:szCs w:val="20"/>
              </w:rPr>
              <w:t>Lp.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b/>
                <w:szCs w:val="20"/>
              </w:rPr>
            </w:pPr>
            <w:r w:rsidRPr="00705B61">
              <w:rPr>
                <w:rFonts w:asciiTheme="minorHAnsi" w:hAnsiTheme="minorHAnsi" w:cs="Tahoma"/>
                <w:b/>
                <w:szCs w:val="20"/>
              </w:rPr>
              <w:t>Opis wymagań techniczno-funkcjonalnych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b/>
                <w:szCs w:val="20"/>
              </w:rPr>
            </w:pPr>
            <w:r w:rsidRPr="00705B61">
              <w:rPr>
                <w:rFonts w:asciiTheme="minorHAnsi" w:hAnsiTheme="minorHAnsi" w:cs="Tahoma"/>
                <w:b/>
                <w:szCs w:val="20"/>
              </w:rPr>
              <w:t xml:space="preserve">Konfiguracja minimalna 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6A484D" w:rsidP="002D3D74">
            <w:pPr>
              <w:rPr>
                <w:rFonts w:asciiTheme="minorHAnsi" w:hAnsiTheme="minorHAnsi" w:cs="Tahoma"/>
                <w:b/>
                <w:szCs w:val="20"/>
              </w:rPr>
            </w:pPr>
            <w:r w:rsidRPr="00705B61">
              <w:rPr>
                <w:rFonts w:asciiTheme="minorHAnsi" w:eastAsia="Times New Roman" w:hAnsiTheme="minorHAnsi" w:cstheme="majorHAnsi"/>
                <w:b/>
                <w:bCs/>
                <w:szCs w:val="20"/>
                <w:lang w:eastAsia="pl-PL"/>
              </w:rPr>
              <w:t>Opis Wykonawcy potwierdzający spełnienie wymagań</w:t>
            </w:r>
          </w:p>
        </w:tc>
      </w:tr>
      <w:tr w:rsidR="00036D95" w:rsidRPr="006553C4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Technologia.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  <w:lang w:val="en-US"/>
              </w:rPr>
            </w:pPr>
            <w:r w:rsidRPr="00705B61">
              <w:rPr>
                <w:rFonts w:asciiTheme="minorHAnsi" w:hAnsiTheme="minorHAnsi"/>
                <w:sz w:val="24"/>
                <w:lang w:val="en-US"/>
              </w:rPr>
              <w:t>Line interactive</w:t>
            </w:r>
            <w:r w:rsidR="00F724C6" w:rsidRPr="00705B61">
              <w:rPr>
                <w:rFonts w:asciiTheme="minorHAnsi" w:hAnsiTheme="minorHAnsi"/>
                <w:sz w:val="24"/>
                <w:lang w:val="en-US"/>
              </w:rPr>
              <w:t xml:space="preserve"> lub On-Line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  <w:lang w:val="en-US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2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Napięcie wejściowe 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230 V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3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Sposób zasilania.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Plug&amp;Play Gniazdo w standardzie IEC 320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lastRenderedPageBreak/>
              <w:t>4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Tolerancja napięcia wejściowego przy obciążeniu 70-100%; bez przechodzenia na baterie.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165 – 286 V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5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Tolerancja napięcia wejściowego przy obciążeniu mniejszym od 70%; bez przechodzenia na baterie.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155 – 300 V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6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Częstotliwość wejściowa.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Wymagana 50-60 Hz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7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Napięcie wyjściowe 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230 V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8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Częstotliwość wyjściowa.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 xml:space="preserve">50/60Hz 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9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Czas podtrzymania.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Minimum 36 min. przy obciążeniu 1kW.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10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autoSpaceDN w:val="0"/>
              <w:adjustRightInd w:val="0"/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Baterie.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jc w:val="both"/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Szczelne, bezobsługowe o projektowanej żywotności min. 3-5 lat.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11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Możliwość rozbudowy o dodatkowe zewnętrzne moduły bateryjne.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Min. 5 modułów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12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Panel sterujący z wyświetlaczem oraz sygnalizacją akustyczną.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jc w:val="both"/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Wymagane ze wskazaniem parametrów napięcia wejściowego i wyjściowego, częstotliwości, dziennik zdarzeń, informacje ustawień karty SNMP, licznik energii, sugerowanie daty wymiany akumulatora.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13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Złącze interfejsów.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RS232, USB, REPO, slot na kartę komunikacyjną SNMP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14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Gniazda wyjściowe IEC320 na zasilaczu UPS.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 xml:space="preserve">Wymagane minimum gniazd </w:t>
            </w:r>
            <w:r w:rsidRPr="00705B61">
              <w:rPr>
                <w:rFonts w:asciiTheme="minorHAnsi" w:hAnsiTheme="minorHAnsi" w:cs="Tahoma"/>
                <w:szCs w:val="20"/>
              </w:rPr>
              <w:br/>
              <w:t>8 szt x IEC 320-C13.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15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Karta sieciowa SNMP.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Wymagane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16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Interfejs EPO (do wyłącznika ppoż.)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Wymagane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lastRenderedPageBreak/>
              <w:t>17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autoSpaceDN w:val="0"/>
              <w:adjustRightInd w:val="0"/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Diagnostyka parametrów urządzenia</w:t>
            </w:r>
          </w:p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UPS i baterii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autoSpaceDN w:val="0"/>
              <w:adjustRightInd w:val="0"/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Automatyczna diagnostyka parametrów urządzenia UPS i baterii na panelu UPS-a i z wykorzystaniem oprogramowania do zarządzania i monitorowania UPS.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18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autoSpaceDN w:val="0"/>
              <w:adjustRightInd w:val="0"/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Oprogramowanie zapewniające pełny monitoring, zarządzanie i automatyczny shut-down systemu operacyjnego.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Wymagane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19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Poziom hałasu w odległości 1m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&lt; 40 dBA</w:t>
            </w:r>
          </w:p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Wentylatory o regulowanej prędkości obrotowej w zależności od obciążenia i temperatury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20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autoSpaceDN w:val="0"/>
              <w:adjustRightInd w:val="0"/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Spełnienie wszystkich obowiązujących norm w zakresie bezpieczeństwa, kompatybilności elektromagnetycznej potwierdzone deklaracją zgodności CE.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Wymagane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21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autoSpaceDN w:val="0"/>
              <w:adjustRightInd w:val="0"/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Wymiary zasilacza UPS w szafie rack z bateriami.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Maks 4U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color w:val="FF0000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22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Waga zasilacza z bateriami.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&lt;65</w:t>
            </w:r>
            <w:r w:rsidRPr="00705B61">
              <w:rPr>
                <w:rFonts w:asciiTheme="minorHAnsi" w:hAnsiTheme="minorHAnsi" w:cs="Tahoma"/>
                <w:color w:val="FF0000"/>
                <w:szCs w:val="20"/>
              </w:rPr>
              <w:t xml:space="preserve"> </w:t>
            </w:r>
            <w:r w:rsidRPr="00705B61">
              <w:rPr>
                <w:rFonts w:asciiTheme="minorHAnsi" w:hAnsiTheme="minorHAnsi" w:cs="Tahoma"/>
                <w:szCs w:val="20"/>
              </w:rPr>
              <w:t>kg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color w:val="FF0000"/>
                <w:szCs w:val="20"/>
              </w:rPr>
            </w:pPr>
          </w:p>
        </w:tc>
      </w:tr>
      <w:tr w:rsidR="00036D95" w:rsidRPr="00705B61" w:rsidTr="00036D95">
        <w:trPr>
          <w:cantSplit/>
          <w:trHeight w:val="852"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23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Obudowa.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Do montażu w szafie/wolnostojący, wymagane szyny montażowe w standardzie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color w:val="FF0000"/>
                <w:szCs w:val="20"/>
              </w:rPr>
            </w:pPr>
          </w:p>
        </w:tc>
      </w:tr>
      <w:tr w:rsidR="00036D95" w:rsidRPr="00705B61" w:rsidTr="00036D95">
        <w:trPr>
          <w:cantSplit/>
        </w:trPr>
        <w:tc>
          <w:tcPr>
            <w:tcW w:w="265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24</w:t>
            </w:r>
          </w:p>
        </w:tc>
        <w:tc>
          <w:tcPr>
            <w:tcW w:w="1549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Instrukcja w języku polskim.</w:t>
            </w:r>
          </w:p>
        </w:tc>
        <w:tc>
          <w:tcPr>
            <w:tcW w:w="1678" w:type="pct"/>
            <w:shd w:val="clear" w:color="auto" w:fill="auto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  <w:r w:rsidRPr="00705B61">
              <w:rPr>
                <w:rFonts w:asciiTheme="minorHAnsi" w:hAnsiTheme="minorHAnsi" w:cs="Tahoma"/>
                <w:szCs w:val="20"/>
              </w:rPr>
              <w:t>Wymagane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036D95" w:rsidRPr="00705B61" w:rsidRDefault="00036D95" w:rsidP="002D3D74">
            <w:pPr>
              <w:rPr>
                <w:rFonts w:asciiTheme="minorHAnsi" w:hAnsiTheme="minorHAnsi" w:cs="Tahoma"/>
                <w:szCs w:val="20"/>
              </w:rPr>
            </w:pPr>
          </w:p>
        </w:tc>
      </w:tr>
    </w:tbl>
    <w:p w:rsidR="006A484D" w:rsidRPr="00705B61" w:rsidRDefault="006A484D" w:rsidP="00B24BA5">
      <w:pPr>
        <w:rPr>
          <w:rFonts w:asciiTheme="minorHAnsi" w:hAnsiTheme="minorHAnsi"/>
          <w:sz w:val="24"/>
        </w:rPr>
      </w:pPr>
    </w:p>
    <w:p w:rsidR="00CD11D6" w:rsidRPr="00705B61" w:rsidRDefault="00CD11D6" w:rsidP="00CD11D6">
      <w:pPr>
        <w:pStyle w:val="Nagwek2"/>
        <w:jc w:val="both"/>
        <w:rPr>
          <w:rFonts w:asciiTheme="minorHAnsi" w:hAnsiTheme="minorHAnsi" w:cstheme="majorHAnsi"/>
          <w:sz w:val="24"/>
          <w:szCs w:val="22"/>
          <w:u w:val="single"/>
        </w:rPr>
      </w:pPr>
      <w:bookmarkStart w:id="3" w:name="_Toc136422872"/>
      <w:r w:rsidRPr="00705B61">
        <w:rPr>
          <w:rFonts w:asciiTheme="minorHAnsi" w:hAnsiTheme="minorHAnsi" w:cstheme="majorHAnsi"/>
          <w:sz w:val="24"/>
          <w:szCs w:val="22"/>
          <w:u w:val="single"/>
        </w:rPr>
        <w:t xml:space="preserve">Gwarancja </w:t>
      </w:r>
      <w:bookmarkEnd w:id="3"/>
    </w:p>
    <w:p w:rsidR="00CD11D6" w:rsidRPr="00705B61" w:rsidRDefault="00CD11D6" w:rsidP="00CD11D6">
      <w:pPr>
        <w:rPr>
          <w:rFonts w:asciiTheme="minorHAnsi" w:hAnsiTheme="minorHAnsi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8"/>
        <w:gridCol w:w="1310"/>
      </w:tblGrid>
      <w:tr w:rsidR="00D662DD" w:rsidRPr="00705B61" w:rsidTr="00D662DD">
        <w:trPr>
          <w:trHeight w:val="557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D" w:rsidRPr="00705B61" w:rsidRDefault="00D662DD" w:rsidP="002D3D74">
            <w:pPr>
              <w:spacing w:line="257" w:lineRule="auto"/>
              <w:jc w:val="both"/>
              <w:rPr>
                <w:rFonts w:eastAsia="Calibri"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Gwarancja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D" w:rsidRPr="00705B61" w:rsidRDefault="00D662DD" w:rsidP="00D662DD">
            <w:pPr>
              <w:rPr>
                <w:rFonts w:eastAsia="Times New Roman" w:cstheme="majorHAnsi"/>
                <w:bCs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bCs/>
                <w:szCs w:val="20"/>
                <w:lang w:eastAsia="pl-PL"/>
              </w:rPr>
              <w:t>Spełnia</w:t>
            </w:r>
          </w:p>
          <w:p w:rsidR="00D662DD" w:rsidRPr="00705B61" w:rsidRDefault="00D662DD" w:rsidP="00D662DD">
            <w:pPr>
              <w:rPr>
                <w:rFonts w:eastAsia="Times New Roman" w:cstheme="majorHAnsi"/>
                <w:bCs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bCs/>
                <w:szCs w:val="20"/>
                <w:lang w:eastAsia="pl-PL"/>
              </w:rPr>
              <w:t>TAK/NIE</w:t>
            </w:r>
          </w:p>
        </w:tc>
      </w:tr>
      <w:tr w:rsidR="00D662DD" w:rsidRPr="00705B61" w:rsidTr="00D662DD">
        <w:trPr>
          <w:trHeight w:val="1394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D" w:rsidRPr="00705B61" w:rsidRDefault="00D662DD" w:rsidP="002D3D74">
            <w:pPr>
              <w:spacing w:line="257" w:lineRule="auto"/>
              <w:jc w:val="both"/>
              <w:rPr>
                <w:rFonts w:eastAsia="Calibri" w:cstheme="majorHAnsi"/>
                <w:szCs w:val="20"/>
              </w:rPr>
            </w:pPr>
            <w:r w:rsidRPr="00705B61">
              <w:rPr>
                <w:rFonts w:eastAsia="Calibri" w:cstheme="majorHAnsi"/>
                <w:szCs w:val="20"/>
              </w:rPr>
              <w:t>Wykonawca zobowiązany jest do wykupienia gwarancji producenta w trybie NBD na wszystkie dostarczone komponenty na okres 3 lat liczony od daty zakończenia wdrożenia, potwierdzonego protokołem odbioru. Wykonawca zobowiązany jest do wykazania spełnienia ww. wymagania w ramach czynności odbiorowych.</w:t>
            </w:r>
          </w:p>
          <w:p w:rsidR="00D662DD" w:rsidRPr="00705B61" w:rsidRDefault="00D662DD" w:rsidP="002D3D74">
            <w:pPr>
              <w:spacing w:line="257" w:lineRule="auto"/>
              <w:jc w:val="both"/>
              <w:rPr>
                <w:rFonts w:eastAsia="Calibri" w:cstheme="majorHAnsi"/>
                <w:szCs w:val="20"/>
              </w:rPr>
            </w:pPr>
            <w:r w:rsidRPr="00705B61">
              <w:rPr>
                <w:rFonts w:eastAsia="Calibri" w:cstheme="majorHAnsi"/>
                <w:szCs w:val="20"/>
              </w:rPr>
              <w:t xml:space="preserve">Serwis będzie realizowany przez producenta w jego autoryzowanym kanale </w:t>
            </w:r>
            <w:r w:rsidRPr="00705B61">
              <w:rPr>
                <w:rFonts w:eastAsia="Calibri" w:cstheme="majorHAnsi"/>
                <w:szCs w:val="20"/>
              </w:rPr>
              <w:lastRenderedPageBreak/>
              <w:t>serwisowym na terytorium RP.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D" w:rsidRPr="00705B61" w:rsidRDefault="00D662DD" w:rsidP="00CD11D6">
            <w:pPr>
              <w:spacing w:line="257" w:lineRule="auto"/>
              <w:jc w:val="both"/>
              <w:rPr>
                <w:rFonts w:eastAsia="Calibri" w:cstheme="majorHAnsi"/>
                <w:szCs w:val="20"/>
              </w:rPr>
            </w:pPr>
          </w:p>
        </w:tc>
      </w:tr>
    </w:tbl>
    <w:p w:rsidR="006A484D" w:rsidRPr="00705B61" w:rsidRDefault="006A484D" w:rsidP="006A484D">
      <w:pPr>
        <w:rPr>
          <w:rFonts w:asciiTheme="minorHAnsi" w:hAnsiTheme="minorHAnsi"/>
          <w:sz w:val="24"/>
        </w:rPr>
      </w:pPr>
    </w:p>
    <w:p w:rsidR="00CD11D6" w:rsidRPr="00705B61" w:rsidRDefault="00CD11D6" w:rsidP="00CD11D6">
      <w:pPr>
        <w:pStyle w:val="Nagwek2"/>
        <w:jc w:val="both"/>
        <w:rPr>
          <w:rFonts w:asciiTheme="minorHAnsi" w:hAnsiTheme="minorHAnsi" w:cstheme="majorHAnsi"/>
          <w:sz w:val="24"/>
          <w:szCs w:val="22"/>
          <w:u w:val="single"/>
        </w:rPr>
      </w:pPr>
      <w:r w:rsidRPr="00705B61">
        <w:rPr>
          <w:rFonts w:asciiTheme="minorHAnsi" w:hAnsiTheme="minorHAnsi" w:cstheme="majorHAnsi"/>
          <w:sz w:val="24"/>
          <w:szCs w:val="22"/>
          <w:u w:val="single"/>
        </w:rPr>
        <w:t>wsparcie techniczne</w:t>
      </w:r>
    </w:p>
    <w:p w:rsidR="008700FF" w:rsidRPr="00705B61" w:rsidRDefault="008700FF" w:rsidP="006A484D">
      <w:pPr>
        <w:rPr>
          <w:rFonts w:asciiTheme="minorHAnsi" w:hAnsiTheme="minorHAnsi"/>
          <w:sz w:val="24"/>
        </w:rPr>
      </w:pPr>
    </w:p>
    <w:tbl>
      <w:tblPr>
        <w:tblStyle w:val="Tabela-Siatka"/>
        <w:tblW w:w="5000" w:type="pct"/>
        <w:tblLayout w:type="fixed"/>
        <w:tblLook w:val="0420" w:firstRow="1" w:lastRow="0" w:firstColumn="0" w:lastColumn="0" w:noHBand="0" w:noVBand="1"/>
      </w:tblPr>
      <w:tblGrid>
        <w:gridCol w:w="533"/>
        <w:gridCol w:w="3970"/>
        <w:gridCol w:w="3685"/>
        <w:gridCol w:w="1100"/>
      </w:tblGrid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1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Warunki napraw gwarancyjnych sprzętu i wsparcia technicznego.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NBD</w:t>
            </w:r>
          </w:p>
        </w:tc>
        <w:tc>
          <w:tcPr>
            <w:tcW w:w="592" w:type="pct"/>
          </w:tcPr>
          <w:p w:rsidR="00D662DD" w:rsidRPr="00705B61" w:rsidRDefault="00D662DD" w:rsidP="00D662DD">
            <w:pPr>
              <w:rPr>
                <w:rFonts w:eastAsia="Times New Roman" w:cstheme="majorHAnsi"/>
                <w:bCs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bCs/>
                <w:szCs w:val="20"/>
                <w:lang w:eastAsia="pl-PL"/>
              </w:rPr>
              <w:t>Spełnia</w:t>
            </w:r>
          </w:p>
          <w:p w:rsidR="00D662DD" w:rsidRPr="00705B61" w:rsidRDefault="00D662DD" w:rsidP="00D662DD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eastAsia="Times New Roman" w:cstheme="majorHAnsi"/>
                <w:bCs/>
                <w:szCs w:val="20"/>
                <w:lang w:eastAsia="pl-PL"/>
              </w:rPr>
              <w:t>TAK/NIE</w:t>
            </w: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2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Przyjmowanie zgłoszeń.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24/7/365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6553C4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3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Tryb przyjmowania zgłoszeń.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  <w:lang w:val="en-US"/>
              </w:rPr>
            </w:pPr>
            <w:r w:rsidRPr="00705B61">
              <w:rPr>
                <w:rFonts w:cstheme="majorHAnsi"/>
                <w:szCs w:val="20"/>
                <w:lang w:val="en-US"/>
              </w:rPr>
              <w:t>Faks, e-mail,</w:t>
            </w:r>
          </w:p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  <w:lang w:val="en-US"/>
              </w:rPr>
            </w:pPr>
            <w:r w:rsidRPr="00705B61">
              <w:rPr>
                <w:rFonts w:cstheme="majorHAnsi"/>
                <w:szCs w:val="20"/>
                <w:lang w:val="en-US"/>
              </w:rPr>
              <w:t>telefon, www,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  <w:lang w:val="en-US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  <w:lang w:val="en-US"/>
              </w:rPr>
            </w:pPr>
            <w:r w:rsidRPr="00705B61">
              <w:rPr>
                <w:rFonts w:cstheme="majorHAnsi"/>
                <w:szCs w:val="20"/>
                <w:lang w:val="en-US"/>
              </w:rPr>
              <w:t>4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Śledzenie zgłoszeń i SLA w portalu serwisowym.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Tak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5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Czas reakcji.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NBD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6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Czas usunięcia awarii</w:t>
            </w:r>
          </w:p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czas liczony od momentu potwierdzenia otrzymania zgłoszenia do momentu dokonania skutecznej naprawy.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5 dni roboczych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7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Zdalna obsługa zgłoszeń.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Tak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8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Obsługa zgłoszeń w języku polski.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Tak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9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Obsługa zgłoszeń w miejscu instalacji.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Tak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10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Wsparcie proaktywne:</w:t>
            </w:r>
            <w:r w:rsidRPr="00705B61">
              <w:rPr>
                <w:rFonts w:cstheme="majorHAnsi"/>
                <w:szCs w:val="20"/>
              </w:rPr>
              <w:br/>
              <w:t>instalacja poprawek oprogramowania i aktualizacja mikrokodu sprzętu na podstawie biuletynów producenta w efekcie zdiagnozowania błędów w oprogramowaniu lub rozszerzenia funkcjonalności produktu.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Pn-Pt, 8:00 – 16:00</w:t>
            </w:r>
          </w:p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każdorazowo planowane z koordynatorem klienta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11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Wsparcie konsultacyjne świadczone przez certyfikowanego inżyniera serwisu zapewniającego wsparcie merytoryczne w zakresie zakupionych produktów.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Pn-Pt, 8:00 – 16:00 zdalnie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  <w:tr w:rsidR="00D662DD" w:rsidRPr="00705B61" w:rsidTr="00D662DD">
        <w:trPr>
          <w:trHeight w:val="300"/>
        </w:trPr>
        <w:tc>
          <w:tcPr>
            <w:tcW w:w="287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12</w:t>
            </w:r>
          </w:p>
        </w:tc>
        <w:tc>
          <w:tcPr>
            <w:tcW w:w="2137" w:type="pct"/>
            <w:noWrap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Przypisany koordynator serwisu.</w:t>
            </w:r>
          </w:p>
        </w:tc>
        <w:tc>
          <w:tcPr>
            <w:tcW w:w="1984" w:type="pct"/>
            <w:hideMark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  <w:r w:rsidRPr="00705B61">
              <w:rPr>
                <w:rFonts w:cstheme="majorHAnsi"/>
                <w:szCs w:val="20"/>
              </w:rPr>
              <w:t>Tak</w:t>
            </w:r>
          </w:p>
        </w:tc>
        <w:tc>
          <w:tcPr>
            <w:tcW w:w="592" w:type="pct"/>
          </w:tcPr>
          <w:p w:rsidR="00D662DD" w:rsidRPr="00705B61" w:rsidRDefault="00D662DD" w:rsidP="002D3D74">
            <w:pPr>
              <w:pStyle w:val="Akapitzlist"/>
              <w:ind w:left="0"/>
              <w:rPr>
                <w:rFonts w:cstheme="majorHAnsi"/>
                <w:szCs w:val="20"/>
              </w:rPr>
            </w:pPr>
          </w:p>
        </w:tc>
      </w:tr>
    </w:tbl>
    <w:p w:rsidR="00D662DD" w:rsidRPr="00705B61" w:rsidRDefault="00D662DD" w:rsidP="006A484D">
      <w:pPr>
        <w:rPr>
          <w:rFonts w:asciiTheme="minorHAnsi" w:hAnsiTheme="minorHAnsi"/>
          <w:sz w:val="24"/>
        </w:rPr>
      </w:pPr>
    </w:p>
    <w:p w:rsidR="008700FF" w:rsidRPr="00705B61" w:rsidRDefault="0011769A" w:rsidP="006A484D">
      <w:pPr>
        <w:pStyle w:val="Nagwek2"/>
        <w:jc w:val="both"/>
        <w:rPr>
          <w:rFonts w:asciiTheme="minorHAnsi" w:hAnsiTheme="minorHAnsi" w:cstheme="majorHAnsi"/>
          <w:sz w:val="22"/>
          <w:szCs w:val="20"/>
          <w:u w:val="single"/>
        </w:rPr>
      </w:pPr>
      <w:r w:rsidRPr="00705B61">
        <w:rPr>
          <w:rFonts w:asciiTheme="minorHAnsi" w:hAnsiTheme="minorHAnsi" w:cstheme="majorHAnsi"/>
          <w:sz w:val="22"/>
          <w:szCs w:val="20"/>
          <w:u w:val="single"/>
        </w:rPr>
        <w:t>Szkolenia i Warsztaty</w:t>
      </w:r>
    </w:p>
    <w:p w:rsidR="00D662DD" w:rsidRPr="00705B61" w:rsidRDefault="00D662DD" w:rsidP="006A484D">
      <w:pPr>
        <w:rPr>
          <w:rFonts w:asciiTheme="minorHAnsi" w:hAnsiTheme="minorHAnsi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3"/>
        <w:gridCol w:w="7232"/>
        <w:gridCol w:w="1243"/>
      </w:tblGrid>
      <w:tr w:rsidR="0011769A" w:rsidRPr="00705B61" w:rsidTr="0011769A">
        <w:tc>
          <w:tcPr>
            <w:tcW w:w="438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Lp.</w:t>
            </w:r>
          </w:p>
        </w:tc>
        <w:tc>
          <w:tcPr>
            <w:tcW w:w="3893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Wymagania</w:t>
            </w:r>
          </w:p>
        </w:tc>
        <w:tc>
          <w:tcPr>
            <w:tcW w:w="669" w:type="pct"/>
          </w:tcPr>
          <w:p w:rsidR="0011769A" w:rsidRPr="00705B61" w:rsidRDefault="0011769A" w:rsidP="0011769A">
            <w:pPr>
              <w:rPr>
                <w:rFonts w:eastAsia="Times New Roman" w:cstheme="majorHAnsi"/>
                <w:bCs/>
                <w:szCs w:val="20"/>
                <w:lang w:eastAsia="pl-PL"/>
              </w:rPr>
            </w:pPr>
            <w:r w:rsidRPr="00705B61">
              <w:rPr>
                <w:rFonts w:eastAsia="Times New Roman" w:cstheme="majorHAnsi"/>
                <w:bCs/>
                <w:szCs w:val="20"/>
                <w:lang w:eastAsia="pl-PL"/>
              </w:rPr>
              <w:t>Spełnia</w:t>
            </w:r>
          </w:p>
          <w:p w:rsidR="0011769A" w:rsidRPr="00705B61" w:rsidRDefault="0011769A" w:rsidP="0011769A">
            <w:pPr>
              <w:rPr>
                <w:szCs w:val="20"/>
              </w:rPr>
            </w:pPr>
            <w:r w:rsidRPr="00705B61">
              <w:rPr>
                <w:rFonts w:eastAsia="Times New Roman" w:cstheme="majorHAnsi"/>
                <w:bCs/>
                <w:szCs w:val="20"/>
                <w:lang w:eastAsia="pl-PL"/>
              </w:rPr>
              <w:t>TAK/NIE</w:t>
            </w:r>
          </w:p>
        </w:tc>
      </w:tr>
      <w:tr w:rsidR="0011769A" w:rsidRPr="00705B61" w:rsidTr="0011769A">
        <w:tc>
          <w:tcPr>
            <w:tcW w:w="438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1</w:t>
            </w:r>
          </w:p>
        </w:tc>
        <w:tc>
          <w:tcPr>
            <w:tcW w:w="3893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Wykonawca w ramach realizacji zamówienia zobowiązany jest do przeprowadzenia jedno-dniowych Warsztatów szkoleniowych z dostarczonego rozwiązania.</w:t>
            </w:r>
          </w:p>
        </w:tc>
        <w:tc>
          <w:tcPr>
            <w:tcW w:w="669" w:type="pct"/>
          </w:tcPr>
          <w:p w:rsidR="0011769A" w:rsidRPr="00705B61" w:rsidRDefault="0011769A" w:rsidP="006A484D">
            <w:pPr>
              <w:rPr>
                <w:szCs w:val="20"/>
              </w:rPr>
            </w:pPr>
          </w:p>
        </w:tc>
      </w:tr>
      <w:tr w:rsidR="0011769A" w:rsidRPr="00705B61" w:rsidTr="0011769A">
        <w:tc>
          <w:tcPr>
            <w:tcW w:w="438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2</w:t>
            </w:r>
          </w:p>
        </w:tc>
        <w:tc>
          <w:tcPr>
            <w:tcW w:w="3893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 xml:space="preserve">Wykonawca musi zapewnić dla 1 pracownika Zamawiającego Warsztaty </w:t>
            </w:r>
            <w:r w:rsidRPr="00705B61">
              <w:rPr>
                <w:szCs w:val="20"/>
              </w:rPr>
              <w:lastRenderedPageBreak/>
              <w:t>szkoleniowe.</w:t>
            </w:r>
          </w:p>
        </w:tc>
        <w:tc>
          <w:tcPr>
            <w:tcW w:w="669" w:type="pct"/>
          </w:tcPr>
          <w:p w:rsidR="0011769A" w:rsidRPr="00705B61" w:rsidRDefault="0011769A" w:rsidP="006A484D">
            <w:pPr>
              <w:rPr>
                <w:szCs w:val="20"/>
              </w:rPr>
            </w:pPr>
          </w:p>
        </w:tc>
      </w:tr>
      <w:tr w:rsidR="0011769A" w:rsidRPr="00705B61" w:rsidTr="0011769A">
        <w:tc>
          <w:tcPr>
            <w:tcW w:w="438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3</w:t>
            </w:r>
          </w:p>
        </w:tc>
        <w:tc>
          <w:tcPr>
            <w:tcW w:w="3893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Wykonawca jest zobowiązany do zapewnienia dla pracowników Zamawiającego Warsztatów Szkoleniowych w siedzibie Zamawiającego - na prośbę Zamawiającego forma Warsztatów szkoleniowych może być zmieniona na formę zdalną.</w:t>
            </w:r>
          </w:p>
        </w:tc>
        <w:tc>
          <w:tcPr>
            <w:tcW w:w="669" w:type="pct"/>
          </w:tcPr>
          <w:p w:rsidR="0011769A" w:rsidRPr="00705B61" w:rsidRDefault="0011769A" w:rsidP="006A484D">
            <w:pPr>
              <w:rPr>
                <w:szCs w:val="20"/>
              </w:rPr>
            </w:pPr>
          </w:p>
        </w:tc>
      </w:tr>
      <w:tr w:rsidR="0011769A" w:rsidRPr="00705B61" w:rsidTr="0011769A">
        <w:tc>
          <w:tcPr>
            <w:tcW w:w="438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4</w:t>
            </w:r>
          </w:p>
        </w:tc>
        <w:tc>
          <w:tcPr>
            <w:tcW w:w="3893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Wykonawca zapewni uczestnikom Warsztatów szkoleniowych materiały szkoleniowe w formie elektronicznej.</w:t>
            </w:r>
          </w:p>
        </w:tc>
        <w:tc>
          <w:tcPr>
            <w:tcW w:w="669" w:type="pct"/>
          </w:tcPr>
          <w:p w:rsidR="0011769A" w:rsidRPr="00705B61" w:rsidRDefault="0011769A" w:rsidP="006A484D">
            <w:pPr>
              <w:rPr>
                <w:szCs w:val="20"/>
              </w:rPr>
            </w:pPr>
          </w:p>
        </w:tc>
      </w:tr>
      <w:tr w:rsidR="0011769A" w:rsidRPr="00705B61" w:rsidTr="0011769A">
        <w:tc>
          <w:tcPr>
            <w:tcW w:w="438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5</w:t>
            </w:r>
          </w:p>
        </w:tc>
        <w:tc>
          <w:tcPr>
            <w:tcW w:w="3893" w:type="pct"/>
          </w:tcPr>
          <w:p w:rsidR="0011769A" w:rsidRPr="00705B61" w:rsidRDefault="0011769A" w:rsidP="006A484D">
            <w:pPr>
              <w:rPr>
                <w:szCs w:val="20"/>
              </w:rPr>
            </w:pPr>
            <w:r w:rsidRPr="00705B61">
              <w:rPr>
                <w:szCs w:val="20"/>
              </w:rPr>
              <w:t>Warsztaty szkoleniowe muszą być prowadzone w języku polskim.</w:t>
            </w:r>
          </w:p>
        </w:tc>
        <w:tc>
          <w:tcPr>
            <w:tcW w:w="669" w:type="pct"/>
          </w:tcPr>
          <w:p w:rsidR="0011769A" w:rsidRPr="00705B61" w:rsidRDefault="0011769A" w:rsidP="006A484D">
            <w:pPr>
              <w:rPr>
                <w:szCs w:val="20"/>
              </w:rPr>
            </w:pPr>
          </w:p>
        </w:tc>
      </w:tr>
    </w:tbl>
    <w:p w:rsidR="0011769A" w:rsidRPr="00705B61" w:rsidRDefault="0011769A" w:rsidP="006A484D">
      <w:pPr>
        <w:rPr>
          <w:rFonts w:asciiTheme="minorHAnsi" w:hAnsiTheme="minorHAnsi"/>
          <w:sz w:val="24"/>
        </w:rPr>
      </w:pPr>
    </w:p>
    <w:p w:rsidR="00A96202" w:rsidRPr="00705B61" w:rsidRDefault="00A96202" w:rsidP="006A484D">
      <w:pPr>
        <w:rPr>
          <w:rFonts w:asciiTheme="minorHAnsi" w:hAnsiTheme="minorHAnsi"/>
          <w:sz w:val="24"/>
        </w:rPr>
      </w:pPr>
    </w:p>
    <w:p w:rsidR="00036D95" w:rsidRDefault="00705B61" w:rsidP="00705B61">
      <w:pPr>
        <w:ind w:left="453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</w:t>
      </w:r>
    </w:p>
    <w:p w:rsidR="00705B61" w:rsidRDefault="00A55ACD" w:rsidP="00705B61">
      <w:pPr>
        <w:ind w:left="4536"/>
        <w:jc w:val="center"/>
        <w:rPr>
          <w:rFonts w:asciiTheme="minorHAnsi" w:hAnsiTheme="minorHAnsi"/>
          <w:i/>
          <w:sz w:val="20"/>
        </w:rPr>
      </w:pPr>
      <w:r w:rsidRPr="00705B61">
        <w:rPr>
          <w:rFonts w:asciiTheme="minorHAnsi" w:hAnsiTheme="minorHAnsi"/>
          <w:i/>
          <w:sz w:val="20"/>
        </w:rPr>
        <w:t>P</w:t>
      </w:r>
      <w:r w:rsidR="00705B61" w:rsidRPr="00705B61">
        <w:rPr>
          <w:rFonts w:asciiTheme="minorHAnsi" w:hAnsiTheme="minorHAnsi"/>
          <w:i/>
          <w:sz w:val="20"/>
        </w:rPr>
        <w:t>odpis</w:t>
      </w:r>
    </w:p>
    <w:p w:rsidR="00A55ACD" w:rsidRDefault="00A55ACD" w:rsidP="00A55ACD">
      <w:pPr>
        <w:rPr>
          <w:rFonts w:asciiTheme="minorHAnsi" w:hAnsiTheme="minorHAnsi"/>
          <w:i/>
          <w:sz w:val="20"/>
        </w:rPr>
      </w:pPr>
    </w:p>
    <w:p w:rsidR="00A55ACD" w:rsidRDefault="00A55ACD" w:rsidP="00A55ACD">
      <w:pPr>
        <w:rPr>
          <w:rFonts w:asciiTheme="minorHAnsi" w:hAnsiTheme="minorHAnsi"/>
          <w:i/>
          <w:sz w:val="20"/>
        </w:rPr>
      </w:pPr>
    </w:p>
    <w:p w:rsidR="00A55ACD" w:rsidRDefault="00A55ACD" w:rsidP="00A55ACD">
      <w:pPr>
        <w:rPr>
          <w:rFonts w:asciiTheme="minorHAnsi" w:hAnsiTheme="minorHAnsi"/>
          <w:i/>
          <w:sz w:val="20"/>
        </w:rPr>
      </w:pPr>
    </w:p>
    <w:p w:rsidR="00A55ACD" w:rsidRDefault="00A55ACD" w:rsidP="00A55ACD">
      <w:pPr>
        <w:rPr>
          <w:rFonts w:asciiTheme="minorHAnsi" w:hAnsiTheme="minorHAnsi"/>
          <w:i/>
          <w:sz w:val="20"/>
        </w:rPr>
      </w:pPr>
    </w:p>
    <w:p w:rsidR="00A55ACD" w:rsidRDefault="00A55ACD" w:rsidP="00A55ACD">
      <w:pPr>
        <w:rPr>
          <w:rFonts w:asciiTheme="minorHAnsi" w:hAnsiTheme="minorHAnsi"/>
          <w:i/>
          <w:sz w:val="20"/>
        </w:rPr>
      </w:pPr>
    </w:p>
    <w:p w:rsidR="00A55ACD" w:rsidRPr="00705B61" w:rsidRDefault="00A55ACD" w:rsidP="00A55ACD">
      <w:pPr>
        <w:rPr>
          <w:rFonts w:asciiTheme="minorHAnsi" w:hAnsiTheme="minorHAnsi"/>
          <w:i/>
          <w:sz w:val="24"/>
        </w:rPr>
      </w:pPr>
    </w:p>
    <w:p w:rsidR="00705B61" w:rsidRDefault="00705B61" w:rsidP="006A484D">
      <w:pPr>
        <w:rPr>
          <w:rFonts w:asciiTheme="minorHAnsi" w:hAnsiTheme="minorHAnsi"/>
          <w:sz w:val="24"/>
        </w:rPr>
      </w:pPr>
    </w:p>
    <w:p w:rsidR="00705B61" w:rsidRPr="00705B61" w:rsidRDefault="00A55ACD" w:rsidP="006A484D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i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3604895</wp:posOffset>
            </wp:positionV>
            <wp:extent cx="6712585" cy="1127760"/>
            <wp:effectExtent l="0" t="0" r="0" b="0"/>
            <wp:wrapTight wrapText="bothSides">
              <wp:wrapPolygon edited="0">
                <wp:start x="0" y="0"/>
                <wp:lineTo x="0" y="21162"/>
                <wp:lineTo x="21516" y="21162"/>
                <wp:lineTo x="215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05B61" w:rsidRPr="00705B61" w:rsidSect="00A55ACD">
      <w:footerReference w:type="default" r:id="rId9"/>
      <w:pgSz w:w="11906" w:h="16838"/>
      <w:pgMar w:top="567" w:right="1417" w:bottom="993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98" w:rsidRDefault="00700298" w:rsidP="00E26106">
      <w:pPr>
        <w:spacing w:after="0" w:line="240" w:lineRule="auto"/>
      </w:pPr>
      <w:r>
        <w:separator/>
      </w:r>
    </w:p>
  </w:endnote>
  <w:endnote w:type="continuationSeparator" w:id="0">
    <w:p w:rsidR="00700298" w:rsidRDefault="00700298" w:rsidP="00E2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116959"/>
      <w:docPartObj>
        <w:docPartGallery w:val="Page Numbers (Bottom of Page)"/>
        <w:docPartUnique/>
      </w:docPartObj>
    </w:sdtPr>
    <w:sdtEndPr/>
    <w:sdtContent>
      <w:sdt>
        <w:sdtPr>
          <w:id w:val="-2054912376"/>
          <w:docPartObj>
            <w:docPartGallery w:val="Page Numbers (Top of Page)"/>
            <w:docPartUnique/>
          </w:docPartObj>
        </w:sdtPr>
        <w:sdtEndPr/>
        <w:sdtContent>
          <w:p w:rsidR="00E26106" w:rsidRDefault="00E26106">
            <w:pPr>
              <w:pStyle w:val="Stopka"/>
              <w:jc w:val="center"/>
            </w:pPr>
            <w:r w:rsidRPr="00E26106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834159" w:rsidRPr="00E26106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26106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834159" w:rsidRPr="00E26106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6553C4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834159" w:rsidRPr="00E26106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E26106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834159" w:rsidRPr="00E26106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26106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834159" w:rsidRPr="00E26106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6553C4">
              <w:rPr>
                <w:rFonts w:asciiTheme="minorHAnsi" w:hAnsiTheme="minorHAnsi"/>
                <w:b/>
                <w:noProof/>
                <w:sz w:val="16"/>
                <w:szCs w:val="16"/>
              </w:rPr>
              <w:t>18</w:t>
            </w:r>
            <w:r w:rsidR="00834159" w:rsidRPr="00E26106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26106" w:rsidRDefault="00E26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98" w:rsidRDefault="00700298" w:rsidP="00E26106">
      <w:pPr>
        <w:spacing w:after="0" w:line="240" w:lineRule="auto"/>
      </w:pPr>
      <w:r>
        <w:separator/>
      </w:r>
    </w:p>
  </w:footnote>
  <w:footnote w:type="continuationSeparator" w:id="0">
    <w:p w:rsidR="00700298" w:rsidRDefault="00700298" w:rsidP="00E2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12D"/>
    <w:multiLevelType w:val="hybridMultilevel"/>
    <w:tmpl w:val="AF001B3E"/>
    <w:lvl w:ilvl="0" w:tplc="239A21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A9F4F9E"/>
    <w:multiLevelType w:val="hybridMultilevel"/>
    <w:tmpl w:val="429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233E"/>
    <w:multiLevelType w:val="hybridMultilevel"/>
    <w:tmpl w:val="5A6C5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4B36C03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90E84"/>
    <w:multiLevelType w:val="hybridMultilevel"/>
    <w:tmpl w:val="189C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908"/>
    <w:rsid w:val="00036D95"/>
    <w:rsid w:val="00083495"/>
    <w:rsid w:val="0011769A"/>
    <w:rsid w:val="002A1830"/>
    <w:rsid w:val="002F5E3A"/>
    <w:rsid w:val="003D107D"/>
    <w:rsid w:val="00401DCF"/>
    <w:rsid w:val="0043362D"/>
    <w:rsid w:val="00434CEB"/>
    <w:rsid w:val="00516F23"/>
    <w:rsid w:val="005D3908"/>
    <w:rsid w:val="005E5D99"/>
    <w:rsid w:val="006553C4"/>
    <w:rsid w:val="006A484D"/>
    <w:rsid w:val="006B088C"/>
    <w:rsid w:val="00700298"/>
    <w:rsid w:val="00705B61"/>
    <w:rsid w:val="007E0048"/>
    <w:rsid w:val="00815A2D"/>
    <w:rsid w:val="00834159"/>
    <w:rsid w:val="008700FF"/>
    <w:rsid w:val="009A1018"/>
    <w:rsid w:val="009F1E0A"/>
    <w:rsid w:val="00A55ACD"/>
    <w:rsid w:val="00A96202"/>
    <w:rsid w:val="00AB0AA7"/>
    <w:rsid w:val="00AB4D19"/>
    <w:rsid w:val="00B24BA5"/>
    <w:rsid w:val="00B27564"/>
    <w:rsid w:val="00C0118D"/>
    <w:rsid w:val="00CD11D6"/>
    <w:rsid w:val="00D662DD"/>
    <w:rsid w:val="00DF1961"/>
    <w:rsid w:val="00E21693"/>
    <w:rsid w:val="00E26106"/>
    <w:rsid w:val="00E43A3C"/>
    <w:rsid w:val="00E950F1"/>
    <w:rsid w:val="00F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C1B5-AC60-476C-A2EC-C0E9119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2D"/>
  </w:style>
  <w:style w:type="paragraph" w:styleId="Nagwek1">
    <w:name w:val="heading 1"/>
    <w:basedOn w:val="Normalny"/>
    <w:next w:val="Normalny"/>
    <w:link w:val="Nagwek1Znak"/>
    <w:uiPriority w:val="9"/>
    <w:qFormat/>
    <w:rsid w:val="005D390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908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3908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908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908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3908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908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908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908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90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D390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D390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90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908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3908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9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9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9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"/>
    <w:basedOn w:val="Normalny"/>
    <w:link w:val="AkapitzlistZnak"/>
    <w:uiPriority w:val="34"/>
    <w:qFormat/>
    <w:rsid w:val="005D3908"/>
    <w:pPr>
      <w:spacing w:after="160" w:line="259" w:lineRule="auto"/>
      <w:ind w:left="720"/>
      <w:contextualSpacing/>
    </w:pPr>
    <w:rPr>
      <w:rFonts w:asciiTheme="minorHAnsi" w:eastAsiaTheme="minorEastAsia" w:hAnsiTheme="minorHAnsi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qFormat/>
    <w:rsid w:val="005D3908"/>
    <w:rPr>
      <w:rFonts w:asciiTheme="minorHAnsi" w:eastAsiaTheme="minorEastAsia" w:hAnsiTheme="minorHAnsi"/>
    </w:rPr>
  </w:style>
  <w:style w:type="table" w:styleId="Tabela-Siatka">
    <w:name w:val="Table Grid"/>
    <w:basedOn w:val="Standardowy"/>
    <w:uiPriority w:val="59"/>
    <w:rsid w:val="00CD11D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6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106"/>
  </w:style>
  <w:style w:type="paragraph" w:styleId="Stopka">
    <w:name w:val="footer"/>
    <w:basedOn w:val="Normalny"/>
    <w:link w:val="StopkaZnak"/>
    <w:uiPriority w:val="99"/>
    <w:unhideWhenUsed/>
    <w:rsid w:val="00E26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3436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Daria Starosta</cp:lastModifiedBy>
  <cp:revision>19</cp:revision>
  <dcterms:created xsi:type="dcterms:W3CDTF">2023-06-21T23:36:00Z</dcterms:created>
  <dcterms:modified xsi:type="dcterms:W3CDTF">2023-06-23T10:17:00Z</dcterms:modified>
</cp:coreProperties>
</file>