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50ED" w14:textId="40ADF171" w:rsidR="00465185" w:rsidRPr="00621FF0" w:rsidRDefault="00465185" w:rsidP="00465185">
      <w:pPr>
        <w:spacing w:line="276" w:lineRule="auto"/>
        <w:ind w:left="720"/>
        <w:jc w:val="right"/>
        <w:rPr>
          <w:rFonts w:eastAsia="Times New Roman" w:cs="Times New Roman"/>
          <w:szCs w:val="24"/>
        </w:rPr>
      </w:pPr>
      <w:r w:rsidRPr="00621FF0">
        <w:rPr>
          <w:rFonts w:eastAsia="Times New Roman" w:cs="Times New Roman"/>
          <w:szCs w:val="24"/>
        </w:rPr>
        <w:t xml:space="preserve">Nowy Tomyśl, </w:t>
      </w:r>
      <w:r w:rsidR="00F4617E">
        <w:rPr>
          <w:rFonts w:eastAsia="Times New Roman" w:cs="Times New Roman"/>
          <w:szCs w:val="24"/>
        </w:rPr>
        <w:t>10</w:t>
      </w:r>
      <w:r>
        <w:rPr>
          <w:rFonts w:eastAsia="Times New Roman" w:cs="Times New Roman"/>
          <w:szCs w:val="24"/>
        </w:rPr>
        <w:t xml:space="preserve"> </w:t>
      </w:r>
      <w:r w:rsidR="0052360A">
        <w:rPr>
          <w:rFonts w:eastAsia="Times New Roman" w:cs="Times New Roman"/>
          <w:szCs w:val="24"/>
        </w:rPr>
        <w:t>marca</w:t>
      </w:r>
      <w:r w:rsidRPr="00621FF0">
        <w:rPr>
          <w:rFonts w:eastAsia="Times New Roman" w:cs="Times New Roman"/>
          <w:szCs w:val="24"/>
        </w:rPr>
        <w:t xml:space="preserve"> 202</w:t>
      </w:r>
      <w:r>
        <w:rPr>
          <w:rFonts w:eastAsia="Times New Roman" w:cs="Times New Roman"/>
          <w:szCs w:val="24"/>
        </w:rPr>
        <w:t>3</w:t>
      </w:r>
      <w:r w:rsidRPr="00621FF0">
        <w:rPr>
          <w:rFonts w:eastAsia="Times New Roman" w:cs="Times New Roman"/>
          <w:szCs w:val="24"/>
        </w:rPr>
        <w:t xml:space="preserve"> r. </w:t>
      </w:r>
    </w:p>
    <w:p w14:paraId="6D8E51C8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21FF0">
        <w:rPr>
          <w:rFonts w:ascii="Times New Roman" w:hAnsi="Times New Roman" w:cs="Times New Roman"/>
          <w:sz w:val="24"/>
          <w:szCs w:val="24"/>
        </w:rPr>
        <w:t>Gmina Nowy Tomyśl</w:t>
      </w:r>
    </w:p>
    <w:p w14:paraId="07E4511B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ul. Poznańska 33</w:t>
      </w:r>
    </w:p>
    <w:p w14:paraId="5D083E91" w14:textId="77777777" w:rsidR="00465185" w:rsidRPr="00621FF0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7C852482" w14:textId="3912E946" w:rsidR="00465185" w:rsidRDefault="00465185" w:rsidP="00465185">
      <w:pPr>
        <w:spacing w:line="276" w:lineRule="auto"/>
        <w:jc w:val="both"/>
        <w:rPr>
          <w:rFonts w:cs="Times New Roman"/>
          <w:szCs w:val="24"/>
        </w:rPr>
      </w:pPr>
    </w:p>
    <w:p w14:paraId="634ED10F" w14:textId="654F250E" w:rsidR="00465185" w:rsidRPr="00621FF0" w:rsidRDefault="00465185" w:rsidP="00465185">
      <w:pPr>
        <w:spacing w:line="276" w:lineRule="auto"/>
        <w:jc w:val="both"/>
        <w:rPr>
          <w:rFonts w:cs="Times New Roman"/>
          <w:szCs w:val="24"/>
        </w:rPr>
      </w:pPr>
      <w:r w:rsidRPr="00621FF0">
        <w:rPr>
          <w:rFonts w:cs="Times New Roman"/>
          <w:szCs w:val="24"/>
        </w:rPr>
        <w:t xml:space="preserve">Znak sprawy: </w:t>
      </w:r>
      <w:r w:rsidRPr="00B90D78">
        <w:rPr>
          <w:rFonts w:cs="Times New Roman"/>
          <w:b/>
          <w:bCs/>
          <w:szCs w:val="24"/>
        </w:rPr>
        <w:t>ZP.271.</w:t>
      </w:r>
      <w:r w:rsidR="0052360A">
        <w:rPr>
          <w:rFonts w:cs="Times New Roman"/>
          <w:b/>
          <w:bCs/>
          <w:szCs w:val="24"/>
        </w:rPr>
        <w:t>1</w:t>
      </w:r>
      <w:r w:rsidR="00F4617E">
        <w:rPr>
          <w:rFonts w:cs="Times New Roman"/>
          <w:b/>
          <w:bCs/>
          <w:szCs w:val="24"/>
        </w:rPr>
        <w:t>1</w:t>
      </w:r>
      <w:r w:rsidRPr="00B90D78">
        <w:rPr>
          <w:rFonts w:cs="Times New Roman"/>
          <w:b/>
          <w:bCs/>
          <w:szCs w:val="24"/>
        </w:rPr>
        <w:t>.2023</w:t>
      </w:r>
    </w:p>
    <w:p w14:paraId="01C93053" w14:textId="77777777" w:rsidR="00465185" w:rsidRPr="00621FF0" w:rsidRDefault="00465185" w:rsidP="00465185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1E4F9547" w14:textId="70907DD5" w:rsidR="00465185" w:rsidRDefault="00465185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3D76" w14:textId="77777777" w:rsidR="00D653BB" w:rsidRPr="00621FF0" w:rsidRDefault="00D653BB" w:rsidP="00465185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ADA6F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FBA9F08" w14:textId="77777777" w:rsidR="00465185" w:rsidRPr="00621FF0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WARUNKÓW ZAMÓWIENIA</w:t>
      </w:r>
    </w:p>
    <w:p w14:paraId="5573AD0D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2BFF0" w14:textId="77777777" w:rsidR="00465185" w:rsidRDefault="00465185" w:rsidP="00465185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1FF0">
        <w:rPr>
          <w:rFonts w:ascii="Times New Roman" w:hAnsi="Times New Roman" w:cs="Times New Roman"/>
          <w:sz w:val="24"/>
          <w:szCs w:val="24"/>
        </w:rPr>
        <w:t>w postępowaniu prowadzonym w trybie podstawowym dla zadania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FF0">
        <w:rPr>
          <w:rFonts w:ascii="Times New Roman" w:hAnsi="Times New Roman" w:cs="Times New Roman"/>
          <w:sz w:val="24"/>
          <w:szCs w:val="24"/>
        </w:rPr>
        <w:t>:</w:t>
      </w:r>
      <w:r w:rsidRPr="00621FF0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33257473" w14:textId="5FB4613E" w:rsidR="00465185" w:rsidRDefault="00F4617E" w:rsidP="00465185">
      <w:pPr>
        <w:autoSpaceDE w:val="0"/>
        <w:spacing w:line="276" w:lineRule="auto"/>
        <w:jc w:val="center"/>
        <w:rPr>
          <w:rFonts w:eastAsia="Times New Roman" w:cs="Times New Roman"/>
          <w:b/>
          <w:szCs w:val="24"/>
          <w:lang w:eastAsia="zh-CN"/>
        </w:rPr>
      </w:pPr>
      <w:r w:rsidRPr="00F4617E">
        <w:rPr>
          <w:rFonts w:eastAsia="Times New Roman" w:cs="Times New Roman"/>
          <w:b/>
          <w:szCs w:val="24"/>
          <w:lang w:eastAsia="zh-CN"/>
        </w:rPr>
        <w:t>Zagospodarowanie terenu przy ul. Zbąszyńskiej w Nowym Tomyślu</w:t>
      </w:r>
    </w:p>
    <w:p w14:paraId="26035EE4" w14:textId="77777777" w:rsidR="00F4617E" w:rsidRDefault="00F4617E" w:rsidP="00465185">
      <w:pPr>
        <w:autoSpaceDE w:val="0"/>
        <w:spacing w:line="276" w:lineRule="auto"/>
        <w:jc w:val="center"/>
        <w:rPr>
          <w:rFonts w:cs="Times New Roman"/>
          <w:b/>
          <w:bCs/>
          <w:szCs w:val="24"/>
        </w:rPr>
      </w:pPr>
    </w:p>
    <w:p w14:paraId="3EF13EC9" w14:textId="77777777" w:rsidR="00465185" w:rsidRPr="00635BE6" w:rsidRDefault="00465185" w:rsidP="00465185">
      <w:pPr>
        <w:spacing w:line="276" w:lineRule="auto"/>
        <w:jc w:val="center"/>
        <w:rPr>
          <w:rFonts w:eastAsia="Times New Roman" w:cs="Times New Roman"/>
          <w:b/>
          <w:bCs/>
          <w:szCs w:val="24"/>
        </w:rPr>
      </w:pPr>
      <w:r w:rsidRPr="00635BE6">
        <w:rPr>
          <w:rFonts w:eastAsia="Times New Roman" w:cs="Times New Roman"/>
          <w:b/>
          <w:bCs/>
          <w:szCs w:val="24"/>
        </w:rPr>
        <w:t>I.</w:t>
      </w:r>
    </w:p>
    <w:p w14:paraId="48028B26" w14:textId="6014C910" w:rsidR="00465185" w:rsidRPr="00621FF0" w:rsidRDefault="00465185" w:rsidP="00465185">
      <w:pPr>
        <w:spacing w:line="276" w:lineRule="auto"/>
        <w:jc w:val="both"/>
        <w:rPr>
          <w:rFonts w:eastAsia="Calibri" w:cs="Times New Roman"/>
          <w:szCs w:val="24"/>
          <w:lang w:eastAsia="pl-PL"/>
        </w:rPr>
      </w:pPr>
      <w:r w:rsidRPr="00621FF0">
        <w:rPr>
          <w:rFonts w:eastAsia="Calibri" w:cs="Times New Roman"/>
          <w:szCs w:val="24"/>
        </w:rPr>
        <w:t>Zamawiający informuje, że w terminie określonym zgodnie z  art. 284  ust. 2 ustawy z dnia 11 września 2019</w:t>
      </w:r>
      <w:r>
        <w:rPr>
          <w:rFonts w:eastAsia="Calibri" w:cs="Times New Roman"/>
          <w:szCs w:val="24"/>
        </w:rPr>
        <w:t xml:space="preserve"> </w:t>
      </w:r>
      <w:r w:rsidRPr="00621FF0">
        <w:rPr>
          <w:rFonts w:eastAsia="Calibri" w:cs="Times New Roman"/>
          <w:szCs w:val="24"/>
        </w:rPr>
        <w:t>r. - Prawo zamówień publicznych. (t.j. Dz. U. z 202</w:t>
      </w:r>
      <w:r>
        <w:rPr>
          <w:rFonts w:eastAsia="Calibri" w:cs="Times New Roman"/>
          <w:szCs w:val="24"/>
        </w:rPr>
        <w:t>2</w:t>
      </w:r>
      <w:r w:rsidRPr="00621FF0">
        <w:rPr>
          <w:rFonts w:eastAsia="Calibri" w:cs="Times New Roman"/>
          <w:szCs w:val="24"/>
        </w:rPr>
        <w:t xml:space="preserve"> r. poz. 1</w:t>
      </w:r>
      <w:r>
        <w:rPr>
          <w:rFonts w:eastAsia="Calibri" w:cs="Times New Roman"/>
          <w:szCs w:val="24"/>
        </w:rPr>
        <w:t>710</w:t>
      </w:r>
      <w:r w:rsidRPr="00621FF0">
        <w:rPr>
          <w:rFonts w:eastAsia="Calibri" w:cs="Times New Roman"/>
          <w:szCs w:val="24"/>
        </w:rPr>
        <w:t xml:space="preserve"> z późn. zm.) </w:t>
      </w:r>
      <w:r w:rsidRPr="00621FF0">
        <w:rPr>
          <w:rFonts w:eastAsia="Calibri" w:cs="Times New Roman"/>
          <w:szCs w:val="24"/>
          <w:lang w:eastAsia="pl-PL"/>
        </w:rPr>
        <w:t>Wykonawc</w:t>
      </w:r>
      <w:r w:rsidR="0052360A">
        <w:rPr>
          <w:rFonts w:eastAsia="Calibri" w:cs="Times New Roman"/>
          <w:szCs w:val="24"/>
          <w:lang w:eastAsia="pl-PL"/>
        </w:rPr>
        <w:t>a</w:t>
      </w:r>
      <w:r w:rsidRPr="00621FF0">
        <w:rPr>
          <w:rFonts w:eastAsia="Calibri" w:cs="Times New Roman"/>
          <w:szCs w:val="24"/>
          <w:lang w:eastAsia="pl-PL"/>
        </w:rPr>
        <w:t xml:space="preserve"> zwróci</w:t>
      </w:r>
      <w:r w:rsidR="0052360A">
        <w:rPr>
          <w:rFonts w:eastAsia="Calibri" w:cs="Times New Roman"/>
          <w:szCs w:val="24"/>
          <w:lang w:eastAsia="pl-PL"/>
        </w:rPr>
        <w:t>ł</w:t>
      </w:r>
      <w:r w:rsidRPr="00621FF0">
        <w:rPr>
          <w:rFonts w:eastAsia="Calibri" w:cs="Times New Roman"/>
          <w:szCs w:val="24"/>
          <w:lang w:eastAsia="pl-PL"/>
        </w:rPr>
        <w:t xml:space="preserve"> się do Zamawiającego z wnioskiem o wyjaśnienie treści SWZ. W związku z powyższym  </w:t>
      </w:r>
      <w:r>
        <w:rPr>
          <w:rFonts w:eastAsia="Calibri" w:cs="Times New Roman"/>
          <w:szCs w:val="24"/>
          <w:lang w:eastAsia="pl-PL"/>
        </w:rPr>
        <w:t>z</w:t>
      </w:r>
      <w:r w:rsidRPr="00621FF0">
        <w:rPr>
          <w:rFonts w:eastAsia="Calibri" w:cs="Times New Roman"/>
          <w:szCs w:val="24"/>
          <w:lang w:eastAsia="pl-PL"/>
        </w:rPr>
        <w:t>amawiający udziela następujących wyjaśnień</w:t>
      </w:r>
      <w:r w:rsidRPr="00621FF0">
        <w:rPr>
          <w:rFonts w:cs="Times New Roman"/>
          <w:szCs w:val="24"/>
        </w:rPr>
        <w:t>:</w:t>
      </w:r>
    </w:p>
    <w:p w14:paraId="24A0FA63" w14:textId="77777777" w:rsidR="00465185" w:rsidRPr="00621FF0" w:rsidRDefault="00465185" w:rsidP="00465185">
      <w:pPr>
        <w:spacing w:line="276" w:lineRule="auto"/>
        <w:jc w:val="both"/>
        <w:rPr>
          <w:rFonts w:eastAsia="Times New Roman" w:cs="Times New Roman"/>
          <w:szCs w:val="24"/>
        </w:rPr>
      </w:pPr>
    </w:p>
    <w:p w14:paraId="396BD503" w14:textId="77777777" w:rsidR="00F4617E" w:rsidRDefault="00F4617E" w:rsidP="00F461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t>W jaki sposób będzie realnie  wytwarzany aerozol solankowy mając na uwadze fakt, że tarnina ma dokładnie odwrotne zadanie, ma nie dopuszczać do powstawania aerozolu a wiele osób będzie szukało pomocy w związku ze swoimi schorzeniami układu oddechowego?</w:t>
      </w:r>
    </w:p>
    <w:p w14:paraId="05B6CF72" w14:textId="77777777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59075B75" w14:textId="1456AAA0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t>Tężnie projektowano jako fabryki soli konsumpcyjnej a gałązki tarniny mają za zadanie zwiększyć powierzchnię parowania wody z solanki oraz utrudnić powstawanie aerozolu, który byłby porywany przez wiatr, co powodowałoby utratę cennej solanki i straty produkcyjne. Taka konstrukcja tworzy ścianę skutecznie broniącą przed utratą solanki. Solanka spływając po gałązkach w procesie koalescencji kropelki łączą się ze sobą, co skutecznie przeciwdziała wytwarzaniu aerozolu. Z solanki paruje tylko woda zatężając solankę do roztworu nasyconego.</w:t>
      </w:r>
      <w:r>
        <w:rPr>
          <w:i/>
          <w:iCs/>
        </w:rPr>
        <w:t xml:space="preserve"> </w:t>
      </w:r>
      <w:r w:rsidRPr="00F4617E">
        <w:rPr>
          <w:i/>
          <w:iCs/>
        </w:rPr>
        <w:t>Wokół tężni pracujących w obiegu zamkniętym nie ma żadnej atmosfery bogatej w aerozol solny czy inne tzw. mikroelementy.</w:t>
      </w:r>
      <w:r>
        <w:rPr>
          <w:i/>
          <w:iCs/>
        </w:rPr>
        <w:t xml:space="preserve"> </w:t>
      </w:r>
      <w:r w:rsidRPr="00F4617E">
        <w:rPr>
          <w:i/>
          <w:iCs/>
        </w:rPr>
        <w:t>Na dowód można przytoczyć opinię wydaną przez rządową Agencja Oceny Technologii Medycznych odnośnie oddziaływania tężni solankowych.</w:t>
      </w:r>
      <w:r>
        <w:rPr>
          <w:i/>
          <w:iCs/>
        </w:rPr>
        <w:t xml:space="preserve"> </w:t>
      </w:r>
      <w:r w:rsidRPr="00F4617E">
        <w:rPr>
          <w:i/>
          <w:iCs/>
        </w:rPr>
        <w:t>Opinia jest jednoznacznie negatywna.  W uzasadnieniu czytamy, że nie ma żadnych badań ani dowodów na pozytywny wpływ na zdrowie tężni solankowych pracujących w obiegu zamkniętym solanki.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Konstrukcja taka stwarza zagrożenie epidemiologiczne. Woda w obiegu zamkniętym tworzy doskonałe warunki do namnażania drobnoustrojów, pleśni, grzybów, bakterii itp. i nie jest przeszkodą zawartość soli, jak niektórzy głoszą, dla </w:t>
      </w:r>
      <w:r w:rsidRPr="00F4617E">
        <w:rPr>
          <w:i/>
          <w:iCs/>
        </w:rPr>
        <w:lastRenderedPageBreak/>
        <w:t xml:space="preserve">przykładu gronkowiec złocisty wytrzymuje solankę o stężeniu 20%. Zasolone morza tętnią życiem. Zjawisko rozwoju mikroorganizmów obserwujemy np. w fontannach gdzie krąży woda w obiegu zamkniętym. Jest wiele bakterii pleśni i grzybów, które są </w:t>
      </w:r>
      <w:proofErr w:type="spellStart"/>
      <w:r w:rsidRPr="00F4617E">
        <w:rPr>
          <w:i/>
          <w:iCs/>
        </w:rPr>
        <w:t>słonolubne</w:t>
      </w:r>
      <w:proofErr w:type="spellEnd"/>
      <w:r w:rsidRPr="00F4617E">
        <w:rPr>
          <w:i/>
          <w:iCs/>
        </w:rPr>
        <w:t>, tak jak wcześniej wymieniony  gronkowiec złocisty. Źródłem są bakterie z powietrza oraz odchody ptaków i innych zwierząt w tym  bakterie kałowe.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Narodowy Instytut Zdrowia Publicznego PZH w swojej opinii nt. zagrożeń w zamkniętym obiegu wody przestrzega przed przebywaniem w pobliżu takich obiektów. Istotnym zagrożeniem jest wdychanie skażonego powietrza z uwagi na możliwe zakażenie m.in. pałeczkami z rodzaju </w:t>
      </w:r>
      <w:proofErr w:type="spellStart"/>
      <w:r w:rsidRPr="00F4617E">
        <w:rPr>
          <w:i/>
          <w:iCs/>
        </w:rPr>
        <w:t>Legionella</w:t>
      </w:r>
      <w:proofErr w:type="spellEnd"/>
      <w:r w:rsidRPr="00F4617E">
        <w:rPr>
          <w:i/>
          <w:iCs/>
        </w:rPr>
        <w:t xml:space="preserve">, która wywołuje chorobę </w:t>
      </w:r>
      <w:proofErr w:type="spellStart"/>
      <w:r w:rsidRPr="00F4617E">
        <w:rPr>
          <w:i/>
          <w:iCs/>
        </w:rPr>
        <w:t>legionelozę</w:t>
      </w:r>
      <w:proofErr w:type="spellEnd"/>
      <w:r w:rsidRPr="00F4617E">
        <w:rPr>
          <w:i/>
          <w:iCs/>
        </w:rPr>
        <w:t xml:space="preserve">. </w:t>
      </w:r>
      <w:proofErr w:type="spellStart"/>
      <w:r w:rsidRPr="00F4617E">
        <w:rPr>
          <w:i/>
          <w:iCs/>
        </w:rPr>
        <w:t>Legioneloza</w:t>
      </w:r>
      <w:proofErr w:type="spellEnd"/>
      <w:r w:rsidRPr="00F4617E">
        <w:rPr>
          <w:i/>
          <w:iCs/>
        </w:rPr>
        <w:t xml:space="preserve"> jest określana jako wieloukładowa choroba zakaźna o zróżnicowanej symptomatologii.</w:t>
      </w:r>
      <w:r>
        <w:rPr>
          <w:i/>
          <w:iCs/>
        </w:rPr>
        <w:t xml:space="preserve"> </w:t>
      </w:r>
      <w:r w:rsidRPr="00F4617E">
        <w:rPr>
          <w:i/>
          <w:iCs/>
        </w:rPr>
        <w:t>Najlepiej poznane, z uwagi na zagrożenie życia, jest zapalenie płuc.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Inną, znaną postacią </w:t>
      </w:r>
      <w:proofErr w:type="spellStart"/>
      <w:r w:rsidRPr="00F4617E">
        <w:rPr>
          <w:i/>
          <w:iCs/>
        </w:rPr>
        <w:t>legionelozy</w:t>
      </w:r>
      <w:proofErr w:type="spellEnd"/>
      <w:r w:rsidRPr="00F4617E">
        <w:rPr>
          <w:i/>
          <w:iCs/>
        </w:rPr>
        <w:t xml:space="preserve"> jest gorączka Pontiac, którą część specjalistów uważa za alergiczną odpowiedź organizmu na infekcję pałeczkami </w:t>
      </w:r>
      <w:proofErr w:type="spellStart"/>
      <w:r w:rsidRPr="00F4617E">
        <w:rPr>
          <w:i/>
          <w:iCs/>
        </w:rPr>
        <w:t>Legionella</w:t>
      </w:r>
      <w:proofErr w:type="spellEnd"/>
      <w:r w:rsidRPr="00F4617E">
        <w:rPr>
          <w:i/>
          <w:iCs/>
        </w:rPr>
        <w:t>. Choroba zaczyna się nagle wysoką gorączką, dreszczami, bólami mięśniowymi, bólami głowy i ogólnym złym samopoczuciem. Objawom tym może towarzyszyć suchy kaszel, nieżyt nosa oraz stany zapalne spojówek. Mogą również pojawić się takie objawy o charakterze neurologicznym, jak: zawroty głowy, sztywność karku, światłowstręt czy zamroczenie. Stan ten może utrzymywać się od 2 do 5 dni, bez względu na stosowaną antybiotykoterapię.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Skażenie powietrza w okolicy tężni solankowej może być wynikiem kolonizacji przez bakterie </w:t>
      </w:r>
      <w:proofErr w:type="spellStart"/>
      <w:r w:rsidRPr="00F4617E">
        <w:rPr>
          <w:i/>
          <w:iCs/>
        </w:rPr>
        <w:t>Legionella</w:t>
      </w:r>
      <w:proofErr w:type="spellEnd"/>
      <w:r w:rsidRPr="00F4617E">
        <w:rPr>
          <w:i/>
          <w:iCs/>
        </w:rPr>
        <w:t xml:space="preserve"> w instalacji, brak możliwości dezynfekcji zbiornika oraz gałązek i konstrukcji drewnianej tężni solankowej.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Zanieczyszczenia mikrobiologiczne pochodzące od zwierząt, ptaki, psy, koty itp. przez co solanka może podlegać skażeniu fekalnemu mikroorganizmami obecnymi w odchodach zwierzęcych miedzy innymi: </w:t>
      </w:r>
      <w:proofErr w:type="spellStart"/>
      <w:r w:rsidRPr="00F4617E">
        <w:rPr>
          <w:i/>
          <w:iCs/>
        </w:rPr>
        <w:t>E.coli</w:t>
      </w:r>
      <w:proofErr w:type="spellEnd"/>
      <w:r w:rsidRPr="00F4617E">
        <w:rPr>
          <w:i/>
          <w:iCs/>
        </w:rPr>
        <w:t xml:space="preserve">, </w:t>
      </w:r>
      <w:proofErr w:type="spellStart"/>
      <w:r w:rsidRPr="00F4617E">
        <w:rPr>
          <w:i/>
          <w:iCs/>
        </w:rPr>
        <w:t>enterokoki</w:t>
      </w:r>
      <w:proofErr w:type="spellEnd"/>
      <w:r w:rsidRPr="00F4617E">
        <w:rPr>
          <w:i/>
          <w:iCs/>
        </w:rPr>
        <w:t xml:space="preserve"> jak również w wodzie mogą być obecne wirusy (</w:t>
      </w:r>
      <w:proofErr w:type="spellStart"/>
      <w:r w:rsidRPr="00F4617E">
        <w:rPr>
          <w:i/>
          <w:iCs/>
        </w:rPr>
        <w:t>enterowirusy</w:t>
      </w:r>
      <w:proofErr w:type="spellEnd"/>
      <w:r w:rsidRPr="00F4617E">
        <w:rPr>
          <w:i/>
          <w:iCs/>
        </w:rPr>
        <w:t xml:space="preserve">, </w:t>
      </w:r>
      <w:proofErr w:type="spellStart"/>
      <w:r w:rsidRPr="00F4617E">
        <w:rPr>
          <w:i/>
          <w:iCs/>
        </w:rPr>
        <w:t>norowirus</w:t>
      </w:r>
      <w:proofErr w:type="spellEnd"/>
      <w:r w:rsidRPr="00F4617E">
        <w:rPr>
          <w:i/>
          <w:iCs/>
        </w:rPr>
        <w:t xml:space="preserve">) oraz pierwotniaki pasożytnicze (Giardia, </w:t>
      </w:r>
      <w:proofErr w:type="spellStart"/>
      <w:r w:rsidRPr="00F4617E">
        <w:rPr>
          <w:i/>
          <w:iCs/>
        </w:rPr>
        <w:t>Cryptosporidium</w:t>
      </w:r>
      <w:proofErr w:type="spellEnd"/>
      <w:r w:rsidRPr="00F4617E">
        <w:rPr>
          <w:i/>
          <w:iCs/>
        </w:rPr>
        <w:t>).</w:t>
      </w:r>
      <w:r>
        <w:rPr>
          <w:i/>
          <w:iCs/>
        </w:rPr>
        <w:t xml:space="preserve"> </w:t>
      </w:r>
      <w:r w:rsidRPr="00F4617E">
        <w:rPr>
          <w:i/>
          <w:iCs/>
        </w:rPr>
        <w:t>W ostatnim czasie można zaobserwować w projektach zastosowanie lamp UV na obiegu solanki między zbiornikiem a konstrukcją tężni solankowej.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W zamyśle projektantów ma to wykluczyć możliwość namnażania groźnych drobnoustrojów. Założenia są błędne, ponieważ w żaden sposób nie zabezpiecza to możliwości rozwoju bakterii na ścianach zbiornika, instalacji oraz na gałązkach tarniny i drewnianej konstrukcji tężni solankowej. Dodatkowo unieszkodliwione drobnoustroje pozostające w obiegu stanowią pożywkę dla tych rozwijających się na konstrukcji tężni solankowej. Sytuacja ta jest znana od czasów gdy wykorzystywano tężnie w procesie produkcji soli konsumpcyjnej w </w:t>
      </w:r>
      <w:proofErr w:type="spellStart"/>
      <w:r w:rsidRPr="00F4617E">
        <w:rPr>
          <w:i/>
          <w:iCs/>
        </w:rPr>
        <w:t>XIXw</w:t>
      </w:r>
      <w:proofErr w:type="spellEnd"/>
      <w:r w:rsidRPr="00F4617E">
        <w:rPr>
          <w:i/>
          <w:iCs/>
        </w:rPr>
        <w:t>. Zainfekowaną konstrukcję trzeba wówczas wymienić, co stwierdził wieloletni konserwator tężni w Ciechocinku w odpowiedzi na zadane mu pytanie.</w:t>
      </w:r>
      <w:r>
        <w:rPr>
          <w:i/>
          <w:iCs/>
        </w:rPr>
        <w:t xml:space="preserve"> </w:t>
      </w:r>
      <w:r w:rsidRPr="00F4617E">
        <w:rPr>
          <w:i/>
          <w:iCs/>
        </w:rPr>
        <w:t>Gąszcz tarniny tworzy środowisko gdzie znajduje się pożywka i bakterie, to wszystko jest wilgotne co stwarza idealne warunki do namnażania drobnoustrojów zarówno na powierzchni jaki i w strukturze drewna.</w:t>
      </w:r>
      <w:r>
        <w:rPr>
          <w:i/>
          <w:iCs/>
        </w:rPr>
        <w:t xml:space="preserve"> </w:t>
      </w:r>
      <w:r w:rsidRPr="00F4617E">
        <w:rPr>
          <w:i/>
          <w:iCs/>
        </w:rPr>
        <w:t>Nie ma możliwości naświetlania promieniami UV zakamarków w gąszczu tarniny.</w:t>
      </w:r>
    </w:p>
    <w:p w14:paraId="5BDC6868" w14:textId="77777777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7066E54A" w14:textId="6DCAB38A" w:rsidR="00F4617E" w:rsidRDefault="00F4617E" w:rsidP="00F4617E">
      <w:pPr>
        <w:tabs>
          <w:tab w:val="left" w:pos="284"/>
        </w:tabs>
        <w:spacing w:after="120" w:line="240" w:lineRule="auto"/>
        <w:jc w:val="both"/>
      </w:pPr>
      <w:r w:rsidRPr="00D653BB">
        <w:rPr>
          <w:b/>
          <w:bCs/>
        </w:rPr>
        <w:t>Odpowiedź:</w:t>
      </w:r>
      <w:r>
        <w:t xml:space="preserve"> </w:t>
      </w:r>
      <w:r w:rsidRPr="00F4617E">
        <w:t>Zamawiający wyjaśnia, że zgodnie z projektem budowlanym dla inwestycji konstrukcja tężni wykonana będzie z drewna. Solanka doprowadzana jest do konstrukcji (na szczycie tężni będą zainstalowane koryta główne oraz koryta opadowe solanki) a następnie rozprowadzana po wypełnieniu z tarniny. Duża powierzchnia wypełnienia umożliwia wydajne parowanie roztworu. Pozwala to tym samym na wytworzenie aerozolu w bezpośredniej bliskości tężni. Dzięki czemu następuje rozpylenie łatwo przyswajalnych mikroelementów oraz pierwiastków ważnych dla zdrowia.</w:t>
      </w:r>
    </w:p>
    <w:p w14:paraId="05B2DA08" w14:textId="39632349" w:rsidR="00F4617E" w:rsidRPr="00F4617E" w:rsidRDefault="00F4617E" w:rsidP="00F4617E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B4D7675" w14:textId="77777777" w:rsidR="00F4617E" w:rsidRPr="00F4617E" w:rsidRDefault="00F4617E" w:rsidP="00F4617E">
      <w:pPr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6D992D1B" w14:textId="39549748" w:rsidR="00F4617E" w:rsidRDefault="00F4617E" w:rsidP="00F461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lastRenderedPageBreak/>
        <w:t>Czy gwarancja wykonawcy obejmuje problem namnażania się drobnoustrojów, które potencjalnie mogą być groźne dla zdrowia osób korzystających z obiektu?</w:t>
      </w:r>
    </w:p>
    <w:p w14:paraId="7D3C6C1C" w14:textId="77777777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3E6FB622" w14:textId="7141901A" w:rsidR="00FA0B1C" w:rsidRDefault="00F4617E" w:rsidP="00F4617E">
      <w:p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b/>
          <w:bCs/>
        </w:rPr>
        <w:t>Odpowiedź:</w:t>
      </w:r>
      <w:r>
        <w:t xml:space="preserve"> </w:t>
      </w:r>
      <w:r w:rsidRPr="00F4617E">
        <w:t>W przypadku, gdy dojdzie do nieprawidłowości związanych z działaniem tężni, Zamawiający w ramach gwarancji, zwróci się do Wykonawcy o rozwiązanie problemu. Szczegóły dotyczące gwarancji zawarte są w § 11. projektu umowy będącej załącznikiem do SWZ.</w:t>
      </w:r>
    </w:p>
    <w:p w14:paraId="6E545BE7" w14:textId="77777777" w:rsidR="00FA0B1C" w:rsidRPr="00FA0B1C" w:rsidRDefault="00FA0B1C" w:rsidP="00F4617E">
      <w:pPr>
        <w:tabs>
          <w:tab w:val="left" w:pos="284"/>
        </w:tabs>
        <w:spacing w:after="120" w:line="240" w:lineRule="auto"/>
        <w:jc w:val="both"/>
      </w:pPr>
    </w:p>
    <w:p w14:paraId="3320444D" w14:textId="77777777" w:rsidR="00F4617E" w:rsidRDefault="00F4617E" w:rsidP="00F4617E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t>Kto poniesie koszty wymiany tarniny oraz  kilkukrotnej wymiany solanki w ciągu roku  Inwestor czy Wykonawca w ramach udzielonej gwarancji?</w:t>
      </w:r>
    </w:p>
    <w:p w14:paraId="4437D8C0" w14:textId="77777777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7F90713" w14:textId="7DD6171E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t>Trzeba jednoznacznie stwierdzić, że tężnie nie wytwarzają prozdrowotnej atmosfery. Należy traktować je jako atrakcję turystyczną zlokalizowaną w miejscowościach turystyczno-uzdrowiskowych, które powinny być bezpieczne dla odwiedzających.</w:t>
      </w:r>
      <w:r>
        <w:rPr>
          <w:i/>
          <w:iCs/>
        </w:rPr>
        <w:t xml:space="preserve"> </w:t>
      </w:r>
      <w:r w:rsidRPr="00F4617E">
        <w:rPr>
          <w:i/>
          <w:iCs/>
        </w:rPr>
        <w:t xml:space="preserve">Wszelkie tzw. „zalety” tężni związane z obecnością wielu mikroelementów w strefie </w:t>
      </w:r>
      <w:proofErr w:type="spellStart"/>
      <w:r w:rsidRPr="00F4617E">
        <w:rPr>
          <w:i/>
          <w:iCs/>
        </w:rPr>
        <w:t>okołotężniowej</w:t>
      </w:r>
      <w:proofErr w:type="spellEnd"/>
      <w:r w:rsidRPr="00F4617E">
        <w:rPr>
          <w:i/>
          <w:iCs/>
        </w:rPr>
        <w:t xml:space="preserve"> należy traktować jako teksty marketingowe. Jest to na tyle oczywiste, że nie ma żadnych wiarygodnych badań potwierdzających obecność tych cudownych substancji w otwartej przestrzeni wokół tężni.</w:t>
      </w:r>
      <w:r>
        <w:rPr>
          <w:i/>
          <w:iCs/>
        </w:rPr>
        <w:t xml:space="preserve"> </w:t>
      </w:r>
      <w:r w:rsidRPr="00F4617E">
        <w:rPr>
          <w:i/>
          <w:iCs/>
        </w:rPr>
        <w:t>Rozwiązaniem jest modernizacja projektu w kierunku tężni solnej, gdzie zastosowano innowacyjną metodę wytwarzania suchego aerozolu solnego w zmiennych warunkach atmosferycznych. Skuteczność inhalacji suchym aerozolem solnym w stosunku do wszystkich schorzeń układu oddechowego potwierdzona jest badaniami klinicznymi w licznych ośrodkach na całym świecie.</w:t>
      </w:r>
    </w:p>
    <w:p w14:paraId="1941CA72" w14:textId="77777777" w:rsidR="00F4617E" w:rsidRDefault="00F4617E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1D2A3AC" w14:textId="110ECA08" w:rsidR="00FA0B1C" w:rsidRPr="00FA0B1C" w:rsidRDefault="00F4617E" w:rsidP="00FA0B1C">
      <w:pPr>
        <w:tabs>
          <w:tab w:val="left" w:pos="284"/>
        </w:tabs>
        <w:spacing w:after="120" w:line="240" w:lineRule="auto"/>
        <w:jc w:val="both"/>
      </w:pPr>
      <w:r w:rsidRPr="00F4617E">
        <w:rPr>
          <w:b/>
          <w:bCs/>
        </w:rPr>
        <w:t>Odpowiedź:</w:t>
      </w:r>
      <w:r>
        <w:t xml:space="preserve"> </w:t>
      </w:r>
      <w:r w:rsidRPr="00F4617E">
        <w:t>Koszty związane z bieżącym utrzymaniem tężni solankowej ponosi Inwestor- Gmina Nowy Tomyśl.</w:t>
      </w:r>
    </w:p>
    <w:p w14:paraId="6B19643B" w14:textId="7F694CF3" w:rsidR="00FA0B1C" w:rsidRDefault="00FA0B1C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05BA0163" w14:textId="77777777" w:rsidR="00FA0B1C" w:rsidRDefault="00FA0B1C" w:rsidP="00F4617E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32B241C" w14:textId="77777777" w:rsidR="00FA0B1C" w:rsidRDefault="00F4617E" w:rsidP="00FA0B1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4617E">
        <w:rPr>
          <w:i/>
          <w:iCs/>
        </w:rPr>
        <w:t>Czy inwestor dopuszcza zmianę technologii solankowej (tężnia solankowa) na suchy aerozol solny (tężnia solna)?</w:t>
      </w:r>
    </w:p>
    <w:p w14:paraId="67DC22E4" w14:textId="77777777" w:rsidR="00FA0B1C" w:rsidRDefault="00FA0B1C" w:rsidP="00FA0B1C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B77D429" w14:textId="51D0A259" w:rsidR="00D653BB" w:rsidRDefault="00F4617E" w:rsidP="00FA0B1C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A0B1C">
        <w:rPr>
          <w:i/>
          <w:iCs/>
        </w:rPr>
        <w:t xml:space="preserve">Niezwykle duża skuteczność oparta jest na prostym mechanizmie poprzez oddziaływanie bezpośrednio na błonę śluzową dróg oddechowych. Mikrocząsteczki o wielkości 1-5µm docierają do najgłębszych partii drzewa oskrzelowego gdzie w procesie </w:t>
      </w:r>
      <w:proofErr w:type="spellStart"/>
      <w:r w:rsidRPr="00FA0B1C">
        <w:rPr>
          <w:i/>
          <w:iCs/>
        </w:rPr>
        <w:t>sekretolizy</w:t>
      </w:r>
      <w:proofErr w:type="spellEnd"/>
      <w:r w:rsidRPr="00FA0B1C">
        <w:rPr>
          <w:i/>
          <w:iCs/>
        </w:rPr>
        <w:t xml:space="preserve"> rozrzedzają śluz oraz wspomagają proces fagocytozy niwelując stan zapalny.</w:t>
      </w:r>
      <w:r w:rsidR="00FA0B1C">
        <w:rPr>
          <w:i/>
          <w:iCs/>
        </w:rPr>
        <w:t xml:space="preserve"> </w:t>
      </w:r>
      <w:r w:rsidRPr="00F4617E">
        <w:rPr>
          <w:i/>
          <w:iCs/>
        </w:rPr>
        <w:t>Tężnia solna nie wymaga wody, suchy aerozol wytwarzany jest z soli warzonej przez urządzenie medyczne z certyfikatem jednostki notyfikowanej przez Ministerstwo Zdrowia. Koszt zużywanej soli to jedynie 15zł/miesiąc, co w porównaniu do okresowej wymiany kilku tysięcy litrów solanki, jest kosztem pomijalnym.</w:t>
      </w:r>
    </w:p>
    <w:p w14:paraId="4BF10B5F" w14:textId="77777777" w:rsidR="00FA0B1C" w:rsidRDefault="00FA0B1C" w:rsidP="00FA0B1C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7933C31A" w14:textId="77777777" w:rsidR="00FA0B1C" w:rsidRDefault="00FA0B1C" w:rsidP="00FA0B1C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Odpowiedź:</w:t>
      </w:r>
      <w:r>
        <w:t xml:space="preserve"> </w:t>
      </w:r>
      <w:r w:rsidRPr="00FA0B1C">
        <w:t>Inwestor nie przewiduje zmiany technologii solankowej.</w:t>
      </w:r>
    </w:p>
    <w:p w14:paraId="385C3AE7" w14:textId="287FBDE0" w:rsidR="00FA0B1C" w:rsidRDefault="00FA0B1C" w:rsidP="00FA0B1C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47A3FABD" w14:textId="77777777" w:rsidR="00FA0B1C" w:rsidRDefault="00FA0B1C" w:rsidP="00FA0B1C">
      <w:pPr>
        <w:pStyle w:val="Akapitzlist"/>
        <w:tabs>
          <w:tab w:val="left" w:pos="284"/>
        </w:tabs>
        <w:spacing w:after="120" w:line="240" w:lineRule="auto"/>
        <w:jc w:val="both"/>
        <w:rPr>
          <w:i/>
          <w:iCs/>
        </w:rPr>
      </w:pPr>
    </w:p>
    <w:p w14:paraId="24BDC41B" w14:textId="57F4748B" w:rsidR="00FA0B1C" w:rsidRPr="00FA0B1C" w:rsidRDefault="00FA0B1C" w:rsidP="00FA0B1C">
      <w:pPr>
        <w:pStyle w:val="Akapitzlist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i/>
          <w:iCs/>
        </w:rPr>
      </w:pPr>
      <w:r w:rsidRPr="00FA0B1C">
        <w:rPr>
          <w:i/>
          <w:iCs/>
        </w:rPr>
        <w:t>Z uwagi na duży zakres prac do wyceny w przetargu nr 2023/BZP 00110678 prosimy o wydłużenie terminu składania ofert o 2 tygodnie tj. do dnia 28.03.2023 r.</w:t>
      </w:r>
    </w:p>
    <w:p w14:paraId="4963FD96" w14:textId="77777777" w:rsidR="00FA0B1C" w:rsidRDefault="00FA0B1C" w:rsidP="00922A77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  <w:rPr>
          <w:b/>
          <w:bCs/>
        </w:rPr>
      </w:pPr>
    </w:p>
    <w:p w14:paraId="7CFCCB8C" w14:textId="29E099F9" w:rsidR="00865A59" w:rsidRPr="00FA0B1C" w:rsidRDefault="00D653BB" w:rsidP="00FA0B1C">
      <w:pPr>
        <w:pStyle w:val="Akapitzlist"/>
        <w:tabs>
          <w:tab w:val="left" w:pos="284"/>
        </w:tabs>
        <w:spacing w:after="120" w:line="240" w:lineRule="auto"/>
        <w:ind w:left="284" w:hanging="284"/>
        <w:jc w:val="both"/>
      </w:pPr>
      <w:r w:rsidRPr="00B3689E">
        <w:rPr>
          <w:b/>
          <w:bCs/>
        </w:rPr>
        <w:t>Odpowiedź:</w:t>
      </w:r>
      <w:r>
        <w:t xml:space="preserve"> </w:t>
      </w:r>
      <w:r w:rsidR="00FA0B1C">
        <w:t>Zamawiający nie wyraża zgody na wydłużenie terminu składania ofert.</w:t>
      </w:r>
    </w:p>
    <w:sectPr w:rsidR="00865A59" w:rsidRPr="00FA0B1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7115" w14:textId="77777777" w:rsidR="0085783C" w:rsidRDefault="0085783C" w:rsidP="00465185">
      <w:pPr>
        <w:spacing w:after="0" w:line="240" w:lineRule="auto"/>
      </w:pPr>
      <w:r>
        <w:separator/>
      </w:r>
    </w:p>
  </w:endnote>
  <w:endnote w:type="continuationSeparator" w:id="0">
    <w:p w14:paraId="203F2F6B" w14:textId="77777777" w:rsidR="0085783C" w:rsidRDefault="0085783C" w:rsidP="0046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F6E" w14:textId="77777777" w:rsidR="0085783C" w:rsidRDefault="0085783C" w:rsidP="00465185">
      <w:pPr>
        <w:spacing w:after="0" w:line="240" w:lineRule="auto"/>
      </w:pPr>
      <w:r>
        <w:separator/>
      </w:r>
    </w:p>
  </w:footnote>
  <w:footnote w:type="continuationSeparator" w:id="0">
    <w:p w14:paraId="7E176B74" w14:textId="77777777" w:rsidR="0085783C" w:rsidRDefault="0085783C" w:rsidP="0046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821"/>
    <w:multiLevelType w:val="hybridMultilevel"/>
    <w:tmpl w:val="026C6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55FEB"/>
    <w:multiLevelType w:val="hybridMultilevel"/>
    <w:tmpl w:val="205CCB5C"/>
    <w:lvl w:ilvl="0" w:tplc="65AA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F8E"/>
    <w:multiLevelType w:val="hybridMultilevel"/>
    <w:tmpl w:val="7B46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092"/>
    <w:multiLevelType w:val="hybridMultilevel"/>
    <w:tmpl w:val="3CB8B05A"/>
    <w:lvl w:ilvl="0" w:tplc="CC022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49477975">
    <w:abstractNumId w:val="1"/>
  </w:num>
  <w:num w:numId="2" w16cid:durableId="525795473">
    <w:abstractNumId w:val="3"/>
  </w:num>
  <w:num w:numId="3" w16cid:durableId="230192060">
    <w:abstractNumId w:val="2"/>
  </w:num>
  <w:num w:numId="4" w16cid:durableId="5556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96"/>
    <w:rsid w:val="00035149"/>
    <w:rsid w:val="000711F1"/>
    <w:rsid w:val="00071366"/>
    <w:rsid w:val="001D5562"/>
    <w:rsid w:val="00416C96"/>
    <w:rsid w:val="00465185"/>
    <w:rsid w:val="0052360A"/>
    <w:rsid w:val="00635FC6"/>
    <w:rsid w:val="00684F9D"/>
    <w:rsid w:val="00856BFB"/>
    <w:rsid w:val="0085783C"/>
    <w:rsid w:val="008647EC"/>
    <w:rsid w:val="00865A59"/>
    <w:rsid w:val="008D4403"/>
    <w:rsid w:val="00922A77"/>
    <w:rsid w:val="009334B3"/>
    <w:rsid w:val="009E18F5"/>
    <w:rsid w:val="00B3689E"/>
    <w:rsid w:val="00D653BB"/>
    <w:rsid w:val="00ED6C2F"/>
    <w:rsid w:val="00F010D2"/>
    <w:rsid w:val="00F4617E"/>
    <w:rsid w:val="00F86578"/>
    <w:rsid w:val="00FA0B1C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8204"/>
  <w15:docId w15:val="{C7F66666-356B-41BE-9AB9-60603C4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7E"/>
    <w:pPr>
      <w:spacing w:after="160" w:line="259" w:lineRule="auto"/>
    </w:pPr>
    <w:rPr>
      <w:rFonts w:ascii="Times New Roman" w:hAnsi="Times New Roman"/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772E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772E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72E8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72E88"/>
    <w:rPr>
      <w:rFonts w:ascii="Times New Roman" w:eastAsiaTheme="majorEastAsia" w:hAnsi="Times New Roman" w:cstheme="majorBidi"/>
      <w:color w:val="2E74B5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72E8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772E88"/>
    <w:rPr>
      <w:rFonts w:ascii="Times New Roman" w:eastAsiaTheme="majorEastAsia" w:hAnsi="Times New Roman" w:cstheme="majorBidi"/>
      <w:spacing w:val="-10"/>
      <w:kern w:val="2"/>
      <w:sz w:val="56"/>
      <w:szCs w:val="5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6237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 Znak10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772E88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62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A693B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465185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auto"/>
      <w:sz w:val="3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651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185"/>
    <w:rPr>
      <w:rFonts w:ascii="Times New Roman" w:hAnsi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1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71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F1"/>
    <w:rPr>
      <w:rFonts w:ascii="Times New Roman" w:hAnsi="Times New Roman"/>
      <w:color w:val="00000A"/>
      <w:sz w:val="24"/>
    </w:rPr>
  </w:style>
  <w:style w:type="character" w:customStyle="1" w:styleId="NagwekZnak">
    <w:name w:val="Nagłówek Znak"/>
    <w:aliases w:val=" Znak10 Znak"/>
    <w:link w:val="Nagwek"/>
    <w:uiPriority w:val="99"/>
    <w:locked/>
    <w:rsid w:val="000711F1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Orwat-Jankowiak</dc:creator>
  <dc:description/>
  <cp:lastModifiedBy>Rafał Kornosz</cp:lastModifiedBy>
  <cp:revision>14</cp:revision>
  <cp:lastPrinted>2023-03-09T12:18:00Z</cp:lastPrinted>
  <dcterms:created xsi:type="dcterms:W3CDTF">2023-03-02T13:03:00Z</dcterms:created>
  <dcterms:modified xsi:type="dcterms:W3CDTF">2023-03-10T10:43:00Z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