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88" w:rsidRDefault="00B550CE" w:rsidP="00B550CE">
      <w:pPr>
        <w:ind w:left="11328" w:firstLine="708"/>
      </w:pPr>
      <w:r>
        <w:rPr>
          <w:b/>
        </w:rPr>
        <w:t>ZAŁ. NR 2C DO SWZ</w:t>
      </w:r>
    </w:p>
    <w:p w:rsidR="007D2C88" w:rsidRDefault="007D2C88"/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"/>
        <w:gridCol w:w="6946"/>
        <w:gridCol w:w="1560"/>
        <w:gridCol w:w="5105"/>
      </w:tblGrid>
      <w:tr w:rsidR="00E30ED7" w:rsidRPr="009711B3" w:rsidTr="00406970">
        <w:trPr>
          <w:cantSplit/>
          <w:trHeight w:val="972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0ED7" w:rsidRPr="00716B5E" w:rsidRDefault="003D426B" w:rsidP="003D426B">
            <w:pPr>
              <w:jc w:val="center"/>
              <w:rPr>
                <w:rFonts w:ascii="Arial" w:hAnsi="Arial" w:cs="Arial"/>
              </w:rPr>
            </w:pPr>
            <w:r w:rsidRPr="003D426B">
              <w:rPr>
                <w:rFonts w:ascii="Calibri" w:hAnsi="Calibri" w:cs="Calibri"/>
                <w:b/>
                <w:sz w:val="32"/>
                <w:szCs w:val="32"/>
              </w:rPr>
              <w:t>BARIATRYCZNY PODNOŚNIK ELEKTRYCZNY szt. 3</w:t>
            </w:r>
          </w:p>
        </w:tc>
      </w:tr>
      <w:tr w:rsidR="00E30ED7" w:rsidRPr="001D2A3D" w:rsidTr="00E07592">
        <w:trPr>
          <w:trHeight w:val="116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Poniżej należy </w:t>
            </w: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wypełnić</w:t>
            </w: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tabelę opisując lub potwierdzając wszystkie dane i parametry wymagane przez Zamawiającego.</w:t>
            </w:r>
          </w:p>
        </w:tc>
      </w:tr>
      <w:tr w:rsidR="00E30ED7" w:rsidRPr="001D2A3D" w:rsidTr="00A06C9C">
        <w:trPr>
          <w:trHeight w:val="270"/>
        </w:trPr>
        <w:tc>
          <w:tcPr>
            <w:tcW w:w="73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40241E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707B0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Nazwa aparatu, producent, </w:t>
            </w:r>
            <w:r w:rsidR="00DC72E3"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kraj producenta, </w:t>
            </w: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typ, model, rok produkcji  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E30ED7" w:rsidRPr="001D2A3D" w:rsidTr="00E07592">
        <w:trPr>
          <w:trHeight w:val="33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C9486C" w:rsidP="00C9486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B2113B" w:rsidRDefault="00797004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PODSTAWOWE PARAMETRY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5A353E" w:rsidRDefault="00E30ED7" w:rsidP="008E7DB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5A353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  <w:proofErr w:type="spellEnd"/>
          </w:p>
        </w:tc>
      </w:tr>
      <w:tr w:rsidR="00477943" w:rsidRPr="001D2A3D" w:rsidTr="00A06C9C">
        <w:trPr>
          <w:trHeight w:val="46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3B" w:rsidRPr="002D51E9" w:rsidRDefault="003D426B" w:rsidP="00B2113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>Podnośnik wykonany z metalu przeznaczony do transportu i przenoszenia pacjentów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3D426B" w:rsidRPr="005A353E" w:rsidRDefault="003D426B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477943" w:rsidRPr="001D2A3D" w:rsidTr="00A06C9C">
        <w:trPr>
          <w:trHeight w:val="46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2D51E9" w:rsidRDefault="003D426B" w:rsidP="00477943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>Rama - wieszak do nosideł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235A6A" w:rsidRDefault="00477943" w:rsidP="00477943">
            <w:pPr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477943" w:rsidRPr="001D2A3D" w:rsidTr="00A06C9C">
        <w:trPr>
          <w:trHeight w:val="61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943" w:rsidRPr="002D51E9" w:rsidRDefault="003D426B" w:rsidP="0047794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51E9">
              <w:rPr>
                <w:rFonts w:ascii="Arial" w:hAnsi="Arial" w:cs="Arial"/>
                <w:sz w:val="24"/>
                <w:szCs w:val="24"/>
              </w:rPr>
              <w:t>Podstawa jezdna z funkcją elektrycznego rozsuwana  za pomocą pilota przewodowego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477943" w:rsidRPr="001D2A3D" w:rsidTr="00A06C9C">
        <w:trPr>
          <w:trHeight w:val="61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1C" w:rsidRPr="002D51E9" w:rsidRDefault="003D426B" w:rsidP="00A1541C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hAnsi="Arial" w:cs="Arial"/>
                <w:sz w:val="24"/>
                <w:szCs w:val="24"/>
              </w:rPr>
              <w:t>Elektryczna regulacja wysokości z pilota przewodowego.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9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1C" w:rsidRPr="002D51E9" w:rsidRDefault="003D426B" w:rsidP="00AB5809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Pilot wyposażony w czytelne oznaczenia  na  przyciskach funkcyjnych oraz uchwyt do odwieszenia na podnośniku.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74700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A06C9C" w:rsidRPr="001D2A3D" w:rsidRDefault="00A06C9C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09" w:rsidRPr="001D2A3D" w:rsidRDefault="00AB5809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31E3F" w:rsidRPr="001D2A3D" w:rsidTr="00A06C9C">
        <w:trPr>
          <w:trHeight w:val="44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B2113B" w:rsidRDefault="008042A4" w:rsidP="00C9486C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2D51E9" w:rsidRDefault="003D426B" w:rsidP="00AB5809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D51E9">
              <w:rPr>
                <w:rFonts w:ascii="Arial" w:hAnsi="Arial" w:cs="Arial"/>
                <w:sz w:val="24"/>
                <w:szCs w:val="24"/>
              </w:rPr>
              <w:t>Wbudowanyw</w:t>
            </w:r>
            <w:proofErr w:type="spellEnd"/>
            <w:r w:rsidRPr="002D51E9">
              <w:rPr>
                <w:rFonts w:ascii="Arial" w:hAnsi="Arial" w:cs="Arial"/>
                <w:sz w:val="24"/>
                <w:szCs w:val="24"/>
              </w:rPr>
              <w:t xml:space="preserve"> urządzenie system ważenia pacjenta, III klasy dokładności wraz z wyświetlaczem LCD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  <w:r w:rsidR="003D42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/NIE</w:t>
            </w:r>
          </w:p>
          <w:p w:rsidR="00B31E3F" w:rsidRPr="00A06C9C" w:rsidRDefault="00B31E3F" w:rsidP="00B31E3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6B" w:rsidRPr="008E1C48" w:rsidRDefault="003D426B" w:rsidP="003D4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C48">
              <w:rPr>
                <w:rFonts w:ascii="Arial" w:hAnsi="Arial" w:cs="Arial"/>
                <w:sz w:val="24"/>
                <w:szCs w:val="24"/>
              </w:rPr>
              <w:t xml:space="preserve">TAK – 5 </w:t>
            </w:r>
            <w:proofErr w:type="spellStart"/>
            <w:r w:rsidRPr="008E1C48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  <w:p w:rsidR="00AB5809" w:rsidRPr="001D2A3D" w:rsidRDefault="003D426B" w:rsidP="003D426B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E1C48">
              <w:rPr>
                <w:rFonts w:ascii="Arial" w:hAnsi="Arial" w:cs="Arial"/>
                <w:sz w:val="24"/>
                <w:szCs w:val="24"/>
              </w:rPr>
              <w:t xml:space="preserve">NIE – 0 </w:t>
            </w:r>
            <w:proofErr w:type="spellStart"/>
            <w:r w:rsidRPr="008E1C48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7762DC" w:rsidP="005A35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Systemy awaryjnego opuszczania - obniżania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1D2A3D" w:rsidRDefault="007762DC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podąć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7762DC" w:rsidP="005A353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Funkcja awaryjnego zatrzymania.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7762DC" w:rsidP="005A35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Sygnał dźwiękowy informujący o konieczności naładowania akumulatora.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3E" w:rsidRPr="002D51E9" w:rsidRDefault="007762DC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hAnsi="Arial" w:cs="Arial"/>
                <w:sz w:val="24"/>
                <w:szCs w:val="24"/>
              </w:rPr>
              <w:t>Wyświetlacz LCD na panelu sterowania (informacja o stanie akumulatora, liczbie cykli – godzin 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5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7762DC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Min.</w:t>
            </w: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>4koła  w tym dwa z funkcją blokady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1D2A3D" w:rsidRDefault="007762DC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C9486C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53E" w:rsidRPr="002D51E9" w:rsidRDefault="007762DC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hAnsi="Arial" w:cs="Arial"/>
                <w:sz w:val="24"/>
                <w:szCs w:val="24"/>
              </w:rPr>
              <w:t>Długość zewnętrzna  podstawy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1D2A3D" w:rsidRDefault="007762DC" w:rsidP="005A3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06C9C" w:rsidRPr="001D2A3D" w:rsidTr="00A06C9C">
        <w:trPr>
          <w:trHeight w:val="55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C" w:rsidRPr="001D2A3D" w:rsidRDefault="00A06C9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C9C" w:rsidRPr="002D51E9" w:rsidRDefault="007762DC" w:rsidP="005B508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W</w:t>
            </w: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>ysokość podstawy jezdnej max 115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C9C" w:rsidRPr="00A06C9C" w:rsidRDefault="00AF4B83" w:rsidP="00AF4B83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C9C" w:rsidRPr="00A06C9C" w:rsidRDefault="00A06C9C" w:rsidP="00A06C9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7762DC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M</w:t>
            </w: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>aksymalny udźwig podnośnika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AB5809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8E1C48" w:rsidRDefault="007762DC" w:rsidP="00776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C48">
              <w:rPr>
                <w:rFonts w:ascii="Arial" w:hAnsi="Arial" w:cs="Arial"/>
                <w:sz w:val="24"/>
                <w:szCs w:val="24"/>
              </w:rPr>
              <w:t xml:space="preserve">od  270 kg do 300 kg – 0 </w:t>
            </w:r>
            <w:proofErr w:type="spellStart"/>
            <w:r w:rsidRPr="008E1C48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  <w:p w:rsidR="005A353E" w:rsidRPr="008E1C48" w:rsidRDefault="007762DC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1C48">
              <w:rPr>
                <w:rFonts w:ascii="Arial" w:hAnsi="Arial" w:cs="Arial"/>
                <w:sz w:val="24"/>
                <w:szCs w:val="24"/>
              </w:rPr>
              <w:t xml:space="preserve">powyżej 300 kg – 5 </w:t>
            </w:r>
            <w:proofErr w:type="spellStart"/>
            <w:r w:rsidRPr="008E1C48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7762DC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Całkowita w</w:t>
            </w: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 xml:space="preserve">aga podnośnika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1D2A3D" w:rsidRDefault="00AB5809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8E1C48" w:rsidRDefault="007762DC" w:rsidP="00776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C48">
              <w:rPr>
                <w:rFonts w:ascii="Arial" w:hAnsi="Arial" w:cs="Arial"/>
                <w:sz w:val="24"/>
                <w:szCs w:val="24"/>
              </w:rPr>
              <w:t xml:space="preserve">do 40 kg – 5 </w:t>
            </w:r>
            <w:proofErr w:type="spellStart"/>
            <w:r w:rsidRPr="008E1C48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  <w:p w:rsidR="005A353E" w:rsidRPr="008E1C48" w:rsidRDefault="007762DC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1C48">
              <w:rPr>
                <w:rFonts w:ascii="Arial" w:hAnsi="Arial" w:cs="Arial"/>
                <w:sz w:val="24"/>
                <w:szCs w:val="24"/>
              </w:rPr>
              <w:t xml:space="preserve">powyżej 40 kg – 0 </w:t>
            </w:r>
            <w:proofErr w:type="spellStart"/>
            <w:r w:rsidRPr="008E1C48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7762DC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>Promień skrętu podnośnika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1D2A3D" w:rsidRDefault="007762DC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8E1C48" w:rsidRDefault="007762DC" w:rsidP="00776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C48">
              <w:rPr>
                <w:rFonts w:ascii="Arial" w:hAnsi="Arial" w:cs="Arial"/>
                <w:sz w:val="24"/>
                <w:szCs w:val="24"/>
              </w:rPr>
              <w:t xml:space="preserve">do 1500 mm – 5 </w:t>
            </w:r>
            <w:proofErr w:type="spellStart"/>
            <w:r w:rsidRPr="008E1C48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  <w:p w:rsidR="005A353E" w:rsidRPr="008E1C48" w:rsidRDefault="007762DC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1C48">
              <w:rPr>
                <w:rFonts w:ascii="Arial" w:hAnsi="Arial" w:cs="Arial"/>
                <w:sz w:val="24"/>
                <w:szCs w:val="24"/>
              </w:rPr>
              <w:t xml:space="preserve">powyżej 1500 mm – 0 </w:t>
            </w:r>
            <w:proofErr w:type="spellStart"/>
            <w:r w:rsidRPr="008E1C48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</w:tc>
      </w:tr>
      <w:tr w:rsidR="00B31E3F" w:rsidRPr="001D2A3D" w:rsidTr="00A06C9C">
        <w:trPr>
          <w:trHeight w:val="58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2D51E9" w:rsidRDefault="007762DC" w:rsidP="007E5F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E</w:t>
            </w: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>lektryczna regulacja wysokości podnoszenia  przy pomocy pilota przewodowego do  min.  1800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1D2A3D" w:rsidRDefault="007762DC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B31E3F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762DC" w:rsidRPr="001D2A3D" w:rsidTr="00A06C9C">
        <w:trPr>
          <w:trHeight w:val="458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2D51E9" w:rsidRDefault="007762DC" w:rsidP="00477943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Elektrycznie r</w:t>
            </w: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>egulowana szerokość zewnętrzna podstawy jezdnej min. 750 – 1150 mm (+/- 20 mm)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E0429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A72608" w:rsidRDefault="007762DC" w:rsidP="00E042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762D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2D51E9" w:rsidRDefault="007762DC" w:rsidP="00B31E3F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>Zasilanie akumulatorowe z funkcją ładowania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E042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762DC" w:rsidRDefault="007762DC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Default="007762DC" w:rsidP="007762DC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762D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2D51E9" w:rsidRDefault="007762DC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Instrukcja użytkowania na podnośniku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A72608" w:rsidRDefault="007762DC" w:rsidP="007762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762DC" w:rsidRPr="001D2A3D" w:rsidTr="00A06C9C">
        <w:trPr>
          <w:trHeight w:val="44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C9486C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2D51E9" w:rsidRDefault="007762DC" w:rsidP="008030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eastAsia="Cambria" w:hAnsi="Arial" w:cs="Arial"/>
                <w:color w:val="000000"/>
                <w:sz w:val="24"/>
                <w:szCs w:val="24"/>
              </w:rPr>
              <w:t>W zestawie rękaw-mata ślizgowa do przesuwania pacjenta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E04293"/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762D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62DC" w:rsidRPr="002D51E9" w:rsidRDefault="007762DC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51E9">
              <w:rPr>
                <w:rFonts w:ascii="Arial" w:hAnsi="Arial" w:cs="Arial"/>
                <w:color w:val="000000"/>
                <w:sz w:val="24"/>
                <w:szCs w:val="24"/>
              </w:rPr>
              <w:t>Podwieszki-nosidła do transportu pacjenta w pozycji siedzącej w 4 rozmiarach M, L, XL, XXL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2DC" w:rsidRPr="00A72608" w:rsidRDefault="007762DC" w:rsidP="00E042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E07592">
        <w:trPr>
          <w:trHeight w:val="48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992656" w:rsidRDefault="005A353E" w:rsidP="005A353E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b/>
                <w:snapToGrid w:val="0"/>
                <w:sz w:val="22"/>
                <w:szCs w:val="22"/>
              </w:rPr>
              <w:t>WYMAGANIA OGÓLNE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1D2A3D" w:rsidRDefault="005A353E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  <w:proofErr w:type="spellEnd"/>
          </w:p>
        </w:tc>
      </w:tr>
      <w:tr w:rsidR="005A353E" w:rsidRPr="001D2A3D" w:rsidTr="00A06C9C">
        <w:trPr>
          <w:trHeight w:val="40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04000A" w:rsidRDefault="0004000A" w:rsidP="005A35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000A">
              <w:rPr>
                <w:rFonts w:ascii="Arial" w:hAnsi="Arial" w:cs="Arial"/>
                <w:snapToGrid w:val="0"/>
                <w:sz w:val="24"/>
                <w:szCs w:val="24"/>
              </w:rPr>
              <w:t>Szkolenie z obsługi, dezynfekcji, użytkowania, podstaw konserwacji urządzenia, pracowników wskazanych przez Zamawiającego w terminie uzgodnionym z zamawiającym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TAK 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5A353E" w:rsidRPr="001D2A3D" w:rsidTr="00A06C9C">
        <w:trPr>
          <w:trHeight w:val="62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92656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 xml:space="preserve">Instrukcja obsługi i użytkowania w języku polskim w formie drukowanej i elektronicznej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A22A1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8042A4" w:rsidRPr="001D2A3D" w:rsidTr="00A06C9C">
        <w:trPr>
          <w:trHeight w:val="62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Pr="00992656" w:rsidRDefault="008042A4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z w:val="22"/>
                <w:szCs w:val="22"/>
              </w:rPr>
              <w:t xml:space="preserve">Kserokopia   ważnych  posiadanych  dopuszczeń   do obrotu   zgodnie  z  wymogami </w:t>
            </w:r>
            <w:r w:rsidR="008D0E72">
              <w:rPr>
                <w:rFonts w:ascii="Arial" w:hAnsi="Arial" w:cs="Arial"/>
                <w:sz w:val="22"/>
                <w:szCs w:val="22"/>
              </w:rPr>
              <w:t xml:space="preserve">aktualnej </w:t>
            </w:r>
            <w:r w:rsidRPr="00992656">
              <w:rPr>
                <w:rFonts w:ascii="Arial" w:hAnsi="Arial" w:cs="Arial"/>
                <w:sz w:val="22"/>
                <w:szCs w:val="22"/>
              </w:rPr>
              <w:t xml:space="preserve">ustawy  o wyrobach  medycznych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Pr="00992656" w:rsidRDefault="008042A4" w:rsidP="008042A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92656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TAK</w:t>
            </w:r>
          </w:p>
          <w:p w:rsidR="008042A4" w:rsidRPr="001D2A3D" w:rsidRDefault="008042A4" w:rsidP="008042A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Default="008042A4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5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92656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>Bezpłatna aktualizacja oprogramowania w okresie gwarancyjnym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80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92656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dostawy i instalacji: max </w:t>
            </w:r>
            <w:r w:rsidR="00FD5E34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>0 dni  od daty podpisania umowy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2A" w:rsidRPr="0071102A" w:rsidRDefault="0071102A" w:rsidP="0071102A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  <w:p w:rsidR="005A353E" w:rsidRPr="001D2A3D" w:rsidRDefault="005A353E" w:rsidP="0071102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4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Paszport techniczny urządzenia przy dostawie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AF4B83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E07592">
        <w:trPr>
          <w:trHeight w:val="50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1D2A3D" w:rsidRDefault="005A353E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WARUNKI GWARANCJI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2B1745" w:rsidRDefault="005A353E" w:rsidP="005A353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B174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2B1745" w:rsidRDefault="005A353E" w:rsidP="005A353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B174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xxxxxxxxxxxxxxxxxxxxxxxxxxxxxxxxxxxxxxxx</w:t>
            </w:r>
            <w:proofErr w:type="spellEnd"/>
          </w:p>
        </w:tc>
      </w:tr>
      <w:tr w:rsidR="007762DC" w:rsidRPr="001D2A3D" w:rsidTr="00A06C9C">
        <w:trPr>
          <w:trHeight w:val="50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92656">
              <w:rPr>
                <w:rFonts w:ascii="Arial" w:hAnsi="Arial" w:cs="Arial"/>
                <w:sz w:val="24"/>
                <w:szCs w:val="24"/>
              </w:rPr>
              <w:t>Okres gwarancji min 24 miesiące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7762DC" w:rsidRDefault="007762DC" w:rsidP="005A353E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 w:rsidRPr="007762DC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470970" w:rsidRDefault="007762DC" w:rsidP="007762DC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24 m-ce -  0%</w:t>
            </w:r>
          </w:p>
          <w:p w:rsidR="007762DC" w:rsidRPr="00470970" w:rsidRDefault="007762DC" w:rsidP="007762DC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36 </w:t>
            </w:r>
            <w:proofErr w:type="spellStart"/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m-cy</w:t>
            </w:r>
            <w:proofErr w:type="spellEnd"/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10</w:t>
            </w: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%</w:t>
            </w:r>
          </w:p>
          <w:p w:rsidR="007762DC" w:rsidRPr="002B1745" w:rsidRDefault="007762DC" w:rsidP="007762D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m</w:t>
            </w: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-cy</w:t>
            </w:r>
            <w:proofErr w:type="spellEnd"/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– 20%</w:t>
            </w: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Dokumenty potwierdzaj</w:t>
            </w:r>
            <w:r w:rsidRPr="002B1745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2B1745">
              <w:rPr>
                <w:rFonts w:ascii="Arial" w:hAnsi="Arial" w:cs="Arial"/>
                <w:sz w:val="22"/>
                <w:szCs w:val="22"/>
              </w:rPr>
              <w:t>ce dopuszczenie do obrotu i stosowania zgodnie z ustaw</w:t>
            </w:r>
            <w:r w:rsidRPr="002B1745">
              <w:rPr>
                <w:rFonts w:ascii="Arial" w:eastAsia="TimesNewRoman" w:hAnsi="Arial" w:cs="Arial"/>
                <w:sz w:val="22"/>
                <w:szCs w:val="22"/>
              </w:rPr>
              <w:t xml:space="preserve">ą </w:t>
            </w:r>
            <w:r w:rsidRPr="002B1745">
              <w:rPr>
                <w:rFonts w:ascii="Arial" w:hAnsi="Arial" w:cs="Arial"/>
                <w:sz w:val="22"/>
                <w:szCs w:val="22"/>
              </w:rPr>
              <w:t>o wyrobach medycznych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  <w:r w:rsidRPr="002B17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Karta gwarancyjna wystawiona na zaoferowany okres gwarancji, wymagana przy dostarczeniu urządze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Przeglądy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745">
              <w:rPr>
                <w:rFonts w:ascii="Arial" w:hAnsi="Arial" w:cs="Arial"/>
                <w:sz w:val="22"/>
                <w:szCs w:val="22"/>
              </w:rPr>
              <w:t>w okresie gwarancji w cenie dostawy przedmiotu zamówienia min. 1 raz w roku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Czas naprawy urządzenia w okresie gwarancyjnym ma</w:t>
            </w:r>
            <w:r w:rsidR="00FD5E3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x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Autoryzowany serwis na terenie Polski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Zagwarantowanie dostępność serwisu, oprogramowania i części zamiennych, przez co najmniej 10 lat od daty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80E21" w:rsidRDefault="00680E21" w:rsidP="00680E21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UWAGA</w:t>
      </w:r>
    </w:p>
    <w:p w:rsidR="00680E21" w:rsidRDefault="00680E21" w:rsidP="00680E21">
      <w:p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680E21" w:rsidRDefault="00680E21" w:rsidP="00680E21">
      <w:pPr>
        <w:pStyle w:val="Tekstpodstawowy"/>
        <w:rPr>
          <w:rFonts w:ascii="Arial" w:hAnsi="Arial" w:cs="Arial"/>
          <w:snapToGrid/>
          <w:szCs w:val="24"/>
        </w:rPr>
      </w:pPr>
    </w:p>
    <w:p w:rsidR="00680E21" w:rsidRDefault="00680E21" w:rsidP="00680E21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bookmarkStart w:id="0" w:name="_Hlk511905868"/>
      <w:r>
        <w:rPr>
          <w:rFonts w:asciiTheme="minorHAnsi" w:hAnsiTheme="minorHAnsi"/>
          <w:b/>
          <w:snapToGrid w:val="0"/>
          <w:sz w:val="24"/>
          <w:szCs w:val="24"/>
        </w:rPr>
        <w:t xml:space="preserve">Pytania dotyczące powyższych parametrów i wymagań winny odnosić się precyzyjnie do poszczególnych punktów w tabeli i przedmiotu zamówienia. </w:t>
      </w:r>
    </w:p>
    <w:bookmarkEnd w:id="0"/>
    <w:p w:rsidR="00680E21" w:rsidRDefault="00680E21" w:rsidP="00680E21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680E21" w:rsidRDefault="00680E21" w:rsidP="00680E21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Niespełnienie choćby jednego z wymogów zawartych w opisie przedmiotu zamówienia dotyczących przedmiotu zamówienia stawianych przez Zamawiającego w powyższych tabelach spowoduje odrzucenie oferty (</w:t>
      </w:r>
      <w:r>
        <w:rPr>
          <w:rFonts w:asciiTheme="minorHAnsi" w:hAnsiTheme="minorHAnsi"/>
          <w:b/>
          <w:i/>
          <w:iCs/>
          <w:snapToGrid w:val="0"/>
          <w:sz w:val="24"/>
          <w:szCs w:val="24"/>
        </w:rPr>
        <w:t>nie dotyczy parametrów ocenianych</w:t>
      </w:r>
      <w:r>
        <w:rPr>
          <w:rFonts w:asciiTheme="minorHAnsi" w:hAnsiTheme="minorHAnsi"/>
          <w:b/>
          <w:snapToGrid w:val="0"/>
          <w:sz w:val="24"/>
          <w:szCs w:val="24"/>
        </w:rPr>
        <w:t>).</w:t>
      </w:r>
    </w:p>
    <w:p w:rsidR="00680E21" w:rsidRDefault="00680E21" w:rsidP="00680E21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680E21" w:rsidRDefault="00680E21" w:rsidP="00680E21">
      <w:pPr>
        <w:jc w:val="both"/>
        <w:rPr>
          <w:rFonts w:asciiTheme="minorHAnsi" w:hAnsiTheme="minorHAnsi"/>
          <w:b/>
          <w:i/>
          <w:iCs/>
          <w:snapToGrid w:val="0"/>
          <w:sz w:val="24"/>
          <w:szCs w:val="24"/>
        </w:rPr>
      </w:pPr>
    </w:p>
    <w:p w:rsidR="00680E21" w:rsidRDefault="00680E21" w:rsidP="00680E21">
      <w:pPr>
        <w:tabs>
          <w:tab w:val="left" w:pos="426"/>
        </w:tabs>
        <w:suppressAutoHyphens/>
        <w:spacing w:before="60" w:after="60"/>
        <w:jc w:val="both"/>
        <w:rPr>
          <w:rFonts w:ascii="Calibri" w:hAnsi="Calibri" w:cs="Calibri"/>
          <w:sz w:val="24"/>
          <w:szCs w:val="24"/>
        </w:rPr>
      </w:pPr>
      <w:bookmarkStart w:id="1" w:name="_Hlk68594850"/>
      <w:r>
        <w:rPr>
          <w:rFonts w:ascii="Calibri" w:hAnsi="Calibri" w:cs="Calibri"/>
          <w:sz w:val="24"/>
          <w:szCs w:val="24"/>
        </w:rPr>
        <w:t>*Zamawiający informuje, iż ilekroć w SWZ i jej załącznikach przedmiot zamówienia jest opisany:</w:t>
      </w:r>
    </w:p>
    <w:p w:rsidR="00680E21" w:rsidRDefault="00680E21" w:rsidP="00680E21">
      <w:pPr>
        <w:numPr>
          <w:ilvl w:val="0"/>
          <w:numId w:val="4"/>
        </w:numPr>
        <w:suppressAutoHyphens/>
        <w:spacing w:before="60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ze wskazaniem znaków towarowych, nazw własnych, patentów lub pochodzenia źródła lub szczególnego procesu, </w:t>
      </w:r>
      <w:proofErr w:type="spellStart"/>
      <w:r>
        <w:rPr>
          <w:rFonts w:ascii="Calibri" w:hAnsi="Calibri" w:cs="Calibri"/>
          <w:sz w:val="24"/>
          <w:szCs w:val="24"/>
        </w:rPr>
        <w:t>którycharakteryzuje</w:t>
      </w:r>
      <w:proofErr w:type="spellEnd"/>
      <w:r>
        <w:rPr>
          <w:rFonts w:ascii="Calibri" w:hAnsi="Calibri" w:cs="Calibri"/>
          <w:sz w:val="24"/>
          <w:szCs w:val="24"/>
        </w:rPr>
        <w:t xml:space="preserve"> produkty lub usługi dostarczane przez konkretnego wykonawcę co prowadziłoby  do  uprzywilejowania  lub  wyeliminowania  niektórych  Wykonawców  lub produktów,  oznacza  to,  że  Zamawiający  nie  może  opisać  przedmiotu  zamówienia wystarczająco  precyzyjny  i  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:rsidR="00680E21" w:rsidRDefault="00680E21" w:rsidP="00680E21">
      <w:pPr>
        <w:numPr>
          <w:ilvl w:val="0"/>
          <w:numId w:val="4"/>
        </w:numPr>
        <w:suppressAutoHyphens/>
        <w:spacing w:before="60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poprzez odniesienie się do norm, ocen technicznych, specyfikacji technicznych i systemów referencji technicznych, o których mowa w art. 101 ust. 1 </w:t>
      </w:r>
      <w:proofErr w:type="spellStart"/>
      <w:r>
        <w:rPr>
          <w:rFonts w:ascii="Calibri" w:hAnsi="Calibri" w:cs="Calibri"/>
          <w:sz w:val="24"/>
          <w:szCs w:val="24"/>
        </w:rPr>
        <w:t>pkt</w:t>
      </w:r>
      <w:proofErr w:type="spellEnd"/>
      <w:r>
        <w:rPr>
          <w:rFonts w:ascii="Calibri" w:hAnsi="Calibri" w:cs="Calibri"/>
          <w:sz w:val="24"/>
          <w:szCs w:val="24"/>
        </w:rPr>
        <w:t xml:space="preserve"> 2 oraz ust. 3 ustawy, to przyjmuje się, że dopuszcza się rozwiązania równoważne opisywanym,  a  wskazane  powyżej  odniesienia należy odczytywać z wyrazami „lub równoważne”.</w:t>
      </w:r>
    </w:p>
    <w:p w:rsidR="00680E21" w:rsidRDefault="00680E21" w:rsidP="00680E2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:rsidR="00680E21" w:rsidRDefault="00680E21" w:rsidP="00680E21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4"/>
          <w:szCs w:val="24"/>
          <w:lang w:eastAsia="en-US"/>
        </w:rPr>
      </w:pPr>
      <w:r>
        <w:rPr>
          <w:rFonts w:asciiTheme="minorHAnsi" w:eastAsiaTheme="majorEastAsia" w:hAnsiTheme="minorHAnsi" w:cstheme="majorBidi"/>
          <w:sz w:val="24"/>
          <w:szCs w:val="24"/>
          <w:lang w:eastAsia="en-US"/>
        </w:rPr>
        <w:lastRenderedPageBreak/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bookmarkEnd w:id="1"/>
    <w:p w:rsidR="00680E21" w:rsidRDefault="00680E21" w:rsidP="00680E21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680E21" w:rsidRDefault="00680E21" w:rsidP="00680E21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680E21" w:rsidRDefault="00680E21" w:rsidP="00680E21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680E21" w:rsidRDefault="00680E21" w:rsidP="00680E21">
      <w:pPr>
        <w:ind w:left="360"/>
        <w:jc w:val="right"/>
        <w:rPr>
          <w:rFonts w:asciiTheme="minorHAnsi" w:hAnsiTheme="minorHAnsi" w:cs="Tahoma"/>
          <w:b/>
          <w:bCs/>
          <w:i/>
          <w:iCs/>
          <w:color w:val="244061" w:themeColor="accent1" w:themeShade="80"/>
          <w:sz w:val="18"/>
          <w:szCs w:val="18"/>
        </w:rPr>
      </w:pPr>
      <w:r>
        <w:rPr>
          <w:rFonts w:asciiTheme="minorHAnsi" w:hAnsiTheme="minorHAnsi" w:cs="Tahoma"/>
          <w:b/>
          <w:bCs/>
          <w:i/>
          <w:iCs/>
          <w:color w:val="244061" w:themeColor="accent1" w:themeShade="80"/>
          <w:sz w:val="18"/>
          <w:szCs w:val="18"/>
        </w:rPr>
        <w:t>Dokument należy podpisać podpisem: kwalifikowanym, zaufanym lub osobistym.</w:t>
      </w:r>
    </w:p>
    <w:p w:rsidR="00E30ED7" w:rsidRPr="009711B3" w:rsidRDefault="00E30ED7">
      <w:pPr>
        <w:rPr>
          <w:rFonts w:ascii="Arial" w:hAnsi="Arial" w:cs="Arial"/>
          <w:sz w:val="24"/>
          <w:szCs w:val="24"/>
        </w:rPr>
      </w:pPr>
    </w:p>
    <w:sectPr w:rsidR="00E30ED7" w:rsidRPr="009711B3" w:rsidSect="008E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F8" w:rsidRDefault="000867F8">
      <w:r>
        <w:separator/>
      </w:r>
    </w:p>
  </w:endnote>
  <w:endnote w:type="continuationSeparator" w:id="1">
    <w:p w:rsidR="000867F8" w:rsidRDefault="0008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E" w:rsidRDefault="00DA7C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3D" w:rsidRDefault="00DA7C5E">
    <w:pPr>
      <w:pStyle w:val="Stopka"/>
    </w:pPr>
    <w:r w:rsidRPr="00DA7C5E">
      <w:rPr>
        <w:noProof/>
      </w:rPr>
      <w:drawing>
        <wp:inline distT="0" distB="0" distL="0" distR="0">
          <wp:extent cx="6391275" cy="612604"/>
          <wp:effectExtent l="19050" t="0" r="9525" b="0"/>
          <wp:docPr id="1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  <w:t xml:space="preserve">Strona </w:t>
    </w:r>
    <w:fldSimple w:instr=" PAGE ">
      <w:r w:rsidR="00E07592">
        <w:rPr>
          <w:noProof/>
        </w:rPr>
        <w:t>4</w:t>
      </w:r>
    </w:fldSimple>
    <w:r w:rsidR="001D2A3D">
      <w:t xml:space="preserve"> z </w:t>
    </w:r>
    <w:fldSimple w:instr=" NUMPAGES ">
      <w:r w:rsidR="00E07592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E" w:rsidRDefault="00DA7C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F8" w:rsidRDefault="000867F8">
      <w:r>
        <w:separator/>
      </w:r>
    </w:p>
  </w:footnote>
  <w:footnote w:type="continuationSeparator" w:id="1">
    <w:p w:rsidR="000867F8" w:rsidRDefault="00086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E" w:rsidRDefault="00DA7C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E" w:rsidRDefault="00DA7C5E" w:rsidP="00DA7C5E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>
          <wp:extent cx="381662" cy="223496"/>
          <wp:effectExtent l="0" t="0" r="0" b="5715"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</w:t>
    </w:r>
    <w:r w:rsidRPr="00323EA6">
      <w:rPr>
        <w:i/>
        <w:iCs/>
        <w:sz w:val="16"/>
        <w:szCs w:val="16"/>
      </w:rPr>
      <w:t>-241/</w:t>
    </w:r>
    <w:r>
      <w:rPr>
        <w:i/>
        <w:iCs/>
        <w:sz w:val="16"/>
        <w:szCs w:val="16"/>
      </w:rPr>
      <w:t>39</w:t>
    </w:r>
    <w:r w:rsidRPr="00323EA6">
      <w:rPr>
        <w:i/>
        <w:iCs/>
        <w:sz w:val="16"/>
        <w:szCs w:val="16"/>
      </w:rPr>
      <w:t>/21</w:t>
    </w:r>
  </w:p>
  <w:p w:rsidR="008D0E72" w:rsidRDefault="008D0E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E" w:rsidRDefault="00DA7C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B7A"/>
    <w:multiLevelType w:val="hybridMultilevel"/>
    <w:tmpl w:val="9434FFBE"/>
    <w:lvl w:ilvl="0" w:tplc="8D2EBB14">
      <w:start w:val="48"/>
      <w:numFmt w:val="decimal"/>
      <w:lvlText w:val="%1"/>
      <w:lvlJc w:val="left"/>
      <w:pPr>
        <w:ind w:left="495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666E01"/>
    <w:multiLevelType w:val="hybridMultilevel"/>
    <w:tmpl w:val="F1F6F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412C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30ED7"/>
    <w:rsid w:val="0004000A"/>
    <w:rsid w:val="0004688C"/>
    <w:rsid w:val="00070C8E"/>
    <w:rsid w:val="00077901"/>
    <w:rsid w:val="000867F8"/>
    <w:rsid w:val="000F38E4"/>
    <w:rsid w:val="001121B2"/>
    <w:rsid w:val="00112EF9"/>
    <w:rsid w:val="00132C5E"/>
    <w:rsid w:val="001336D1"/>
    <w:rsid w:val="001552D9"/>
    <w:rsid w:val="0017181A"/>
    <w:rsid w:val="001749ED"/>
    <w:rsid w:val="00191FD7"/>
    <w:rsid w:val="001B76AC"/>
    <w:rsid w:val="001D2A3D"/>
    <w:rsid w:val="001D66D3"/>
    <w:rsid w:val="001E1436"/>
    <w:rsid w:val="001E36FF"/>
    <w:rsid w:val="00220979"/>
    <w:rsid w:val="00235A6A"/>
    <w:rsid w:val="002639B9"/>
    <w:rsid w:val="00276128"/>
    <w:rsid w:val="00285C11"/>
    <w:rsid w:val="002B1745"/>
    <w:rsid w:val="002B1FDC"/>
    <w:rsid w:val="002D0049"/>
    <w:rsid w:val="002D51E9"/>
    <w:rsid w:val="003169B4"/>
    <w:rsid w:val="00327D2E"/>
    <w:rsid w:val="00340CE8"/>
    <w:rsid w:val="003432FB"/>
    <w:rsid w:val="0036202C"/>
    <w:rsid w:val="00374D7B"/>
    <w:rsid w:val="003C12E8"/>
    <w:rsid w:val="003C3A8A"/>
    <w:rsid w:val="003D1934"/>
    <w:rsid w:val="003D3F71"/>
    <w:rsid w:val="003D426B"/>
    <w:rsid w:val="003F1228"/>
    <w:rsid w:val="0040241E"/>
    <w:rsid w:val="0040486C"/>
    <w:rsid w:val="00406970"/>
    <w:rsid w:val="00430267"/>
    <w:rsid w:val="00451C28"/>
    <w:rsid w:val="00470970"/>
    <w:rsid w:val="004714B4"/>
    <w:rsid w:val="00476BCB"/>
    <w:rsid w:val="00477943"/>
    <w:rsid w:val="004B0855"/>
    <w:rsid w:val="004E4C02"/>
    <w:rsid w:val="004F2B62"/>
    <w:rsid w:val="0050209F"/>
    <w:rsid w:val="00505AD3"/>
    <w:rsid w:val="00510240"/>
    <w:rsid w:val="00530A26"/>
    <w:rsid w:val="00537DA6"/>
    <w:rsid w:val="00556790"/>
    <w:rsid w:val="00561594"/>
    <w:rsid w:val="00563B7C"/>
    <w:rsid w:val="00567007"/>
    <w:rsid w:val="00574871"/>
    <w:rsid w:val="00595420"/>
    <w:rsid w:val="005A353E"/>
    <w:rsid w:val="005B508E"/>
    <w:rsid w:val="005C68FA"/>
    <w:rsid w:val="005D2585"/>
    <w:rsid w:val="005D28ED"/>
    <w:rsid w:val="005E13FA"/>
    <w:rsid w:val="0063119D"/>
    <w:rsid w:val="00680E21"/>
    <w:rsid w:val="00682523"/>
    <w:rsid w:val="006826FB"/>
    <w:rsid w:val="006B5F55"/>
    <w:rsid w:val="006D3C7A"/>
    <w:rsid w:val="006D50F4"/>
    <w:rsid w:val="006D54D0"/>
    <w:rsid w:val="0070497B"/>
    <w:rsid w:val="00707B06"/>
    <w:rsid w:val="0071102A"/>
    <w:rsid w:val="00716B5E"/>
    <w:rsid w:val="007410C9"/>
    <w:rsid w:val="0075343C"/>
    <w:rsid w:val="00755B5F"/>
    <w:rsid w:val="007762DC"/>
    <w:rsid w:val="00797004"/>
    <w:rsid w:val="007B13DF"/>
    <w:rsid w:val="007D2C88"/>
    <w:rsid w:val="007D69F2"/>
    <w:rsid w:val="007E1BFE"/>
    <w:rsid w:val="007E232C"/>
    <w:rsid w:val="007E5FFD"/>
    <w:rsid w:val="007F2035"/>
    <w:rsid w:val="00803032"/>
    <w:rsid w:val="008042A4"/>
    <w:rsid w:val="00815212"/>
    <w:rsid w:val="00847F5C"/>
    <w:rsid w:val="00877C4A"/>
    <w:rsid w:val="008A27C5"/>
    <w:rsid w:val="008C7CB0"/>
    <w:rsid w:val="008D0E72"/>
    <w:rsid w:val="008E1C48"/>
    <w:rsid w:val="008E7DBD"/>
    <w:rsid w:val="00901F36"/>
    <w:rsid w:val="00907BEC"/>
    <w:rsid w:val="00911366"/>
    <w:rsid w:val="00936EC4"/>
    <w:rsid w:val="0094495A"/>
    <w:rsid w:val="0095775C"/>
    <w:rsid w:val="009636CC"/>
    <w:rsid w:val="009711B3"/>
    <w:rsid w:val="00973BBF"/>
    <w:rsid w:val="00987D38"/>
    <w:rsid w:val="00992656"/>
    <w:rsid w:val="009B3BE0"/>
    <w:rsid w:val="009B6A71"/>
    <w:rsid w:val="009D3B71"/>
    <w:rsid w:val="009E19DC"/>
    <w:rsid w:val="009E3DA2"/>
    <w:rsid w:val="009F0524"/>
    <w:rsid w:val="00A00597"/>
    <w:rsid w:val="00A03C13"/>
    <w:rsid w:val="00A03F67"/>
    <w:rsid w:val="00A06C9C"/>
    <w:rsid w:val="00A11ED8"/>
    <w:rsid w:val="00A1541C"/>
    <w:rsid w:val="00A2125A"/>
    <w:rsid w:val="00A22A1D"/>
    <w:rsid w:val="00A32C76"/>
    <w:rsid w:val="00A34EE4"/>
    <w:rsid w:val="00A7044F"/>
    <w:rsid w:val="00A77098"/>
    <w:rsid w:val="00A807B6"/>
    <w:rsid w:val="00A842CD"/>
    <w:rsid w:val="00A941A8"/>
    <w:rsid w:val="00AB5809"/>
    <w:rsid w:val="00AF47EE"/>
    <w:rsid w:val="00AF4B0C"/>
    <w:rsid w:val="00AF4B83"/>
    <w:rsid w:val="00B01555"/>
    <w:rsid w:val="00B2113B"/>
    <w:rsid w:val="00B25F03"/>
    <w:rsid w:val="00B31E3F"/>
    <w:rsid w:val="00B348B7"/>
    <w:rsid w:val="00B46EEF"/>
    <w:rsid w:val="00B550CE"/>
    <w:rsid w:val="00B715CD"/>
    <w:rsid w:val="00BA369C"/>
    <w:rsid w:val="00BB1814"/>
    <w:rsid w:val="00BF455E"/>
    <w:rsid w:val="00C31798"/>
    <w:rsid w:val="00C36E00"/>
    <w:rsid w:val="00C44C4B"/>
    <w:rsid w:val="00C54B87"/>
    <w:rsid w:val="00C65E9D"/>
    <w:rsid w:val="00C805C5"/>
    <w:rsid w:val="00C9231A"/>
    <w:rsid w:val="00C9486C"/>
    <w:rsid w:val="00C94A36"/>
    <w:rsid w:val="00D42593"/>
    <w:rsid w:val="00D51BDB"/>
    <w:rsid w:val="00D74C2E"/>
    <w:rsid w:val="00D9240A"/>
    <w:rsid w:val="00D92C97"/>
    <w:rsid w:val="00DA0D15"/>
    <w:rsid w:val="00DA53F7"/>
    <w:rsid w:val="00DA7C5E"/>
    <w:rsid w:val="00DC426D"/>
    <w:rsid w:val="00DC72E3"/>
    <w:rsid w:val="00E006FB"/>
    <w:rsid w:val="00E04293"/>
    <w:rsid w:val="00E07592"/>
    <w:rsid w:val="00E22EC7"/>
    <w:rsid w:val="00E30ED7"/>
    <w:rsid w:val="00E36F32"/>
    <w:rsid w:val="00E702B7"/>
    <w:rsid w:val="00E767BA"/>
    <w:rsid w:val="00E96267"/>
    <w:rsid w:val="00EC75B0"/>
    <w:rsid w:val="00ED2979"/>
    <w:rsid w:val="00ED3F5B"/>
    <w:rsid w:val="00F12072"/>
    <w:rsid w:val="00F518D8"/>
    <w:rsid w:val="00F62F40"/>
    <w:rsid w:val="00F95C62"/>
    <w:rsid w:val="00FB4678"/>
    <w:rsid w:val="00FD5227"/>
    <w:rsid w:val="00F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D7"/>
  </w:style>
  <w:style w:type="paragraph" w:styleId="Nagwek1">
    <w:name w:val="heading 1"/>
    <w:basedOn w:val="Normalny"/>
    <w:next w:val="Normalny"/>
    <w:qFormat/>
    <w:rsid w:val="00E30ED7"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30ED7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E30ED7"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0ED7"/>
    <w:rPr>
      <w:snapToGrid w:val="0"/>
      <w:color w:val="000000"/>
      <w:sz w:val="24"/>
    </w:rPr>
  </w:style>
  <w:style w:type="paragraph" w:styleId="Stopka">
    <w:name w:val="footer"/>
    <w:basedOn w:val="Normalny"/>
    <w:rsid w:val="00E30E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612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A353E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link w:val="Tytu"/>
    <w:rsid w:val="005A353E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53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5A353E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E72"/>
  </w:style>
  <w:style w:type="character" w:customStyle="1" w:styleId="Nagwek2Znak">
    <w:name w:val="Nagłówek 2 Znak"/>
    <w:basedOn w:val="Domylnaczcionkaakapitu"/>
    <w:link w:val="Nagwek2"/>
    <w:rsid w:val="00680E21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E9E0-8C69-4927-AECB-8212119A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7</cp:revision>
  <cp:lastPrinted>2021-03-15T09:01:00Z</cp:lastPrinted>
  <dcterms:created xsi:type="dcterms:W3CDTF">2021-07-27T12:12:00Z</dcterms:created>
  <dcterms:modified xsi:type="dcterms:W3CDTF">2021-07-28T13:43:00Z</dcterms:modified>
</cp:coreProperties>
</file>