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B6" w:rsidRPr="005A6B15" w:rsidRDefault="00B117B6" w:rsidP="00B117B6">
      <w:pPr>
        <w:jc w:val="right"/>
        <w:rPr>
          <w:rFonts w:cs="Calibri"/>
          <w:b/>
          <w:sz w:val="20"/>
          <w:szCs w:val="20"/>
        </w:rPr>
      </w:pPr>
      <w:r w:rsidRPr="005A6B15">
        <w:rPr>
          <w:rFonts w:cs="Calibri"/>
          <w:b/>
          <w:sz w:val="20"/>
          <w:szCs w:val="20"/>
        </w:rPr>
        <w:t xml:space="preserve">Gdynia, dnia </w:t>
      </w:r>
      <w:r w:rsidR="002A10C1" w:rsidRPr="00D33E3C">
        <w:rPr>
          <w:rFonts w:cs="Calibri"/>
          <w:b/>
          <w:sz w:val="20"/>
          <w:szCs w:val="20"/>
        </w:rPr>
        <w:t>18 p</w:t>
      </w:r>
      <w:r w:rsidR="002A10C1">
        <w:rPr>
          <w:rFonts w:cs="Calibri"/>
          <w:b/>
          <w:sz w:val="20"/>
          <w:szCs w:val="20"/>
        </w:rPr>
        <w:t xml:space="preserve">aździernika </w:t>
      </w:r>
      <w:r w:rsidRPr="005A6B15">
        <w:rPr>
          <w:rFonts w:cs="Calibri"/>
          <w:b/>
          <w:sz w:val="20"/>
          <w:szCs w:val="20"/>
        </w:rPr>
        <w:t>2021 r.</w:t>
      </w:r>
    </w:p>
    <w:p w:rsidR="00B117B6" w:rsidRPr="005A6B15" w:rsidRDefault="00B117B6" w:rsidP="00011B2F">
      <w:pPr>
        <w:contextualSpacing/>
        <w:rPr>
          <w:rFonts w:cs="Calibri"/>
          <w:b/>
          <w:sz w:val="20"/>
          <w:szCs w:val="20"/>
          <w:lang w:bidi="en-US"/>
        </w:rPr>
      </w:pPr>
    </w:p>
    <w:p w:rsidR="00CF7D0D" w:rsidRPr="001971AF" w:rsidRDefault="00CF7D0D" w:rsidP="00CF7D0D">
      <w:pPr>
        <w:spacing w:after="0" w:line="240" w:lineRule="auto"/>
        <w:contextualSpacing/>
        <w:jc w:val="center"/>
        <w:rPr>
          <w:b/>
          <w:lang w:bidi="en-US"/>
        </w:rPr>
      </w:pPr>
      <w:r w:rsidRPr="001971AF">
        <w:rPr>
          <w:b/>
          <w:lang w:bidi="en-US"/>
        </w:rPr>
        <w:t>Wykonawcy ubiegający się o udzielenie zamówienia</w:t>
      </w:r>
    </w:p>
    <w:p w:rsidR="00CF7D0D" w:rsidRPr="00F600D9" w:rsidRDefault="00CF7D0D" w:rsidP="00CF7D0D">
      <w:pPr>
        <w:jc w:val="both"/>
        <w:rPr>
          <w:sz w:val="16"/>
          <w:szCs w:val="16"/>
        </w:rPr>
      </w:pPr>
    </w:p>
    <w:p w:rsidR="00CF7D0D" w:rsidRPr="007C413B" w:rsidRDefault="00CF7D0D" w:rsidP="00CF7D0D">
      <w:pPr>
        <w:spacing w:after="0" w:line="240" w:lineRule="auto"/>
        <w:jc w:val="both"/>
        <w:rPr>
          <w:b/>
          <w:color w:val="244061"/>
          <w:sz w:val="20"/>
          <w:szCs w:val="20"/>
        </w:rPr>
      </w:pPr>
      <w:r w:rsidRPr="001971AF">
        <w:rPr>
          <w:color w:val="000000"/>
          <w:sz w:val="20"/>
          <w:szCs w:val="20"/>
        </w:rPr>
        <w:t xml:space="preserve">Dotyczy: postępowania </w:t>
      </w:r>
      <w:r w:rsidRPr="001971AF">
        <w:rPr>
          <w:rFonts w:cs="Tahoma"/>
          <w:bCs/>
          <w:iCs/>
          <w:color w:val="000000"/>
          <w:sz w:val="20"/>
          <w:szCs w:val="20"/>
        </w:rPr>
        <w:t xml:space="preserve">o udzielenie zamówienia publicznego prowadzonego </w:t>
      </w:r>
      <w:r w:rsidRPr="001971AF">
        <w:rPr>
          <w:rFonts w:cs="Tahoma"/>
          <w:noProof/>
          <w:sz w:val="20"/>
          <w:szCs w:val="20"/>
        </w:rPr>
        <w:t xml:space="preserve">w trybie przetargu nieograniczonego </w:t>
      </w:r>
      <w:r w:rsidRPr="001971AF">
        <w:rPr>
          <w:sz w:val="20"/>
          <w:szCs w:val="20"/>
        </w:rPr>
        <w:t xml:space="preserve">na: </w:t>
      </w:r>
      <w:r>
        <w:rPr>
          <w:b/>
          <w:sz w:val="20"/>
          <w:szCs w:val="20"/>
        </w:rPr>
        <w:t xml:space="preserve">Zakup endoskopu giętkiego wraz z wyposażeniem dla Oddziału Laryngologii Szpitala Św. Wincentego </w:t>
      </w:r>
      <w:proofErr w:type="spellStart"/>
      <w:r>
        <w:rPr>
          <w:b/>
          <w:sz w:val="20"/>
          <w:szCs w:val="20"/>
        </w:rPr>
        <w:t>a’Paulo</w:t>
      </w:r>
      <w:proofErr w:type="spellEnd"/>
      <w:r>
        <w:rPr>
          <w:b/>
          <w:sz w:val="20"/>
          <w:szCs w:val="20"/>
        </w:rPr>
        <w:t xml:space="preserve"> w Gdyni</w:t>
      </w:r>
      <w:r w:rsidRPr="00981C80">
        <w:rPr>
          <w:rFonts w:cs="Calibri"/>
          <w:b/>
          <w:sz w:val="20"/>
          <w:szCs w:val="20"/>
        </w:rPr>
        <w:t>, znak:</w:t>
      </w:r>
      <w:r w:rsidRPr="001971AF">
        <w:rPr>
          <w:rFonts w:cs="Calibri"/>
          <w:b/>
          <w:color w:val="17365D"/>
          <w:sz w:val="20"/>
          <w:szCs w:val="20"/>
        </w:rPr>
        <w:t xml:space="preserve"> </w:t>
      </w:r>
      <w:r w:rsidRPr="001971AF">
        <w:rPr>
          <w:b/>
          <w:sz w:val="20"/>
          <w:szCs w:val="20"/>
        </w:rPr>
        <w:t>D25M/25</w:t>
      </w:r>
      <w:r>
        <w:rPr>
          <w:b/>
          <w:sz w:val="20"/>
          <w:szCs w:val="20"/>
        </w:rPr>
        <w:t>2</w:t>
      </w:r>
      <w:r w:rsidRPr="001971AF">
        <w:rPr>
          <w:b/>
          <w:sz w:val="20"/>
          <w:szCs w:val="20"/>
        </w:rPr>
        <w:t>/N/</w:t>
      </w:r>
      <w:r>
        <w:rPr>
          <w:b/>
          <w:sz w:val="20"/>
          <w:szCs w:val="20"/>
        </w:rPr>
        <w:t>26</w:t>
      </w:r>
      <w:r w:rsidRPr="001971AF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51</w:t>
      </w:r>
      <w:r w:rsidRPr="001971AF">
        <w:rPr>
          <w:b/>
          <w:sz w:val="20"/>
          <w:szCs w:val="20"/>
        </w:rPr>
        <w:t>rj/2</w:t>
      </w:r>
      <w:r>
        <w:rPr>
          <w:b/>
          <w:sz w:val="20"/>
          <w:szCs w:val="20"/>
        </w:rPr>
        <w:t>1</w:t>
      </w:r>
      <w:r w:rsidRPr="001971AF">
        <w:rPr>
          <w:b/>
          <w:sz w:val="20"/>
          <w:szCs w:val="20"/>
        </w:rPr>
        <w:t xml:space="preserve"> </w:t>
      </w:r>
    </w:p>
    <w:p w:rsidR="00CF7D0D" w:rsidRDefault="00CF7D0D" w:rsidP="003442E4">
      <w:pPr>
        <w:contextualSpacing/>
        <w:jc w:val="both"/>
        <w:rPr>
          <w:rFonts w:cs="Calibri"/>
          <w:b/>
          <w:sz w:val="20"/>
          <w:szCs w:val="20"/>
          <w:lang w:bidi="en-US"/>
        </w:rPr>
      </w:pPr>
      <w:bookmarkStart w:id="0" w:name="_GoBack"/>
      <w:bookmarkEnd w:id="0"/>
    </w:p>
    <w:p w:rsidR="00B117B6" w:rsidRPr="005A6B15" w:rsidRDefault="00CF7D0D" w:rsidP="003442E4">
      <w:pPr>
        <w:contextualSpacing/>
        <w:jc w:val="both"/>
        <w:rPr>
          <w:rFonts w:cs="Calibri"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I</w:t>
      </w:r>
      <w:r>
        <w:rPr>
          <w:rFonts w:cs="Calibri"/>
          <w:b/>
          <w:sz w:val="20"/>
          <w:szCs w:val="20"/>
          <w:lang w:bidi="en-US"/>
        </w:rPr>
        <w:tab/>
      </w:r>
      <w:r w:rsidR="00B117B6" w:rsidRPr="005A6B15">
        <w:rPr>
          <w:rFonts w:cs="Calibri"/>
          <w:sz w:val="20"/>
          <w:szCs w:val="20"/>
          <w:lang w:bidi="en-US"/>
        </w:rPr>
        <w:t xml:space="preserve">Zamawiający – Szpitale Pomorskie Sp. z o. o. z siedzibą w Gdyni, </w:t>
      </w:r>
      <w:r w:rsidR="00B117B6" w:rsidRPr="005A6B15">
        <w:rPr>
          <w:rFonts w:cs="Calibri"/>
          <w:sz w:val="20"/>
          <w:szCs w:val="20"/>
        </w:rPr>
        <w:t xml:space="preserve">na podstawie treści art. </w:t>
      </w:r>
      <w:r w:rsidR="00A76F2F">
        <w:rPr>
          <w:rFonts w:cs="Calibri"/>
          <w:sz w:val="20"/>
          <w:szCs w:val="20"/>
        </w:rPr>
        <w:t>2</w:t>
      </w:r>
      <w:r w:rsidR="00B117B6" w:rsidRPr="005A6B15">
        <w:rPr>
          <w:rFonts w:cs="Calibri"/>
          <w:sz w:val="20"/>
          <w:szCs w:val="20"/>
        </w:rPr>
        <w:t>8</w:t>
      </w:r>
      <w:r w:rsidR="00A76F2F">
        <w:rPr>
          <w:rFonts w:cs="Calibri"/>
          <w:sz w:val="20"/>
          <w:szCs w:val="20"/>
        </w:rPr>
        <w:t>4</w:t>
      </w:r>
      <w:r w:rsidR="00B117B6" w:rsidRPr="005A6B15">
        <w:rPr>
          <w:rFonts w:cs="Calibri"/>
          <w:sz w:val="20"/>
          <w:szCs w:val="20"/>
        </w:rPr>
        <w:t xml:space="preserve"> ust. 2  </w:t>
      </w:r>
      <w:r w:rsidR="00796D0F" w:rsidRPr="00796D0F">
        <w:rPr>
          <w:rFonts w:cs="Calibri"/>
          <w:sz w:val="20"/>
          <w:szCs w:val="20"/>
        </w:rPr>
        <w:t>ustaw</w:t>
      </w:r>
      <w:r w:rsidR="00566306">
        <w:rPr>
          <w:rFonts w:cs="Calibri"/>
          <w:sz w:val="20"/>
          <w:szCs w:val="20"/>
        </w:rPr>
        <w:t>y</w:t>
      </w:r>
      <w:r w:rsidR="00796D0F" w:rsidRPr="00796D0F">
        <w:rPr>
          <w:rFonts w:cs="Calibri"/>
          <w:sz w:val="20"/>
          <w:szCs w:val="20"/>
        </w:rPr>
        <w:t xml:space="preserve"> z dnia 11 września 2019 r. Prawo zamówień publicznych (t. j. Dz. U. z 20</w:t>
      </w:r>
      <w:r w:rsidR="006901C9">
        <w:rPr>
          <w:rFonts w:cs="Calibri"/>
          <w:sz w:val="20"/>
          <w:szCs w:val="20"/>
        </w:rPr>
        <w:t>21</w:t>
      </w:r>
      <w:r w:rsidR="00796D0F" w:rsidRPr="00796D0F">
        <w:rPr>
          <w:rFonts w:cs="Calibri"/>
          <w:sz w:val="20"/>
          <w:szCs w:val="20"/>
        </w:rPr>
        <w:t xml:space="preserve"> r. poz. </w:t>
      </w:r>
      <w:r w:rsidR="006901C9">
        <w:rPr>
          <w:rFonts w:cs="Calibri"/>
          <w:sz w:val="20"/>
          <w:szCs w:val="20"/>
        </w:rPr>
        <w:t>1129</w:t>
      </w:r>
      <w:r w:rsidR="00796D0F" w:rsidRPr="00796D0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ze</w:t>
      </w:r>
      <w:r w:rsidR="00796D0F" w:rsidRPr="00796D0F">
        <w:rPr>
          <w:rFonts w:cs="Calibri"/>
          <w:sz w:val="20"/>
          <w:szCs w:val="20"/>
        </w:rPr>
        <w:t xml:space="preserve"> zm.)</w:t>
      </w:r>
      <w:r w:rsidR="00B117B6" w:rsidRPr="005A6B15">
        <w:rPr>
          <w:rFonts w:cs="Calibri"/>
          <w:sz w:val="20"/>
          <w:szCs w:val="20"/>
        </w:rPr>
        <w:t xml:space="preserve"> </w:t>
      </w:r>
      <w:r w:rsidR="00B117B6" w:rsidRPr="005A6B15">
        <w:rPr>
          <w:rFonts w:cs="Calibri"/>
          <w:sz w:val="20"/>
          <w:szCs w:val="20"/>
          <w:lang w:bidi="en-US"/>
        </w:rPr>
        <w:t xml:space="preserve">zwanej dalej ustawą </w:t>
      </w:r>
      <w:proofErr w:type="spellStart"/>
      <w:r w:rsidR="00B117B6" w:rsidRPr="005A6B15">
        <w:rPr>
          <w:rFonts w:cs="Calibri"/>
          <w:sz w:val="20"/>
          <w:szCs w:val="20"/>
          <w:lang w:bidi="en-US"/>
        </w:rPr>
        <w:t>Pzp</w:t>
      </w:r>
      <w:proofErr w:type="spellEnd"/>
      <w:r w:rsidR="00B117B6" w:rsidRPr="005A6B15">
        <w:rPr>
          <w:rFonts w:cs="Calibri"/>
          <w:sz w:val="20"/>
          <w:szCs w:val="20"/>
          <w:lang w:bidi="en-US"/>
        </w:rPr>
        <w:t>, poniżej przedstawia treść pytań wraz z odpowiedziami:</w:t>
      </w:r>
    </w:p>
    <w:p w:rsidR="00B117B6" w:rsidRPr="00DE0FB3" w:rsidRDefault="00B117B6" w:rsidP="00B117B6">
      <w:pPr>
        <w:ind w:firstLine="708"/>
        <w:contextualSpacing/>
        <w:jc w:val="both"/>
        <w:rPr>
          <w:rFonts w:cs="Calibri"/>
          <w:sz w:val="20"/>
          <w:szCs w:val="20"/>
          <w:lang w:bidi="en-US"/>
        </w:rPr>
      </w:pPr>
    </w:p>
    <w:p w:rsidR="00AF7A2E" w:rsidRPr="00DE0FB3" w:rsidRDefault="00B117B6" w:rsidP="00AF7A2E">
      <w:pPr>
        <w:contextualSpacing/>
        <w:jc w:val="both"/>
        <w:rPr>
          <w:rFonts w:cs="Calibri"/>
          <w:b/>
          <w:sz w:val="20"/>
          <w:szCs w:val="20"/>
          <w:lang w:bidi="en-US"/>
        </w:rPr>
      </w:pPr>
      <w:r w:rsidRPr="00DE0FB3">
        <w:rPr>
          <w:rFonts w:cs="Calibri"/>
          <w:b/>
          <w:sz w:val="20"/>
          <w:szCs w:val="20"/>
          <w:lang w:bidi="en-US"/>
        </w:rPr>
        <w:t xml:space="preserve">Pytanie nr </w:t>
      </w:r>
      <w:r w:rsidR="00F53986">
        <w:rPr>
          <w:rFonts w:cs="Calibri"/>
          <w:b/>
          <w:sz w:val="20"/>
          <w:szCs w:val="20"/>
          <w:lang w:bidi="en-US"/>
        </w:rPr>
        <w:t>1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Prosimy o dopuszczenie alternatywnego endoskopu giętkiego wraz z wymaganym wyposażeniem o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parametrach, które w nieznacznym stopniu odbiegają o wymagań Zamawiającego, co nie wpłynie na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komfort pracy Użytkownika.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Rozszerzenie parametrów granicznych przyczyni się do zwiększenia konkurencyjności i uzyskania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atrakcyjnej ceny zakup. Poniżej parametry oferowanego alternatywnego endoskopu wraz z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wyposażeniem: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0"/>
          <w:szCs w:val="20"/>
          <w:lang w:eastAsia="pl-PL"/>
        </w:rPr>
      </w:pPr>
      <w:r w:rsidRPr="00F53986">
        <w:rPr>
          <w:rFonts w:asciiTheme="minorHAnsi" w:hAnsiTheme="minorHAnsi" w:cs="Calibri-Bold"/>
          <w:b/>
          <w:bCs/>
          <w:sz w:val="20"/>
          <w:szCs w:val="20"/>
          <w:lang w:eastAsia="pl-PL"/>
        </w:rPr>
        <w:t>I Procesor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2 Procesor wideo klasy min. HD umożlwiający podłączenie endoskopów giętkich HD oraz SD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3 Procesor wyposażony w panel przedni sterujący funkcjami urządzenia oraz endoskopu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4 Wymiary procesora: max. (</w:t>
      </w:r>
      <w:proofErr w:type="spellStart"/>
      <w:r w:rsidRPr="00F53986">
        <w:rPr>
          <w:rFonts w:asciiTheme="minorHAnsi" w:hAnsiTheme="minorHAnsi" w:cs="Calibri"/>
          <w:sz w:val="20"/>
          <w:szCs w:val="20"/>
          <w:lang w:eastAsia="pl-PL"/>
        </w:rPr>
        <w:t>szer</w:t>
      </w:r>
      <w:proofErr w:type="spellEnd"/>
      <w:r w:rsidRPr="00F53986">
        <w:rPr>
          <w:rFonts w:asciiTheme="minorHAnsi" w:hAnsiTheme="minorHAnsi" w:cs="Calibri"/>
          <w:sz w:val="20"/>
          <w:szCs w:val="20"/>
          <w:lang w:eastAsia="pl-PL"/>
        </w:rPr>
        <w:t xml:space="preserve"> x wys. x dł.): 350 mm x 200 mm x 490 mm; Waga procesora : max 14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kg; Rozdzielczość wideo min. 1920x1080, Format obrazu 16x9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 xml:space="preserve">5 Procesor wideo posiadający wbudowane źródło światła typu </w:t>
      </w:r>
      <w:proofErr w:type="spellStart"/>
      <w:r w:rsidRPr="00F53986">
        <w:rPr>
          <w:rFonts w:asciiTheme="minorHAnsi" w:hAnsiTheme="minorHAnsi" w:cs="Calibri"/>
          <w:sz w:val="20"/>
          <w:szCs w:val="20"/>
          <w:lang w:eastAsia="pl-PL"/>
        </w:rPr>
        <w:t>Xenon</w:t>
      </w:r>
      <w:proofErr w:type="spellEnd"/>
      <w:r w:rsidRPr="00F53986">
        <w:rPr>
          <w:rFonts w:asciiTheme="minorHAnsi" w:hAnsiTheme="minorHAnsi" w:cs="Calibri"/>
          <w:sz w:val="20"/>
          <w:szCs w:val="20"/>
          <w:lang w:eastAsia="pl-PL"/>
        </w:rPr>
        <w:t xml:space="preserve"> (minimum 150 W); barwa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światła 6 000 K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>
        <w:rPr>
          <w:rFonts w:asciiTheme="minorHAnsi" w:hAnsiTheme="minorHAnsi" w:cs="Calibri"/>
          <w:sz w:val="20"/>
          <w:szCs w:val="20"/>
          <w:lang w:eastAsia="pl-PL"/>
        </w:rPr>
        <w:t xml:space="preserve">6 </w:t>
      </w:r>
      <w:r w:rsidRPr="00F53986">
        <w:rPr>
          <w:rFonts w:asciiTheme="minorHAnsi" w:hAnsiTheme="minorHAnsi" w:cs="Calibri"/>
          <w:sz w:val="20"/>
          <w:szCs w:val="20"/>
          <w:lang w:eastAsia="pl-PL"/>
        </w:rPr>
        <w:t>Wyjścia wideo min.: RGB (1 sztuka), S-VIDEO (1 sztuka), DVI-D (2 sztuki), BNC (1 sztuka); Możliwość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zapisu na pamięci przenośnej USB; urządzenie wyposażone w minimum dwa gniazda USB do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podłączenia zewnętrznych pamięci; zapisywanie wideo i obrazów w jakości HD;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>
        <w:rPr>
          <w:rFonts w:asciiTheme="minorHAnsi" w:hAnsiTheme="minorHAnsi" w:cs="Calibri"/>
          <w:sz w:val="20"/>
          <w:szCs w:val="20"/>
          <w:lang w:eastAsia="pl-PL"/>
        </w:rPr>
        <w:t xml:space="preserve">7 </w:t>
      </w:r>
      <w:r w:rsidRPr="00F53986">
        <w:rPr>
          <w:rFonts w:asciiTheme="minorHAnsi" w:hAnsiTheme="minorHAnsi" w:cs="Calibri"/>
          <w:sz w:val="20"/>
          <w:szCs w:val="20"/>
          <w:lang w:eastAsia="pl-PL"/>
        </w:rPr>
        <w:t>Możliwość regulacji ręcznej oświetlania w min. 11 stopniach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Możliwość regulacji barwy czerwonej w min. 11 stopniach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Możliwość regulacji barwy niebeskiej w min. 11 stopniach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8 Balans bieli aktywowany z przycisku na panelu przednim procesora wideo oraz definiowany na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 xml:space="preserve">jednym z przycisków </w:t>
      </w:r>
      <w:proofErr w:type="spellStart"/>
      <w:r w:rsidRPr="00F53986">
        <w:rPr>
          <w:rFonts w:asciiTheme="minorHAnsi" w:hAnsiTheme="minorHAnsi" w:cs="Calibri"/>
          <w:sz w:val="20"/>
          <w:szCs w:val="20"/>
          <w:lang w:eastAsia="pl-PL"/>
        </w:rPr>
        <w:t>wideoendoskopu</w:t>
      </w:r>
      <w:proofErr w:type="spellEnd"/>
      <w:r w:rsidRPr="00F53986">
        <w:rPr>
          <w:rFonts w:asciiTheme="minorHAnsi" w:hAnsiTheme="minorHAnsi" w:cs="Calibri"/>
          <w:sz w:val="20"/>
          <w:szCs w:val="20"/>
          <w:lang w:eastAsia="pl-PL"/>
        </w:rPr>
        <w:t>; Automatyczna kontrola ekspozycji, elektroniczne wzmocnienie jasności obrazu (zarówno manualne jak i automatyczne)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9 Urządzenie posiadające funkcję przetwarzania obrazu pozwalającą na wczesne wykrywanie zmian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nowotworowych, dzięki cyfrowemu wzmacnianiu tonów oraz uwydatnianiu powierzchni tkanek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>
        <w:rPr>
          <w:rFonts w:asciiTheme="minorHAnsi" w:hAnsiTheme="minorHAnsi" w:cs="Calibri"/>
          <w:sz w:val="20"/>
          <w:szCs w:val="20"/>
          <w:lang w:eastAsia="pl-PL"/>
        </w:rPr>
        <w:t xml:space="preserve">10 </w:t>
      </w:r>
      <w:r w:rsidRPr="00F53986">
        <w:rPr>
          <w:rFonts w:asciiTheme="minorHAnsi" w:hAnsiTheme="minorHAnsi" w:cs="Calibri"/>
          <w:sz w:val="20"/>
          <w:szCs w:val="20"/>
          <w:lang w:eastAsia="pl-PL"/>
        </w:rPr>
        <w:t>Urządzenie wyposażone w funkcję „podwójnego obrazu” - umożliwia on równoczesne porównanie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ułożonych obok siebie obrazów endoskopowych wykonanych w trakcie badania (każdy obraz w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innym trybie np. jeden w zwykłym trybie HD, a drugi z uwydatnieniem powierzchni tkanek)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>
        <w:rPr>
          <w:rFonts w:asciiTheme="minorHAnsi" w:hAnsiTheme="minorHAnsi" w:cs="Calibri"/>
          <w:sz w:val="20"/>
          <w:szCs w:val="20"/>
          <w:lang w:eastAsia="pl-PL"/>
        </w:rPr>
        <w:t xml:space="preserve">11 </w:t>
      </w:r>
      <w:r w:rsidRPr="00F53986">
        <w:rPr>
          <w:rFonts w:asciiTheme="minorHAnsi" w:hAnsiTheme="minorHAnsi" w:cs="Calibri"/>
          <w:sz w:val="20"/>
          <w:szCs w:val="20"/>
          <w:lang w:eastAsia="pl-PL"/>
        </w:rPr>
        <w:t>Zmiana ustawień urządzenia dostępna z panelu przedniego urządzenia, z klawiatury, oraz z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 xml:space="preserve">przycisków </w:t>
      </w:r>
      <w:proofErr w:type="spellStart"/>
      <w:r w:rsidRPr="00F53986">
        <w:rPr>
          <w:rFonts w:asciiTheme="minorHAnsi" w:hAnsiTheme="minorHAnsi" w:cs="Calibri"/>
          <w:sz w:val="20"/>
          <w:szCs w:val="20"/>
          <w:lang w:eastAsia="pl-PL"/>
        </w:rPr>
        <w:t>wideoendoskopu</w:t>
      </w:r>
      <w:proofErr w:type="spellEnd"/>
      <w:r w:rsidRPr="00F53986">
        <w:rPr>
          <w:rFonts w:asciiTheme="minorHAnsi" w:hAnsiTheme="minorHAnsi" w:cs="Calibri"/>
          <w:sz w:val="20"/>
          <w:szCs w:val="20"/>
          <w:lang w:eastAsia="pl-PL"/>
        </w:rPr>
        <w:t>. Możliwość zapamiętania min. min. 4 przycisków „skrótów” na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 xml:space="preserve">endoskopie giętkim; Urządzenie posiada funkcję </w:t>
      </w:r>
      <w:proofErr w:type="spellStart"/>
      <w:r w:rsidRPr="00F53986">
        <w:rPr>
          <w:rFonts w:asciiTheme="minorHAnsi" w:hAnsiTheme="minorHAnsi" w:cs="Calibri"/>
          <w:sz w:val="20"/>
          <w:szCs w:val="20"/>
          <w:lang w:eastAsia="pl-PL"/>
        </w:rPr>
        <w:t>zoom’u</w:t>
      </w:r>
      <w:proofErr w:type="spellEnd"/>
      <w:r w:rsidRPr="00F53986">
        <w:rPr>
          <w:rFonts w:asciiTheme="minorHAnsi" w:hAnsiTheme="minorHAnsi" w:cs="Calibri"/>
          <w:sz w:val="20"/>
          <w:szCs w:val="20"/>
          <w:lang w:eastAsia="pl-PL"/>
        </w:rPr>
        <w:t xml:space="preserve"> cyfrowego 2x; W zestawie klawiatura i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pamięć przenośna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0"/>
          <w:szCs w:val="20"/>
          <w:lang w:eastAsia="pl-PL"/>
        </w:rPr>
      </w:pPr>
      <w:r w:rsidRPr="00F53986">
        <w:rPr>
          <w:rFonts w:asciiTheme="minorHAnsi" w:hAnsiTheme="minorHAnsi" w:cs="Calibri-Bold"/>
          <w:b/>
          <w:bCs/>
          <w:sz w:val="20"/>
          <w:szCs w:val="20"/>
          <w:lang w:eastAsia="pl-PL"/>
        </w:rPr>
        <w:t xml:space="preserve">II </w:t>
      </w:r>
      <w:proofErr w:type="spellStart"/>
      <w:r w:rsidRPr="00F53986">
        <w:rPr>
          <w:rFonts w:asciiTheme="minorHAnsi" w:hAnsiTheme="minorHAnsi" w:cs="Calibri-Bold"/>
          <w:b/>
          <w:bCs/>
          <w:sz w:val="20"/>
          <w:szCs w:val="20"/>
          <w:lang w:eastAsia="pl-PL"/>
        </w:rPr>
        <w:t>Wideoendoskop</w:t>
      </w:r>
      <w:proofErr w:type="spellEnd"/>
      <w:r w:rsidRPr="00F53986">
        <w:rPr>
          <w:rFonts w:asciiTheme="minorHAnsi" w:hAnsiTheme="minorHAnsi" w:cs="Calibri-Bold"/>
          <w:b/>
          <w:bCs/>
          <w:sz w:val="20"/>
          <w:szCs w:val="20"/>
          <w:lang w:eastAsia="pl-PL"/>
        </w:rPr>
        <w:t xml:space="preserve"> z kanałem roboczym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lastRenderedPageBreak/>
        <w:t xml:space="preserve">17 </w:t>
      </w:r>
      <w:proofErr w:type="spellStart"/>
      <w:r w:rsidRPr="00F53986">
        <w:rPr>
          <w:rFonts w:asciiTheme="minorHAnsi" w:hAnsiTheme="minorHAnsi" w:cs="Calibri"/>
          <w:sz w:val="20"/>
          <w:szCs w:val="20"/>
          <w:lang w:eastAsia="pl-PL"/>
        </w:rPr>
        <w:t>Wideoendoskop</w:t>
      </w:r>
      <w:proofErr w:type="spellEnd"/>
      <w:r w:rsidRPr="00F53986">
        <w:rPr>
          <w:rFonts w:asciiTheme="minorHAnsi" w:hAnsiTheme="minorHAnsi" w:cs="Calibri"/>
          <w:sz w:val="20"/>
          <w:szCs w:val="20"/>
          <w:lang w:eastAsia="pl-PL"/>
        </w:rPr>
        <w:t xml:space="preserve"> CCD HDTV - 1 szt.; Pole widzenia min. 80st;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18 Głębia ostrości w zakresie min. 3-50mm;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19 Średnica końca dystalnego 4,8 mm;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20 Dł. Robocza 300 mm; Zagięcie końcówki góra/dół min. 130st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21 Endoskop wyposażony w kanał roboczy 2 mm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22 4 przyciski funkcyjne, programowalne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23 Endoskop kompatybilny z funkcją przetwarzania obrazu przy użyciu cyfrowego wzmacniania tonów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oraz uwydatnianiu powierzchni tkanek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0"/>
          <w:szCs w:val="20"/>
          <w:lang w:eastAsia="pl-PL"/>
        </w:rPr>
      </w:pPr>
      <w:r w:rsidRPr="00F53986">
        <w:rPr>
          <w:rFonts w:asciiTheme="minorHAnsi" w:hAnsiTheme="minorHAnsi" w:cs="Calibri-Bold"/>
          <w:b/>
          <w:bCs/>
          <w:sz w:val="20"/>
          <w:szCs w:val="20"/>
          <w:lang w:eastAsia="pl-PL"/>
        </w:rPr>
        <w:t>III Wózek endoskopowy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32 Wózek endoskopowy dedykowany do oferowanego zestawu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33 Uchwyt na monitor typu "VESA"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34 Wykonany ze stali nierdzewnej zasobnik dezynfekcyjny do endoskopów elastycznych, z uchwytem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na min. 2 szt. Kuwety z demontowanym dnem w celu mycia i dekontaminacji.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0"/>
          <w:szCs w:val="20"/>
          <w:lang w:eastAsia="pl-PL"/>
        </w:rPr>
      </w:pPr>
      <w:r w:rsidRPr="00F53986">
        <w:rPr>
          <w:rFonts w:asciiTheme="minorHAnsi" w:hAnsiTheme="minorHAnsi" w:cs="Calibri-Bold"/>
          <w:b/>
          <w:bCs/>
          <w:sz w:val="20"/>
          <w:szCs w:val="20"/>
          <w:lang w:eastAsia="pl-PL"/>
        </w:rPr>
        <w:t>IV Monitor medyczny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39 Monitor medyczny o przekątnej ekranu 27’’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40 Technologia podświetlania LED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41 Rozdzielczość min. 1920x1080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42 Kąt widzenia 178°/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43 Czas reakcji matrycy 5 ms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44 Wejścia: VGA, HDMI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0"/>
          <w:szCs w:val="20"/>
          <w:lang w:eastAsia="pl-PL"/>
        </w:rPr>
      </w:pPr>
      <w:r w:rsidRPr="00F53986">
        <w:rPr>
          <w:rFonts w:asciiTheme="minorHAnsi" w:hAnsiTheme="minorHAnsi" w:cs="Calibri-Bold"/>
          <w:b/>
          <w:bCs/>
          <w:sz w:val="20"/>
          <w:szCs w:val="20"/>
          <w:lang w:eastAsia="pl-PL"/>
        </w:rPr>
        <w:t xml:space="preserve">V Jednorazowe narzędzia i akcesoria do </w:t>
      </w:r>
      <w:proofErr w:type="spellStart"/>
      <w:r w:rsidRPr="00F53986">
        <w:rPr>
          <w:rFonts w:asciiTheme="minorHAnsi" w:hAnsiTheme="minorHAnsi" w:cs="Calibri-Bold"/>
          <w:b/>
          <w:bCs/>
          <w:sz w:val="20"/>
          <w:szCs w:val="20"/>
          <w:lang w:eastAsia="pl-PL"/>
        </w:rPr>
        <w:t>wideoendoskopu</w:t>
      </w:r>
      <w:proofErr w:type="spellEnd"/>
      <w:r w:rsidRPr="00F53986">
        <w:rPr>
          <w:rFonts w:asciiTheme="minorHAnsi" w:hAnsiTheme="minorHAnsi" w:cs="Calibri-Bold"/>
          <w:b/>
          <w:bCs/>
          <w:sz w:val="20"/>
          <w:szCs w:val="20"/>
          <w:lang w:eastAsia="pl-PL"/>
        </w:rPr>
        <w:t xml:space="preserve"> z kanałem roboczym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>
        <w:rPr>
          <w:rFonts w:asciiTheme="minorHAnsi" w:hAnsiTheme="minorHAnsi" w:cs="Calibri"/>
          <w:sz w:val="20"/>
          <w:szCs w:val="20"/>
          <w:lang w:eastAsia="pl-PL"/>
        </w:rPr>
        <w:t xml:space="preserve">45 </w:t>
      </w:r>
      <w:r w:rsidRPr="00F53986">
        <w:rPr>
          <w:rFonts w:asciiTheme="minorHAnsi" w:hAnsiTheme="minorHAnsi" w:cs="Calibri"/>
          <w:sz w:val="20"/>
          <w:szCs w:val="20"/>
          <w:lang w:eastAsia="pl-PL"/>
        </w:rPr>
        <w:t>Jednorazowe szczypce chwytające do usuwania ciał obcych, ramiona typu „ krokodylki” (ząb szczura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z zębami aligatora), rozpiętość ramion min. 3.8 mm, długość robocza 1800 mm, minimalna średnica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kanału roboczego 2.0 mm, 1 szt. w opakowaniu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46</w:t>
      </w:r>
      <w:r>
        <w:rPr>
          <w:rFonts w:asciiTheme="minorHAnsi" w:hAnsiTheme="minorHAnsi" w:cs="Calibri"/>
          <w:sz w:val="20"/>
          <w:szCs w:val="20"/>
          <w:lang w:eastAsia="pl-PL"/>
        </w:rPr>
        <w:t xml:space="preserve"> </w:t>
      </w:r>
      <w:r w:rsidRPr="00F53986">
        <w:rPr>
          <w:rFonts w:asciiTheme="minorHAnsi" w:hAnsiTheme="minorHAnsi" w:cs="Calibri"/>
          <w:sz w:val="20"/>
          <w:szCs w:val="20"/>
          <w:lang w:eastAsia="pl-PL"/>
        </w:rPr>
        <w:t>Jednorazowe szczypce chwytające do usuwania ciał obcych, ramiona typu krokodylki ząbkowane na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całej długości pozwalające na stabilny uchwyt ciała obcego, długość robocza 1200 mm, minimalna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średnica kanału roboczego 2.0 mm, szerokość otwarcia min. 4,5 mm, 1 szt. w opakowaniu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47 Szczypce biopsyjne jednorazowego użytku, łyżeczki owalne z okienkiem, łyżeczki standardowe,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osłonka bezpieczna dla kanałów biopsyjnych endoskopów, długość narzędzia 1200 mm, minimalna średnica kanału roboczego 2.0 mm, w opakowaniu zbiorczym 10 szt., sterylne, zapakowane w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pojedyncze opakowania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>
        <w:rPr>
          <w:rFonts w:asciiTheme="minorHAnsi" w:hAnsiTheme="minorHAnsi" w:cs="Calibri"/>
          <w:sz w:val="20"/>
          <w:szCs w:val="20"/>
          <w:lang w:eastAsia="pl-PL"/>
        </w:rPr>
        <w:t xml:space="preserve">48 </w:t>
      </w:r>
      <w:r w:rsidRPr="00F53986">
        <w:rPr>
          <w:rFonts w:asciiTheme="minorHAnsi" w:hAnsiTheme="minorHAnsi" w:cs="Calibri"/>
          <w:sz w:val="20"/>
          <w:szCs w:val="20"/>
          <w:lang w:eastAsia="pl-PL"/>
        </w:rPr>
        <w:t>Szczypce biopsyjne jednorazowego użytku, łyżeczki owalne z okienkiem i igłą mocującą, łyżeczki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standardowe, osłonka bezpieczna dla kanałów biopsyjnych endoskopów, długość narzędzia 1200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mm, minimalna średnica kanału roboczego 2.0 mm, w opakowaniu zbiorczym 10 szt., sterylne,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zapakowane w pojedyncze opakowania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49 Zaworki ssące do bronchoskopu/</w:t>
      </w:r>
      <w:proofErr w:type="spellStart"/>
      <w:r w:rsidRPr="00F53986">
        <w:rPr>
          <w:rFonts w:asciiTheme="minorHAnsi" w:hAnsiTheme="minorHAnsi" w:cs="Calibri"/>
          <w:sz w:val="20"/>
          <w:szCs w:val="20"/>
          <w:lang w:eastAsia="pl-PL"/>
        </w:rPr>
        <w:t>wideoendoskopu</w:t>
      </w:r>
      <w:proofErr w:type="spellEnd"/>
      <w:r w:rsidRPr="00F53986">
        <w:rPr>
          <w:rFonts w:asciiTheme="minorHAnsi" w:hAnsiTheme="minorHAnsi" w:cs="Calibri"/>
          <w:sz w:val="20"/>
          <w:szCs w:val="20"/>
          <w:lang w:eastAsia="pl-PL"/>
        </w:rPr>
        <w:t xml:space="preserve"> giętkiego z kanałem roboczym. Jednorazowe,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sterylne, 20 szt. w opakowaniu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 xml:space="preserve">50 Zaworki biopsyjne do bronchoskopu / </w:t>
      </w:r>
      <w:proofErr w:type="spellStart"/>
      <w:r w:rsidRPr="00F53986">
        <w:rPr>
          <w:rFonts w:asciiTheme="minorHAnsi" w:hAnsiTheme="minorHAnsi" w:cs="Calibri"/>
          <w:sz w:val="20"/>
          <w:szCs w:val="20"/>
          <w:lang w:eastAsia="pl-PL"/>
        </w:rPr>
        <w:t>wideoendoskopu</w:t>
      </w:r>
      <w:proofErr w:type="spellEnd"/>
      <w:r w:rsidRPr="00F53986">
        <w:rPr>
          <w:rFonts w:asciiTheme="minorHAnsi" w:hAnsiTheme="minorHAnsi" w:cs="Calibri"/>
          <w:sz w:val="20"/>
          <w:szCs w:val="20"/>
          <w:lang w:eastAsia="pl-PL"/>
        </w:rPr>
        <w:t xml:space="preserve"> giętkiego z kanałem roboczym.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Jednorazowe, sterylne, 20 szt. w opakowaniu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0"/>
          <w:szCs w:val="20"/>
          <w:lang w:eastAsia="pl-PL"/>
        </w:rPr>
      </w:pPr>
      <w:r w:rsidRPr="00F53986">
        <w:rPr>
          <w:rFonts w:asciiTheme="minorHAnsi" w:hAnsiTheme="minorHAnsi" w:cs="Calibri-Bold"/>
          <w:b/>
          <w:bCs/>
          <w:sz w:val="20"/>
          <w:szCs w:val="20"/>
          <w:lang w:eastAsia="pl-PL"/>
        </w:rPr>
        <w:t>VI Urządzenie umożliwiające rejestrację cyfrowych sygnałów video wysokiej rozdzielczości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0"/>
          <w:szCs w:val="20"/>
          <w:lang w:eastAsia="pl-PL"/>
        </w:rPr>
      </w:pPr>
      <w:r w:rsidRPr="00F53986">
        <w:rPr>
          <w:rFonts w:asciiTheme="minorHAnsi" w:hAnsiTheme="minorHAnsi" w:cs="Calibri-Bold"/>
          <w:b/>
          <w:bCs/>
          <w:sz w:val="20"/>
          <w:szCs w:val="20"/>
          <w:lang w:eastAsia="pl-PL"/>
        </w:rPr>
        <w:t>(Full HD)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51 Zapis sekwencji video oraz obrazów na dysku wewnętrznym, zewnętrznym nośniku USB lub ich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przesyłanie do dedykowanego systemu zarządzania informacją medyczną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52 Urządzenie obsługiwane poprzez ekran dotykowy będący częścią urządzenia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53 Wyzwalanie nagrywania za pomocą przycisku w menu lub za pomocą pilota na podczerwień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54 Możliwość definiowania kont użytkowników, różnych poziomów dostępu i haseł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55 Możliwość dodawania adnotacji (notatek) do obrazów i tworzenia raportów w formacie PDF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56 Wewnętrzny dysk twardy 1TB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lastRenderedPageBreak/>
        <w:t>57 Format zapisu obrazów: JPG oraz PNG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58 Format zapisu video: MP4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59 Wejście video: 2 x HDMI oraz DVI (z adapterem)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60 Wyjścia video: 1 x HDMI oraz DVI (z adapterem)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61 Złącze dla słuchawek oraz mikrofonu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 xml:space="preserve">62 Wyjścia audio: 3,5mm mini </w:t>
      </w:r>
      <w:proofErr w:type="spellStart"/>
      <w:r w:rsidRPr="00F53986">
        <w:rPr>
          <w:rFonts w:asciiTheme="minorHAnsi" w:hAnsiTheme="minorHAnsi" w:cs="Calibri"/>
          <w:sz w:val="20"/>
          <w:szCs w:val="20"/>
          <w:lang w:eastAsia="pl-PL"/>
        </w:rPr>
        <w:t>jack</w:t>
      </w:r>
      <w:proofErr w:type="spellEnd"/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63 Port komunikacyjny USB-C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>
        <w:rPr>
          <w:rFonts w:asciiTheme="minorHAnsi" w:hAnsiTheme="minorHAnsi" w:cs="Calibri"/>
          <w:sz w:val="20"/>
          <w:szCs w:val="20"/>
          <w:lang w:eastAsia="pl-PL"/>
        </w:rPr>
        <w:t xml:space="preserve">64 </w:t>
      </w:r>
      <w:r w:rsidRPr="00F53986">
        <w:rPr>
          <w:rFonts w:asciiTheme="minorHAnsi" w:hAnsiTheme="minorHAnsi" w:cs="Calibri"/>
          <w:sz w:val="20"/>
          <w:szCs w:val="20"/>
          <w:lang w:eastAsia="pl-PL"/>
        </w:rPr>
        <w:t>Porty USB: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- na przednim panelu 1 x USB 3.0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- na tylnym panelu 2 x USB 3.0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65 Interfejs Ethernet RJ45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66 Zasilanie 100-240V 50/60Hz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67 Urządzenie zgodne z normą IEC 60601-1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68 Waga 1,28kg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0"/>
          <w:szCs w:val="20"/>
          <w:lang w:eastAsia="pl-PL"/>
        </w:rPr>
      </w:pPr>
      <w:r w:rsidRPr="00F53986">
        <w:rPr>
          <w:rFonts w:asciiTheme="minorHAnsi" w:hAnsiTheme="minorHAnsi" w:cs="Calibri-Bold"/>
          <w:b/>
          <w:bCs/>
          <w:sz w:val="20"/>
          <w:szCs w:val="20"/>
          <w:lang w:eastAsia="pl-PL"/>
        </w:rPr>
        <w:t>VII Akcesoria do mycia i dezynfekcji</w:t>
      </w:r>
    </w:p>
    <w:p w:rsidR="00F53986" w:rsidRPr="00F53986" w:rsidRDefault="00F53986" w:rsidP="00F539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73 Manualny tester szczelności do endoskopów giętkich</w:t>
      </w:r>
    </w:p>
    <w:p w:rsidR="00F53986" w:rsidRPr="00F53986" w:rsidRDefault="00F53986" w:rsidP="00F53986">
      <w:pPr>
        <w:contextualSpacing/>
        <w:jc w:val="both"/>
        <w:rPr>
          <w:rFonts w:asciiTheme="minorHAnsi" w:hAnsiTheme="minorHAnsi" w:cs="Calibri"/>
          <w:sz w:val="20"/>
          <w:szCs w:val="20"/>
          <w:lang w:eastAsia="pl-PL"/>
        </w:rPr>
      </w:pPr>
      <w:r w:rsidRPr="00F53986">
        <w:rPr>
          <w:rFonts w:asciiTheme="minorHAnsi" w:hAnsiTheme="minorHAnsi" w:cs="Calibri"/>
          <w:sz w:val="20"/>
          <w:szCs w:val="20"/>
          <w:lang w:eastAsia="pl-PL"/>
        </w:rPr>
        <w:t>74 Kontener do sterylizacji niskotemperaturowej fiberoskopów z pokrywą</w:t>
      </w:r>
      <w:r>
        <w:rPr>
          <w:rFonts w:asciiTheme="minorHAnsi" w:hAnsiTheme="minorHAnsi" w:cs="Calibri"/>
          <w:sz w:val="20"/>
          <w:szCs w:val="20"/>
          <w:lang w:eastAsia="pl-PL"/>
        </w:rPr>
        <w:t>.</w:t>
      </w:r>
    </w:p>
    <w:p w:rsidR="00DE0FB3" w:rsidRPr="00DE0FB3" w:rsidRDefault="00DE0FB3" w:rsidP="00F53986">
      <w:pPr>
        <w:contextualSpacing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DE0FB3">
        <w:rPr>
          <w:rFonts w:cs="Calibri"/>
          <w:b/>
          <w:color w:val="FF0000"/>
          <w:sz w:val="20"/>
          <w:szCs w:val="20"/>
          <w:u w:val="single"/>
          <w:lang w:bidi="en-US"/>
        </w:rPr>
        <w:t>Odpowiedź:</w:t>
      </w:r>
    </w:p>
    <w:p w:rsidR="00F53986" w:rsidRDefault="00F53986" w:rsidP="00AF7A2E">
      <w:pPr>
        <w:contextualSpacing/>
        <w:jc w:val="both"/>
        <w:rPr>
          <w:rFonts w:cs="Calibri"/>
          <w:color w:val="FF0000"/>
          <w:sz w:val="20"/>
          <w:szCs w:val="20"/>
          <w:lang w:bidi="en-US"/>
        </w:rPr>
      </w:pPr>
      <w:r>
        <w:rPr>
          <w:rFonts w:cs="Calibri"/>
          <w:color w:val="FF0000"/>
          <w:sz w:val="20"/>
          <w:szCs w:val="20"/>
          <w:lang w:bidi="en-US"/>
        </w:rPr>
        <w:t>Przy tak skonstruowanym wniosku o wyjaśnienie treści SWZ, Zamawiający nie jest w stanie się do niego jednoznacznie odnieść, albowiem Pytający przedstawił pełną specyfikację techniczną swojego produktu bez odniesienia się do załączonego do SWZ zestawienia p</w:t>
      </w:r>
      <w:r w:rsidR="000E0E4A">
        <w:rPr>
          <w:rFonts w:cs="Calibri"/>
          <w:color w:val="FF0000"/>
          <w:sz w:val="20"/>
          <w:szCs w:val="20"/>
          <w:lang w:bidi="en-US"/>
        </w:rPr>
        <w:t>arametrów</w:t>
      </w:r>
      <w:r w:rsidR="007A0C6C">
        <w:rPr>
          <w:rFonts w:cs="Calibri"/>
          <w:color w:val="FF0000"/>
          <w:sz w:val="20"/>
          <w:szCs w:val="20"/>
          <w:lang w:bidi="en-US"/>
        </w:rPr>
        <w:t xml:space="preserve"> </w:t>
      </w:r>
      <w:r>
        <w:rPr>
          <w:rFonts w:cs="Calibri"/>
          <w:color w:val="FF0000"/>
          <w:sz w:val="20"/>
          <w:szCs w:val="20"/>
          <w:lang w:bidi="en-US"/>
        </w:rPr>
        <w:t xml:space="preserve">poprzez wskazanie konkretnych parametrów, które miałyby być zmodyfikowane w stosunku do pierwotnego opisu SWZ. </w:t>
      </w:r>
      <w:r w:rsidR="000E0E4A" w:rsidRPr="00362827">
        <w:rPr>
          <w:color w:val="FF0000"/>
          <w:sz w:val="20"/>
          <w:szCs w:val="20"/>
        </w:rPr>
        <w:t>W tej sytuacji Zamawiający nie wyraża zgody.</w:t>
      </w:r>
    </w:p>
    <w:p w:rsidR="00CA5DA5" w:rsidRDefault="00CA5DA5" w:rsidP="008F27F7">
      <w:pPr>
        <w:contextualSpacing/>
        <w:jc w:val="both"/>
        <w:rPr>
          <w:rFonts w:cs="Calibri"/>
          <w:b/>
          <w:sz w:val="20"/>
          <w:szCs w:val="20"/>
          <w:lang w:bidi="en-US"/>
        </w:rPr>
      </w:pPr>
    </w:p>
    <w:p w:rsidR="008F27F7" w:rsidRDefault="00F53986" w:rsidP="008F27F7">
      <w:pPr>
        <w:contextualSpacing/>
        <w:jc w:val="both"/>
        <w:rPr>
          <w:rFonts w:cs="Calibri"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II</w:t>
      </w:r>
      <w:r>
        <w:rPr>
          <w:rFonts w:cs="Calibri"/>
          <w:b/>
          <w:sz w:val="20"/>
          <w:szCs w:val="20"/>
          <w:lang w:bidi="en-US"/>
        </w:rPr>
        <w:tab/>
      </w:r>
      <w:r w:rsidR="008F27F7" w:rsidRPr="005A6B15">
        <w:rPr>
          <w:rFonts w:cs="Calibri"/>
          <w:sz w:val="20"/>
          <w:szCs w:val="20"/>
          <w:lang w:bidi="en-US"/>
        </w:rPr>
        <w:t xml:space="preserve">Zamawiający – Szpitale Pomorskie Sp. z o. o. z siedzibą w Gdyni, </w:t>
      </w:r>
      <w:r w:rsidR="008F27F7">
        <w:rPr>
          <w:rFonts w:cs="Calibri"/>
          <w:sz w:val="20"/>
          <w:szCs w:val="20"/>
        </w:rPr>
        <w:t>na podstawie treści art. 286 ust. 1  ustawy z dnia 11 września 2019</w:t>
      </w:r>
      <w:r w:rsidR="008F27F7" w:rsidRPr="005A6B15">
        <w:rPr>
          <w:rFonts w:cs="Calibri"/>
          <w:sz w:val="20"/>
          <w:szCs w:val="20"/>
        </w:rPr>
        <w:t xml:space="preserve"> roku – Prawo zamówi</w:t>
      </w:r>
      <w:r w:rsidR="008F27F7">
        <w:rPr>
          <w:rFonts w:cs="Calibri"/>
          <w:sz w:val="20"/>
          <w:szCs w:val="20"/>
        </w:rPr>
        <w:t>eń publicznych (</w:t>
      </w:r>
      <w:r w:rsidR="008F27F7">
        <w:rPr>
          <w:rFonts w:cs="Calibri"/>
          <w:sz w:val="20"/>
          <w:szCs w:val="20"/>
          <w:lang w:bidi="en-US"/>
        </w:rPr>
        <w:t>Dz. U. z 2021 r. poz. 1129</w:t>
      </w:r>
      <w:r w:rsidR="008F27F7" w:rsidRPr="005A6B15">
        <w:rPr>
          <w:rFonts w:cs="Calibri"/>
          <w:sz w:val="20"/>
          <w:szCs w:val="20"/>
          <w:lang w:bidi="en-US"/>
        </w:rPr>
        <w:t xml:space="preserve"> ze zm.</w:t>
      </w:r>
      <w:r w:rsidR="008F27F7" w:rsidRPr="005A6B15">
        <w:rPr>
          <w:rFonts w:cs="Calibri"/>
          <w:sz w:val="20"/>
          <w:szCs w:val="20"/>
        </w:rPr>
        <w:t xml:space="preserve">), </w:t>
      </w:r>
      <w:r w:rsidR="008F27F7" w:rsidRPr="005A6B15">
        <w:rPr>
          <w:rFonts w:cs="Calibri"/>
          <w:sz w:val="20"/>
          <w:szCs w:val="20"/>
          <w:lang w:bidi="en-US"/>
        </w:rPr>
        <w:t xml:space="preserve">zwanej dalej ustawą </w:t>
      </w:r>
      <w:proofErr w:type="spellStart"/>
      <w:r w:rsidR="008F27F7" w:rsidRPr="005A6B15">
        <w:rPr>
          <w:rFonts w:cs="Calibri"/>
          <w:sz w:val="20"/>
          <w:szCs w:val="20"/>
          <w:lang w:bidi="en-US"/>
        </w:rPr>
        <w:t>Pzp</w:t>
      </w:r>
      <w:proofErr w:type="spellEnd"/>
      <w:r w:rsidR="008F27F7" w:rsidRPr="005A6B15">
        <w:rPr>
          <w:rFonts w:cs="Calibri"/>
          <w:sz w:val="20"/>
          <w:szCs w:val="20"/>
          <w:lang w:bidi="en-US"/>
        </w:rPr>
        <w:t xml:space="preserve">, </w:t>
      </w:r>
      <w:r w:rsidR="008F27F7">
        <w:rPr>
          <w:rFonts w:cs="Calibri"/>
          <w:sz w:val="20"/>
          <w:szCs w:val="20"/>
          <w:lang w:bidi="en-US"/>
        </w:rPr>
        <w:t>informuje o zmianie treści SWZ w następującym zakresie</w:t>
      </w:r>
      <w:r w:rsidR="008F27F7" w:rsidRPr="005A6B15">
        <w:rPr>
          <w:rFonts w:cs="Calibri"/>
          <w:sz w:val="20"/>
          <w:szCs w:val="20"/>
          <w:lang w:bidi="en-US"/>
        </w:rPr>
        <w:t>:</w:t>
      </w:r>
    </w:p>
    <w:p w:rsidR="00AB7324" w:rsidRDefault="00AB7324" w:rsidP="00AB7324">
      <w:pPr>
        <w:spacing w:after="0" w:line="240" w:lineRule="auto"/>
        <w:rPr>
          <w:rFonts w:cs="Tahoma"/>
          <w:b/>
          <w:i/>
          <w:sz w:val="20"/>
          <w:szCs w:val="20"/>
        </w:rPr>
      </w:pPr>
    </w:p>
    <w:p w:rsidR="00AB7324" w:rsidRDefault="00AB7324" w:rsidP="00AB7324">
      <w:pPr>
        <w:spacing w:after="0" w:line="240" w:lineRule="auto"/>
        <w:rPr>
          <w:rFonts w:cs="Tahoma"/>
          <w:b/>
          <w:i/>
          <w:sz w:val="20"/>
          <w:szCs w:val="20"/>
        </w:rPr>
      </w:pPr>
      <w:r>
        <w:rPr>
          <w:rFonts w:cs="Tahoma"/>
          <w:b/>
          <w:i/>
          <w:sz w:val="20"/>
          <w:szCs w:val="20"/>
        </w:rPr>
        <w:t>Załącznik nr 5 do</w:t>
      </w:r>
      <w:r>
        <w:rPr>
          <w:rFonts w:cs="Calibri"/>
          <w:b/>
          <w:bCs/>
          <w:i/>
          <w:sz w:val="20"/>
          <w:szCs w:val="20"/>
        </w:rPr>
        <w:t xml:space="preserve"> SWZ Projekt umowy § 7  </w:t>
      </w:r>
      <w:r w:rsidRPr="00D9509A">
        <w:rPr>
          <w:rFonts w:cs="Tahoma"/>
          <w:b/>
          <w:sz w:val="20"/>
          <w:szCs w:val="20"/>
        </w:rPr>
        <w:t xml:space="preserve">– zmiana treści </w:t>
      </w:r>
      <w:r>
        <w:rPr>
          <w:rFonts w:cs="Tahoma"/>
          <w:b/>
          <w:sz w:val="20"/>
          <w:szCs w:val="20"/>
        </w:rPr>
        <w:t>poprzez wykreślenie ustępu 6. Po zmianie § 7 Projektu umowy składa się z 5-iu ustępów.</w:t>
      </w:r>
    </w:p>
    <w:p w:rsidR="003D68AF" w:rsidRDefault="003D68AF" w:rsidP="008F27F7">
      <w:pPr>
        <w:contextualSpacing/>
        <w:jc w:val="both"/>
        <w:rPr>
          <w:rFonts w:cs="Calibri"/>
          <w:b/>
          <w:sz w:val="20"/>
          <w:szCs w:val="20"/>
          <w:lang w:bidi="en-US"/>
        </w:rPr>
      </w:pPr>
    </w:p>
    <w:p w:rsidR="00AB7324" w:rsidRDefault="00AB7324" w:rsidP="008F27F7">
      <w:pPr>
        <w:contextualSpacing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i/>
          <w:sz w:val="20"/>
          <w:szCs w:val="20"/>
        </w:rPr>
        <w:t>Załącznik nr 5 do</w:t>
      </w:r>
      <w:r>
        <w:rPr>
          <w:rFonts w:cs="Calibri"/>
          <w:b/>
          <w:bCs/>
          <w:i/>
          <w:sz w:val="20"/>
          <w:szCs w:val="20"/>
        </w:rPr>
        <w:t xml:space="preserve"> SWZ Projekt umowy § 8 ust. 4  </w:t>
      </w:r>
      <w:r w:rsidRPr="00D9509A">
        <w:rPr>
          <w:rFonts w:cs="Tahoma"/>
          <w:b/>
          <w:sz w:val="20"/>
          <w:szCs w:val="20"/>
        </w:rPr>
        <w:t>– zmiana treści</w:t>
      </w:r>
      <w:r>
        <w:rPr>
          <w:rFonts w:cs="Tahoma"/>
          <w:b/>
          <w:sz w:val="20"/>
          <w:szCs w:val="20"/>
        </w:rPr>
        <w:t xml:space="preserve"> na:</w:t>
      </w:r>
    </w:p>
    <w:p w:rsidR="00AB7324" w:rsidRPr="00AB7324" w:rsidRDefault="00AB7324" w:rsidP="00AB7324">
      <w:pPr>
        <w:pStyle w:val="Akapitzlist"/>
        <w:numPr>
          <w:ilvl w:val="0"/>
          <w:numId w:val="22"/>
        </w:numPr>
        <w:tabs>
          <w:tab w:val="left" w:pos="-1276"/>
          <w:tab w:val="left" w:pos="284"/>
        </w:tabs>
        <w:suppressAutoHyphens/>
        <w:ind w:left="284" w:hanging="284"/>
        <w:contextualSpacing/>
        <w:jc w:val="both"/>
        <w:rPr>
          <w:rFonts w:asciiTheme="minorHAnsi" w:hAnsiTheme="minorHAnsi" w:cs="Calibri"/>
          <w:sz w:val="20"/>
          <w:szCs w:val="20"/>
        </w:rPr>
      </w:pPr>
      <w:proofErr w:type="spellStart"/>
      <w:r w:rsidRPr="00AB7324">
        <w:rPr>
          <w:rFonts w:asciiTheme="minorHAnsi" w:hAnsiTheme="minorHAnsi" w:cs="Calibri"/>
          <w:sz w:val="20"/>
          <w:szCs w:val="20"/>
        </w:rPr>
        <w:t>Wykonawca</w:t>
      </w:r>
      <w:proofErr w:type="spellEnd"/>
      <w:r w:rsidRPr="00AB7324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AB7324">
        <w:rPr>
          <w:rFonts w:asciiTheme="minorHAnsi" w:hAnsiTheme="minorHAnsi" w:cs="Calibri"/>
          <w:sz w:val="20"/>
          <w:szCs w:val="20"/>
        </w:rPr>
        <w:t>gwarantuje</w:t>
      </w:r>
      <w:proofErr w:type="spellEnd"/>
      <w:r w:rsidRPr="00AB7324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AB7324">
        <w:rPr>
          <w:rFonts w:asciiTheme="minorHAnsi" w:hAnsiTheme="minorHAnsi" w:cs="Calibri"/>
          <w:sz w:val="20"/>
          <w:szCs w:val="20"/>
        </w:rPr>
        <w:t>należytą</w:t>
      </w:r>
      <w:proofErr w:type="spellEnd"/>
      <w:r w:rsidRPr="00AB7324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AB7324">
        <w:rPr>
          <w:rFonts w:asciiTheme="minorHAnsi" w:hAnsiTheme="minorHAnsi" w:cs="Calibri"/>
          <w:sz w:val="20"/>
          <w:szCs w:val="20"/>
        </w:rPr>
        <w:t>jakość</w:t>
      </w:r>
      <w:proofErr w:type="spellEnd"/>
      <w:r w:rsidRPr="00AB7324">
        <w:rPr>
          <w:rFonts w:asciiTheme="minorHAnsi" w:hAnsiTheme="minorHAnsi" w:cs="Calibri"/>
          <w:sz w:val="20"/>
          <w:szCs w:val="20"/>
        </w:rPr>
        <w:t xml:space="preserve"> przedmiotu umowy, niezawodność eksploatacyjną oraz, że każdy dostar</w:t>
      </w:r>
      <w:r w:rsidRPr="00AB7324">
        <w:rPr>
          <w:rFonts w:asciiTheme="minorHAnsi" w:hAnsiTheme="minorHAnsi" w:cs="Calibri"/>
          <w:sz w:val="20"/>
          <w:szCs w:val="20"/>
        </w:rPr>
        <w:softHyphen/>
        <w:t xml:space="preserve">czony element przedmiotu umowy jest fabrycznie nowy, pochodzi z bieżącej produkcji, tj. nie starszy niż z 2021 r. (nie demonstracyjny), spełnia wszelkie wymagania określone obowiązującymi przepisach prawa, w tym w szczególności odpowiada wymaganiom określonym w ustawie z dnia 15 kwietnia 2011 r. o </w:t>
      </w:r>
      <w:proofErr w:type="spellStart"/>
      <w:r w:rsidRPr="00AB7324">
        <w:rPr>
          <w:rFonts w:asciiTheme="minorHAnsi" w:hAnsiTheme="minorHAnsi" w:cs="Calibri"/>
          <w:sz w:val="20"/>
          <w:szCs w:val="20"/>
        </w:rPr>
        <w:t>działalności</w:t>
      </w:r>
      <w:proofErr w:type="spellEnd"/>
      <w:r w:rsidRPr="00AB7324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AB7324">
        <w:rPr>
          <w:rFonts w:asciiTheme="minorHAnsi" w:hAnsiTheme="minorHAnsi" w:cs="Calibri"/>
          <w:sz w:val="20"/>
          <w:szCs w:val="20"/>
        </w:rPr>
        <w:t>leczniczej</w:t>
      </w:r>
      <w:proofErr w:type="spellEnd"/>
      <w:r w:rsidRPr="00AB7324">
        <w:rPr>
          <w:rFonts w:asciiTheme="minorHAnsi" w:hAnsiTheme="minorHAnsi" w:cs="Calibri"/>
          <w:sz w:val="20"/>
          <w:szCs w:val="20"/>
        </w:rPr>
        <w:t xml:space="preserve"> </w:t>
      </w:r>
      <w:r w:rsidRPr="00AB7324">
        <w:rPr>
          <w:rFonts w:asciiTheme="minorHAnsi" w:hAnsiTheme="minorHAnsi" w:cs="Calibri"/>
          <w:strike/>
          <w:sz w:val="20"/>
          <w:szCs w:val="20"/>
        </w:rPr>
        <w:t xml:space="preserve">(Dz.U.2020.poz.295 </w:t>
      </w:r>
      <w:proofErr w:type="spellStart"/>
      <w:r w:rsidRPr="00AB7324">
        <w:rPr>
          <w:rFonts w:asciiTheme="minorHAnsi" w:hAnsiTheme="minorHAnsi" w:cs="Calibri"/>
          <w:strike/>
          <w:sz w:val="20"/>
          <w:szCs w:val="20"/>
        </w:rPr>
        <w:t>t.j.</w:t>
      </w:r>
      <w:proofErr w:type="spellEnd"/>
      <w:r w:rsidRPr="00AB7324">
        <w:rPr>
          <w:rFonts w:asciiTheme="minorHAnsi" w:hAnsiTheme="minorHAnsi" w:cs="Calibri"/>
          <w:strike/>
          <w:sz w:val="20"/>
          <w:szCs w:val="20"/>
        </w:rPr>
        <w:t>)</w:t>
      </w:r>
      <w:r w:rsidRPr="00AB7324">
        <w:rPr>
          <w:rFonts w:asciiTheme="minorHAnsi" w:hAnsiTheme="minorHAnsi" w:cs="Calibri"/>
          <w:sz w:val="20"/>
          <w:szCs w:val="20"/>
        </w:rPr>
        <w:t xml:space="preserve"> </w:t>
      </w:r>
      <w:r w:rsidRPr="00AC0818">
        <w:rPr>
          <w:rFonts w:asciiTheme="minorHAnsi" w:hAnsiTheme="minorHAnsi" w:cs="Calibri"/>
          <w:b/>
          <w:color w:val="FF0000"/>
          <w:sz w:val="20"/>
          <w:szCs w:val="20"/>
        </w:rPr>
        <w:t>(</w:t>
      </w:r>
      <w:proofErr w:type="spellStart"/>
      <w:r w:rsidRPr="00AC0818">
        <w:rPr>
          <w:rFonts w:asciiTheme="minorHAnsi" w:hAnsiTheme="minorHAnsi" w:cs="Calibri"/>
          <w:b/>
          <w:color w:val="FF0000"/>
          <w:sz w:val="20"/>
          <w:szCs w:val="20"/>
        </w:rPr>
        <w:t>t.j.</w:t>
      </w:r>
      <w:proofErr w:type="spellEnd"/>
      <w:r w:rsidRPr="00AC0818">
        <w:rPr>
          <w:rFonts w:asciiTheme="minorHAnsi" w:hAnsiTheme="minorHAnsi" w:cs="Calibri"/>
          <w:b/>
          <w:color w:val="FF0000"/>
          <w:sz w:val="20"/>
          <w:szCs w:val="20"/>
        </w:rPr>
        <w:t xml:space="preserve"> Dz. U. z 2021 r. poz. 711 ze zm.)</w:t>
      </w:r>
      <w:r w:rsidRPr="00AB7324">
        <w:rPr>
          <w:rFonts w:asciiTheme="minorHAnsi" w:hAnsiTheme="minorHAnsi" w:cs="Calibri"/>
          <w:sz w:val="20"/>
          <w:szCs w:val="20"/>
        </w:rPr>
        <w:t xml:space="preserve"> i odpowiednich aktach wykonawczych do ustawy, w tym Rozporządzeniu Ministra Zdrowia z dnia 26 marca 2019 r. w sprawie szczegółowych wymagań, jakim powinny odpowiadać pomieszczenia i urządzenia podmiotu wykonującego działalność leczniczą (Dz.U. z 2019 r. poz. 595), a także w ustawie z dnia 20 maja 2010 r. o </w:t>
      </w:r>
      <w:proofErr w:type="spellStart"/>
      <w:r w:rsidRPr="00AB7324">
        <w:rPr>
          <w:rFonts w:asciiTheme="minorHAnsi" w:hAnsiTheme="minorHAnsi" w:cs="Calibri"/>
          <w:sz w:val="20"/>
          <w:szCs w:val="20"/>
        </w:rPr>
        <w:t>wyrobach</w:t>
      </w:r>
      <w:proofErr w:type="spellEnd"/>
      <w:r w:rsidRPr="00AB7324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AB7324">
        <w:rPr>
          <w:rFonts w:asciiTheme="minorHAnsi" w:hAnsiTheme="minorHAnsi" w:cs="Calibri"/>
          <w:sz w:val="20"/>
          <w:szCs w:val="20"/>
        </w:rPr>
        <w:t>medycznych</w:t>
      </w:r>
      <w:proofErr w:type="spellEnd"/>
      <w:r w:rsidRPr="00AB7324">
        <w:rPr>
          <w:rFonts w:asciiTheme="minorHAnsi" w:hAnsiTheme="minorHAnsi" w:cs="Tahoma"/>
          <w:strike/>
          <w:sz w:val="20"/>
          <w:szCs w:val="20"/>
        </w:rPr>
        <w:t>(</w:t>
      </w:r>
      <w:proofErr w:type="spellStart"/>
      <w:r w:rsidRPr="00AB7324">
        <w:rPr>
          <w:rFonts w:asciiTheme="minorHAnsi" w:hAnsiTheme="minorHAnsi" w:cs="Tahoma"/>
          <w:strike/>
          <w:sz w:val="20"/>
          <w:szCs w:val="20"/>
        </w:rPr>
        <w:t>t.j.</w:t>
      </w:r>
      <w:proofErr w:type="spellEnd"/>
      <w:r w:rsidRPr="00AB7324">
        <w:rPr>
          <w:rFonts w:asciiTheme="minorHAnsi" w:hAnsiTheme="minorHAnsi" w:cs="Tahoma"/>
          <w:strike/>
          <w:sz w:val="20"/>
          <w:szCs w:val="20"/>
        </w:rPr>
        <w:t xml:space="preserve"> Dz. U. z 2020 r., poz. 186 ze zm.)</w:t>
      </w:r>
      <w:r w:rsidRPr="00AB7324">
        <w:rPr>
          <w:rFonts w:asciiTheme="minorHAnsi" w:hAnsiTheme="minorHAnsi" w:cs="Tahoma"/>
          <w:sz w:val="20"/>
          <w:szCs w:val="20"/>
        </w:rPr>
        <w:t xml:space="preserve"> </w:t>
      </w:r>
      <w:r w:rsidRPr="00AC0818">
        <w:rPr>
          <w:rFonts w:asciiTheme="minorHAnsi" w:hAnsiTheme="minorHAnsi" w:cs="Tahoma"/>
          <w:b/>
          <w:color w:val="FF0000"/>
          <w:sz w:val="20"/>
          <w:szCs w:val="20"/>
        </w:rPr>
        <w:t>(</w:t>
      </w:r>
      <w:proofErr w:type="spellStart"/>
      <w:r w:rsidRPr="00AC0818">
        <w:rPr>
          <w:rFonts w:asciiTheme="minorHAnsi" w:hAnsiTheme="minorHAnsi" w:cs="Tahoma"/>
          <w:b/>
          <w:color w:val="FF0000"/>
          <w:sz w:val="20"/>
          <w:szCs w:val="20"/>
        </w:rPr>
        <w:t>t.j.</w:t>
      </w:r>
      <w:proofErr w:type="spellEnd"/>
      <w:r w:rsidRPr="00AC0818">
        <w:rPr>
          <w:rFonts w:asciiTheme="minorHAnsi" w:hAnsiTheme="minorHAnsi" w:cs="Tahoma"/>
          <w:b/>
          <w:color w:val="FF0000"/>
          <w:sz w:val="20"/>
          <w:szCs w:val="20"/>
        </w:rPr>
        <w:t xml:space="preserve"> Dz. U. z 2021 r., poz. 1565 ze zm.)</w:t>
      </w:r>
      <w:r w:rsidRPr="00AB7324">
        <w:rPr>
          <w:rFonts w:asciiTheme="minorHAnsi" w:hAnsiTheme="minorHAnsi" w:cs="Calibri"/>
          <w:sz w:val="20"/>
          <w:szCs w:val="20"/>
        </w:rPr>
        <w:t xml:space="preserve"> – jeśli asortyment jest wyrobem medycznym; ponadto Wykonawca gwarantuje, że przedmiot umowy zostanie zain</w:t>
      </w:r>
      <w:r w:rsidRPr="00AB7324">
        <w:rPr>
          <w:rFonts w:asciiTheme="minorHAnsi" w:hAnsiTheme="minorHAnsi" w:cs="Calibri"/>
          <w:sz w:val="20"/>
          <w:szCs w:val="20"/>
        </w:rPr>
        <w:softHyphen/>
        <w:t>stalo</w:t>
      </w:r>
      <w:r w:rsidRPr="00AB7324">
        <w:rPr>
          <w:rFonts w:asciiTheme="minorHAnsi" w:hAnsiTheme="minorHAnsi" w:cs="Calibri"/>
          <w:sz w:val="20"/>
          <w:szCs w:val="20"/>
        </w:rPr>
        <w:softHyphen/>
        <w:t xml:space="preserve">wany bez żadnych uszkodzeń oraz  że oferowany przedmiot zamówienia, o parametrach wyspecyfikowanych w ofercie , jest kompletny i po zainstalowaniu będzie gotowy do pracy zgodnie z jego przeznaczeniem bez dodatkowych zakupów. </w:t>
      </w:r>
    </w:p>
    <w:p w:rsidR="00AB7324" w:rsidRDefault="00AB7324" w:rsidP="008F27F7">
      <w:pPr>
        <w:contextualSpacing/>
        <w:jc w:val="both"/>
        <w:rPr>
          <w:rFonts w:cs="Calibri"/>
          <w:b/>
          <w:sz w:val="20"/>
          <w:szCs w:val="20"/>
          <w:lang w:bidi="en-US"/>
        </w:rPr>
      </w:pPr>
    </w:p>
    <w:p w:rsidR="00AB7324" w:rsidRDefault="00AB7324" w:rsidP="00AB7324">
      <w:pPr>
        <w:contextualSpacing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i/>
          <w:sz w:val="20"/>
          <w:szCs w:val="20"/>
        </w:rPr>
        <w:t>Załącznik nr 5 do</w:t>
      </w:r>
      <w:r>
        <w:rPr>
          <w:rFonts w:cs="Calibri"/>
          <w:b/>
          <w:bCs/>
          <w:i/>
          <w:sz w:val="20"/>
          <w:szCs w:val="20"/>
        </w:rPr>
        <w:t xml:space="preserve"> SWZ Projekt umowy § 8 ust. 4  </w:t>
      </w:r>
      <w:r w:rsidRPr="00D9509A">
        <w:rPr>
          <w:rFonts w:cs="Tahoma"/>
          <w:b/>
          <w:sz w:val="20"/>
          <w:szCs w:val="20"/>
        </w:rPr>
        <w:t>– zmiana treści</w:t>
      </w:r>
      <w:r>
        <w:rPr>
          <w:rFonts w:cs="Tahoma"/>
          <w:b/>
          <w:sz w:val="20"/>
          <w:szCs w:val="20"/>
        </w:rPr>
        <w:t xml:space="preserve"> na:</w:t>
      </w:r>
    </w:p>
    <w:p w:rsidR="00AB7324" w:rsidRDefault="00AB7324" w:rsidP="008F27F7">
      <w:pPr>
        <w:contextualSpacing/>
        <w:jc w:val="both"/>
        <w:rPr>
          <w:rFonts w:cs="Calibri"/>
          <w:b/>
          <w:sz w:val="20"/>
          <w:szCs w:val="20"/>
          <w:lang w:bidi="en-US"/>
        </w:rPr>
      </w:pPr>
    </w:p>
    <w:p w:rsidR="00AC0818" w:rsidRPr="00AC0818" w:rsidRDefault="00AC0818" w:rsidP="00AC0818">
      <w:pPr>
        <w:pStyle w:val="Akapitzlist"/>
        <w:numPr>
          <w:ilvl w:val="0"/>
          <w:numId w:val="23"/>
        </w:numPr>
        <w:tabs>
          <w:tab w:val="left" w:pos="-1276"/>
          <w:tab w:val="left" w:pos="284"/>
          <w:tab w:val="left" w:pos="2127"/>
        </w:tabs>
        <w:suppressAutoHyphens/>
        <w:ind w:left="426" w:hanging="284"/>
        <w:contextualSpacing/>
        <w:jc w:val="both"/>
        <w:rPr>
          <w:rFonts w:asciiTheme="minorHAnsi" w:hAnsiTheme="minorHAnsi" w:cs="Calibri"/>
          <w:sz w:val="20"/>
          <w:szCs w:val="20"/>
        </w:rPr>
      </w:pPr>
      <w:r w:rsidRPr="00AC0818">
        <w:rPr>
          <w:rFonts w:asciiTheme="minorHAnsi" w:hAnsiTheme="minorHAnsi" w:cs="Calibri"/>
          <w:sz w:val="20"/>
          <w:szCs w:val="20"/>
        </w:rPr>
        <w:t xml:space="preserve">W </w:t>
      </w:r>
      <w:proofErr w:type="spellStart"/>
      <w:r w:rsidRPr="00AC0818">
        <w:rPr>
          <w:rFonts w:asciiTheme="minorHAnsi" w:hAnsiTheme="minorHAnsi" w:cs="Calibri"/>
          <w:sz w:val="20"/>
          <w:szCs w:val="20"/>
        </w:rPr>
        <w:t>przypadku</w:t>
      </w:r>
      <w:proofErr w:type="spellEnd"/>
      <w:r w:rsidRPr="00AC0818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AC0818">
        <w:rPr>
          <w:rFonts w:asciiTheme="minorHAnsi" w:hAnsiTheme="minorHAnsi" w:cs="Calibri"/>
          <w:sz w:val="20"/>
          <w:szCs w:val="20"/>
        </w:rPr>
        <w:t>naprawy</w:t>
      </w:r>
      <w:proofErr w:type="spellEnd"/>
      <w:r w:rsidRPr="00AC0818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AC0818">
        <w:rPr>
          <w:rFonts w:asciiTheme="minorHAnsi" w:hAnsiTheme="minorHAnsi" w:cs="Calibri"/>
          <w:sz w:val="20"/>
          <w:szCs w:val="20"/>
        </w:rPr>
        <w:t>trwającej</w:t>
      </w:r>
      <w:proofErr w:type="spellEnd"/>
      <w:r w:rsidRPr="00AC0818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AC0818">
        <w:rPr>
          <w:rFonts w:asciiTheme="minorHAnsi" w:hAnsiTheme="minorHAnsi" w:cs="Calibri"/>
          <w:sz w:val="20"/>
          <w:szCs w:val="20"/>
        </w:rPr>
        <w:t>dłużej</w:t>
      </w:r>
      <w:proofErr w:type="spellEnd"/>
      <w:r w:rsidRPr="00AC0818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AC0818">
        <w:rPr>
          <w:rFonts w:asciiTheme="minorHAnsi" w:hAnsiTheme="minorHAnsi" w:cs="Calibri"/>
          <w:sz w:val="20"/>
          <w:szCs w:val="20"/>
        </w:rPr>
        <w:t>niż</w:t>
      </w:r>
      <w:proofErr w:type="spellEnd"/>
      <w:r w:rsidRPr="00AC0818">
        <w:rPr>
          <w:rFonts w:asciiTheme="minorHAnsi" w:hAnsiTheme="minorHAnsi" w:cs="Calibri"/>
          <w:sz w:val="20"/>
          <w:szCs w:val="20"/>
        </w:rPr>
        <w:t xml:space="preserve"> </w:t>
      </w:r>
      <w:r w:rsidRPr="00AC0818">
        <w:rPr>
          <w:rFonts w:asciiTheme="minorHAnsi" w:hAnsiTheme="minorHAnsi" w:cs="Calibri"/>
          <w:b/>
          <w:color w:val="FF0000"/>
          <w:sz w:val="20"/>
          <w:szCs w:val="20"/>
        </w:rPr>
        <w:t>3</w:t>
      </w:r>
      <w:r w:rsidRPr="00AC0818">
        <w:rPr>
          <w:rFonts w:asciiTheme="minorHAnsi" w:hAnsiTheme="minorHAnsi" w:cs="Calibri"/>
          <w:color w:val="FF0000"/>
          <w:sz w:val="20"/>
          <w:szCs w:val="20"/>
        </w:rPr>
        <w:t xml:space="preserve"> </w:t>
      </w:r>
      <w:proofErr w:type="spellStart"/>
      <w:r w:rsidRPr="00AC0818">
        <w:rPr>
          <w:rFonts w:asciiTheme="minorHAnsi" w:hAnsiTheme="minorHAnsi" w:cs="Calibri"/>
          <w:sz w:val="20"/>
          <w:szCs w:val="20"/>
        </w:rPr>
        <w:t>dni</w:t>
      </w:r>
      <w:proofErr w:type="spellEnd"/>
      <w:r w:rsidRPr="00AC0818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AC0818">
        <w:rPr>
          <w:rFonts w:asciiTheme="minorHAnsi" w:hAnsiTheme="minorHAnsi" w:cs="Calibri"/>
          <w:sz w:val="20"/>
          <w:szCs w:val="20"/>
        </w:rPr>
        <w:t>robocz</w:t>
      </w:r>
      <w:r w:rsidRPr="00AC0818">
        <w:rPr>
          <w:rFonts w:asciiTheme="minorHAnsi" w:hAnsiTheme="minorHAnsi" w:cs="Calibri"/>
          <w:strike/>
          <w:sz w:val="20"/>
          <w:szCs w:val="20"/>
        </w:rPr>
        <w:t>ych</w:t>
      </w:r>
      <w:r w:rsidRPr="00AC0818">
        <w:rPr>
          <w:rFonts w:asciiTheme="minorHAnsi" w:hAnsiTheme="minorHAnsi" w:cs="Calibri"/>
          <w:b/>
          <w:color w:val="FF0000"/>
          <w:sz w:val="20"/>
          <w:szCs w:val="20"/>
        </w:rPr>
        <w:t>e</w:t>
      </w:r>
      <w:proofErr w:type="spellEnd"/>
      <w:r w:rsidRPr="00AC0818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AC0818">
        <w:rPr>
          <w:rFonts w:asciiTheme="minorHAnsi" w:hAnsiTheme="minorHAnsi" w:cs="Calibri"/>
          <w:sz w:val="20"/>
          <w:szCs w:val="20"/>
        </w:rPr>
        <w:t>Wykonawca</w:t>
      </w:r>
      <w:proofErr w:type="spellEnd"/>
      <w:r w:rsidRPr="00AC0818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AC0818">
        <w:rPr>
          <w:rFonts w:asciiTheme="minorHAnsi" w:hAnsiTheme="minorHAnsi" w:cs="Calibri"/>
          <w:sz w:val="20"/>
          <w:szCs w:val="20"/>
        </w:rPr>
        <w:t>zobowiązuje</w:t>
      </w:r>
      <w:proofErr w:type="spellEnd"/>
      <w:r w:rsidRPr="00AC0818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AC0818">
        <w:rPr>
          <w:rFonts w:asciiTheme="minorHAnsi" w:hAnsiTheme="minorHAnsi" w:cs="Calibri"/>
          <w:sz w:val="20"/>
          <w:szCs w:val="20"/>
        </w:rPr>
        <w:t>się</w:t>
      </w:r>
      <w:proofErr w:type="spellEnd"/>
      <w:r w:rsidRPr="00AC0818">
        <w:rPr>
          <w:rFonts w:asciiTheme="minorHAnsi" w:hAnsiTheme="minorHAnsi" w:cs="Calibri"/>
          <w:sz w:val="20"/>
          <w:szCs w:val="20"/>
        </w:rPr>
        <w:t xml:space="preserve"> do zapewnienia zastępczego elementu przedmiotu umowy. Zastępczy element przedmiotu umowy musi charakteryzować się takimi samymi parametrami jak element naprawiany. Zamawiający dopuszcza możliwość dostarczenia zastępczego elementu przedmiotu umowy o parametrach lepszych od pierwotnie oferowanych z zastrzeżeniem, że Wykonawca przeprowadzi odpowiednie szkolenie personelu w zakresie obsługi i użytkowania. Przy spełnieniu powyższego Zamawiający odstąpi od naliczenia kary określonej w § 9 ust. 1 pkt. 2) umowy. </w:t>
      </w:r>
    </w:p>
    <w:p w:rsidR="00AC0818" w:rsidRDefault="00AC0818" w:rsidP="008F27F7">
      <w:pPr>
        <w:contextualSpacing/>
        <w:jc w:val="both"/>
        <w:rPr>
          <w:rFonts w:cs="Calibri"/>
          <w:b/>
          <w:sz w:val="20"/>
          <w:szCs w:val="20"/>
          <w:lang w:bidi="en-US"/>
        </w:rPr>
      </w:pPr>
    </w:p>
    <w:p w:rsidR="00AC0818" w:rsidRDefault="00AC0818" w:rsidP="00AC0818">
      <w:pPr>
        <w:contextualSpacing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i/>
          <w:sz w:val="20"/>
          <w:szCs w:val="20"/>
        </w:rPr>
        <w:t>Załącznik nr 5 do</w:t>
      </w:r>
      <w:r>
        <w:rPr>
          <w:rFonts w:cs="Calibri"/>
          <w:b/>
          <w:bCs/>
          <w:i/>
          <w:sz w:val="20"/>
          <w:szCs w:val="20"/>
        </w:rPr>
        <w:t xml:space="preserve"> SWZ Projekt umowy § 12 ust. 5  </w:t>
      </w:r>
      <w:r w:rsidRPr="00D9509A">
        <w:rPr>
          <w:rFonts w:cs="Tahoma"/>
          <w:b/>
          <w:sz w:val="20"/>
          <w:szCs w:val="20"/>
        </w:rPr>
        <w:t>– zmiana treści</w:t>
      </w:r>
      <w:r>
        <w:rPr>
          <w:rFonts w:cs="Tahoma"/>
          <w:b/>
          <w:sz w:val="20"/>
          <w:szCs w:val="20"/>
        </w:rPr>
        <w:t xml:space="preserve"> na:</w:t>
      </w:r>
    </w:p>
    <w:p w:rsidR="00AC0818" w:rsidRDefault="00AC0818" w:rsidP="008F27F7">
      <w:pPr>
        <w:contextualSpacing/>
        <w:jc w:val="both"/>
        <w:rPr>
          <w:rFonts w:cs="Calibri"/>
          <w:b/>
          <w:sz w:val="20"/>
          <w:szCs w:val="20"/>
          <w:lang w:bidi="en-US"/>
        </w:rPr>
      </w:pPr>
    </w:p>
    <w:p w:rsidR="00AC0818" w:rsidRPr="00AC0818" w:rsidRDefault="00AC0818" w:rsidP="00AC0818">
      <w:pPr>
        <w:pStyle w:val="Akapitzlist"/>
        <w:numPr>
          <w:ilvl w:val="0"/>
          <w:numId w:val="23"/>
        </w:numPr>
        <w:ind w:left="426" w:hanging="284"/>
        <w:contextualSpacing/>
        <w:jc w:val="both"/>
        <w:rPr>
          <w:rFonts w:asciiTheme="minorHAnsi" w:hAnsiTheme="minorHAnsi" w:cs="Calibri"/>
          <w:b/>
          <w:sz w:val="20"/>
          <w:szCs w:val="20"/>
          <w:lang w:bidi="en-US"/>
        </w:rPr>
      </w:pPr>
      <w:proofErr w:type="spellStart"/>
      <w:r w:rsidRPr="00AC0818">
        <w:rPr>
          <w:rFonts w:asciiTheme="minorHAnsi" w:hAnsiTheme="minorHAnsi"/>
          <w:sz w:val="20"/>
        </w:rPr>
        <w:t>Spółka</w:t>
      </w:r>
      <w:proofErr w:type="spellEnd"/>
      <w:r w:rsidRPr="00AC0818">
        <w:rPr>
          <w:rFonts w:asciiTheme="minorHAnsi" w:hAnsiTheme="minorHAnsi"/>
          <w:sz w:val="20"/>
        </w:rPr>
        <w:t xml:space="preserve"> </w:t>
      </w:r>
      <w:proofErr w:type="spellStart"/>
      <w:r w:rsidRPr="00AC0818">
        <w:rPr>
          <w:rFonts w:asciiTheme="minorHAnsi" w:hAnsiTheme="minorHAnsi"/>
          <w:sz w:val="20"/>
        </w:rPr>
        <w:t>Szpitale</w:t>
      </w:r>
      <w:proofErr w:type="spellEnd"/>
      <w:r w:rsidRPr="00AC0818">
        <w:rPr>
          <w:rFonts w:asciiTheme="minorHAnsi" w:hAnsiTheme="minorHAnsi"/>
          <w:sz w:val="20"/>
        </w:rPr>
        <w:t xml:space="preserve"> </w:t>
      </w:r>
      <w:proofErr w:type="spellStart"/>
      <w:r w:rsidRPr="00AC0818">
        <w:rPr>
          <w:rFonts w:asciiTheme="minorHAnsi" w:hAnsiTheme="minorHAnsi"/>
          <w:sz w:val="20"/>
        </w:rPr>
        <w:t>Pomorskie</w:t>
      </w:r>
      <w:proofErr w:type="spellEnd"/>
      <w:r w:rsidRPr="00AC0818">
        <w:rPr>
          <w:rFonts w:asciiTheme="minorHAnsi" w:hAnsiTheme="minorHAnsi"/>
          <w:sz w:val="20"/>
        </w:rPr>
        <w:t xml:space="preserve"> Sp. z o.o. z siedzibą w Gdyni – na podstawie art. 4c oraz art. 4 pkt 6 ustawy z dnia 8 marca 2013 r. o przeciwdziałaniu nadmiernym opóźnieniom w transakcjach handlowych </w:t>
      </w:r>
      <w:r w:rsidRPr="00AC0818">
        <w:rPr>
          <w:rFonts w:asciiTheme="minorHAnsi" w:hAnsiTheme="minorHAnsi"/>
          <w:strike/>
          <w:sz w:val="20"/>
        </w:rPr>
        <w:t xml:space="preserve">(Dz.U.2020.935 j.t. z </w:t>
      </w:r>
      <w:proofErr w:type="spellStart"/>
      <w:r w:rsidRPr="00AC0818">
        <w:rPr>
          <w:rFonts w:asciiTheme="minorHAnsi" w:hAnsiTheme="minorHAnsi"/>
          <w:strike/>
          <w:sz w:val="20"/>
        </w:rPr>
        <w:t>późn</w:t>
      </w:r>
      <w:proofErr w:type="spellEnd"/>
      <w:r w:rsidRPr="00AC0818">
        <w:rPr>
          <w:rFonts w:asciiTheme="minorHAnsi" w:hAnsiTheme="minorHAnsi"/>
          <w:strike/>
          <w:sz w:val="20"/>
        </w:rPr>
        <w:t>. zm.)</w:t>
      </w:r>
      <w:r w:rsidRPr="00AC0818">
        <w:rPr>
          <w:rFonts w:asciiTheme="minorHAnsi" w:hAnsiTheme="minorHAnsi"/>
          <w:sz w:val="20"/>
        </w:rPr>
        <w:t xml:space="preserve"> </w:t>
      </w:r>
      <w:r w:rsidRPr="00AC0818">
        <w:rPr>
          <w:rFonts w:asciiTheme="minorHAnsi" w:hAnsiTheme="minorHAnsi"/>
          <w:b/>
          <w:color w:val="FF0000"/>
          <w:sz w:val="20"/>
        </w:rPr>
        <w:t>(</w:t>
      </w:r>
      <w:proofErr w:type="spellStart"/>
      <w:r w:rsidRPr="00AC0818">
        <w:rPr>
          <w:rFonts w:asciiTheme="minorHAnsi" w:hAnsiTheme="minorHAnsi"/>
          <w:b/>
          <w:color w:val="FF0000"/>
          <w:sz w:val="20"/>
        </w:rPr>
        <w:t>t.j.</w:t>
      </w:r>
      <w:proofErr w:type="spellEnd"/>
      <w:r w:rsidRPr="00AC0818">
        <w:rPr>
          <w:rFonts w:asciiTheme="minorHAnsi" w:hAnsiTheme="minorHAnsi"/>
          <w:b/>
          <w:color w:val="FF0000"/>
          <w:sz w:val="20"/>
        </w:rPr>
        <w:t xml:space="preserve"> Dz. U. z 2021 r., poz. 424 ze zm.)</w:t>
      </w:r>
      <w:r w:rsidRPr="00AC0818">
        <w:rPr>
          <w:rFonts w:asciiTheme="minorHAnsi" w:hAnsiTheme="minorHAnsi"/>
          <w:sz w:val="20"/>
        </w:rPr>
        <w:t xml:space="preserve"> - oświadcza,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AC0818">
        <w:rPr>
          <w:rFonts w:asciiTheme="minorHAnsi" w:hAnsiTheme="minorHAnsi"/>
          <w:sz w:val="20"/>
        </w:rPr>
        <w:t>późn</w:t>
      </w:r>
      <w:proofErr w:type="spellEnd"/>
      <w:r w:rsidRPr="00AC0818">
        <w:rPr>
          <w:rFonts w:asciiTheme="minorHAnsi" w:hAnsiTheme="minorHAnsi"/>
          <w:sz w:val="20"/>
        </w:rPr>
        <w:t>. zm.)</w:t>
      </w:r>
    </w:p>
    <w:p w:rsidR="00AC0818" w:rsidRDefault="00AC0818" w:rsidP="002202C0">
      <w:pPr>
        <w:jc w:val="both"/>
        <w:rPr>
          <w:rFonts w:cs="Calibri"/>
          <w:b/>
          <w:sz w:val="20"/>
          <w:szCs w:val="20"/>
        </w:rPr>
      </w:pPr>
    </w:p>
    <w:p w:rsidR="00B117B6" w:rsidRPr="005A6B15" w:rsidRDefault="00B117B6" w:rsidP="002202C0">
      <w:pPr>
        <w:jc w:val="both"/>
        <w:rPr>
          <w:rFonts w:cs="Calibri"/>
          <w:b/>
          <w:sz w:val="20"/>
          <w:szCs w:val="20"/>
        </w:rPr>
      </w:pPr>
      <w:r w:rsidRPr="005A6B15">
        <w:rPr>
          <w:rFonts w:cs="Calibri"/>
          <w:b/>
          <w:sz w:val="20"/>
          <w:szCs w:val="20"/>
        </w:rPr>
        <w:t>WSZYSTKIE WPROWADZONE ZMIANY STAJĄ SIĘ INTEGRALNĄ CZĘŚCIĄ SWZ I ZAST</w:t>
      </w:r>
      <w:r w:rsidR="004325C7">
        <w:rPr>
          <w:rFonts w:cs="Calibri"/>
          <w:b/>
          <w:sz w:val="20"/>
          <w:szCs w:val="20"/>
        </w:rPr>
        <w:t>Ę</w:t>
      </w:r>
      <w:r w:rsidRPr="005A6B15">
        <w:rPr>
          <w:rFonts w:cs="Calibri"/>
          <w:b/>
          <w:sz w:val="20"/>
          <w:szCs w:val="20"/>
        </w:rPr>
        <w:t>PUJĄ LUB UZUPEŁNIAJĄ ZAPISY SWZ W ODPOWIEDNIM ZAKRESIE.</w:t>
      </w:r>
    </w:p>
    <w:p w:rsidR="00B117B6" w:rsidRPr="005A6B15" w:rsidRDefault="00B117B6" w:rsidP="00B117B6">
      <w:pPr>
        <w:widowControl w:val="0"/>
        <w:autoSpaceDE w:val="0"/>
        <w:autoSpaceDN w:val="0"/>
        <w:rPr>
          <w:rFonts w:cs="Calibri"/>
          <w:color w:val="17365D"/>
          <w:sz w:val="20"/>
          <w:szCs w:val="20"/>
        </w:rPr>
      </w:pPr>
    </w:p>
    <w:p w:rsidR="00AC0818" w:rsidRPr="00750F6C" w:rsidRDefault="00AC0818" w:rsidP="00AC0818">
      <w:pPr>
        <w:shd w:val="clear" w:color="auto" w:fill="FFFFFF"/>
        <w:spacing w:after="0" w:line="240" w:lineRule="auto"/>
        <w:ind w:left="4248" w:right="11" w:firstLine="708"/>
        <w:jc w:val="both"/>
        <w:rPr>
          <w:rFonts w:ascii="Monotype Corsiva" w:hAnsi="Monotype Corsiva"/>
          <w:color w:val="000000"/>
        </w:rPr>
      </w:pPr>
      <w:r>
        <w:rPr>
          <w:rFonts w:ascii="Monotype Corsiva" w:hAnsi="Monotype Corsiva"/>
          <w:color w:val="000000"/>
        </w:rPr>
        <w:t xml:space="preserve">             </w:t>
      </w:r>
      <w:r w:rsidRPr="00750F6C">
        <w:rPr>
          <w:rFonts w:ascii="Monotype Corsiva" w:hAnsi="Monotype Corsiva"/>
          <w:color w:val="000000"/>
        </w:rPr>
        <w:t>Przewodniczący</w:t>
      </w:r>
    </w:p>
    <w:p w:rsidR="00AC0818" w:rsidRPr="00750F6C" w:rsidRDefault="00AC0818" w:rsidP="00AC0818">
      <w:pPr>
        <w:shd w:val="clear" w:color="auto" w:fill="FFFFFF"/>
        <w:spacing w:after="0" w:line="240" w:lineRule="auto"/>
        <w:ind w:left="4320" w:right="11" w:firstLine="720"/>
        <w:jc w:val="both"/>
        <w:rPr>
          <w:rFonts w:ascii="Monotype Corsiva" w:hAnsi="Monotype Corsiva"/>
          <w:color w:val="000000"/>
        </w:rPr>
      </w:pPr>
      <w:r w:rsidRPr="00750F6C">
        <w:rPr>
          <w:rFonts w:ascii="Monotype Corsiva" w:hAnsi="Monotype Corsiva"/>
          <w:color w:val="000000"/>
        </w:rPr>
        <w:t xml:space="preserve">       Komisji Przetargowej</w:t>
      </w:r>
    </w:p>
    <w:p w:rsidR="00AC0818" w:rsidRPr="00750F6C" w:rsidRDefault="00AC0818" w:rsidP="00AC0818">
      <w:pPr>
        <w:shd w:val="clear" w:color="auto" w:fill="FFFFFF"/>
        <w:spacing w:after="0" w:line="240" w:lineRule="auto"/>
        <w:ind w:right="11"/>
        <w:jc w:val="both"/>
        <w:rPr>
          <w:rFonts w:ascii="Monotype Corsiva" w:hAnsi="Monotype Corsiva"/>
          <w:color w:val="000000"/>
        </w:rPr>
      </w:pPr>
      <w:r w:rsidRPr="00750F6C">
        <w:rPr>
          <w:rFonts w:ascii="Monotype Corsiva" w:hAnsi="Monotype Corsiva"/>
          <w:color w:val="000000"/>
        </w:rPr>
        <w:tab/>
      </w:r>
      <w:r w:rsidRPr="00750F6C">
        <w:rPr>
          <w:rFonts w:ascii="Monotype Corsiva" w:hAnsi="Monotype Corsiva"/>
          <w:color w:val="000000"/>
        </w:rPr>
        <w:tab/>
      </w:r>
      <w:r w:rsidRPr="00750F6C">
        <w:rPr>
          <w:rFonts w:ascii="Monotype Corsiva" w:hAnsi="Monotype Corsiva"/>
          <w:color w:val="000000"/>
        </w:rPr>
        <w:tab/>
      </w:r>
      <w:r>
        <w:rPr>
          <w:rFonts w:ascii="Monotype Corsiva" w:hAnsi="Monotype Corsiva"/>
          <w:color w:val="000000"/>
        </w:rPr>
        <w:tab/>
      </w:r>
      <w:r>
        <w:rPr>
          <w:rFonts w:ascii="Monotype Corsiva" w:hAnsi="Monotype Corsiva"/>
          <w:color w:val="000000"/>
        </w:rPr>
        <w:tab/>
      </w:r>
      <w:r w:rsidRPr="00750F6C">
        <w:rPr>
          <w:rFonts w:ascii="Monotype Corsiva" w:hAnsi="Monotype Corsiva"/>
          <w:color w:val="000000"/>
        </w:rPr>
        <w:t xml:space="preserve">       </w:t>
      </w:r>
      <w:r>
        <w:rPr>
          <w:rFonts w:ascii="Monotype Corsiva" w:hAnsi="Monotype Corsiva"/>
          <w:color w:val="000000"/>
        </w:rPr>
        <w:t xml:space="preserve">                        </w:t>
      </w:r>
      <w:r w:rsidRPr="00750F6C">
        <w:rPr>
          <w:rFonts w:ascii="Monotype Corsiva" w:hAnsi="Monotype Corsiva"/>
          <w:color w:val="000000"/>
        </w:rPr>
        <w:t xml:space="preserve"> Beata Martyn-Mrozowska</w:t>
      </w:r>
    </w:p>
    <w:p w:rsidR="005D5B2E" w:rsidRPr="00B117B6" w:rsidRDefault="005D5B2E" w:rsidP="00B117B6"/>
    <w:sectPr w:rsidR="005D5B2E" w:rsidRPr="00B117B6" w:rsidSect="00ED04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D9" w:rsidRDefault="005144D9" w:rsidP="00A8421C">
      <w:pPr>
        <w:spacing w:after="0" w:line="240" w:lineRule="auto"/>
      </w:pPr>
      <w:r>
        <w:separator/>
      </w:r>
    </w:p>
  </w:endnote>
  <w:endnote w:type="continuationSeparator" w:id="0">
    <w:p w:rsidR="005144D9" w:rsidRDefault="005144D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3C" w:rsidRDefault="00351A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47" w:rsidRDefault="00D61847" w:rsidP="00D61847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245F4681" wp14:editId="76207E5A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1847" w:rsidRDefault="00D61847" w:rsidP="00D61847">
    <w:pPr>
      <w:pStyle w:val="Stopka"/>
      <w:rPr>
        <w:b/>
        <w:noProof/>
        <w:lang w:eastAsia="pl-PL"/>
      </w:rPr>
    </w:pP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51A3C">
      <w:rPr>
        <w:rFonts w:ascii="Century Gothic" w:hAnsi="Century Gothic"/>
        <w:color w:val="004685"/>
        <w:sz w:val="18"/>
        <w:szCs w:val="18"/>
      </w:rPr>
      <w:t>17</w:t>
    </w:r>
    <w:r w:rsidR="00A31209">
      <w:rPr>
        <w:rFonts w:ascii="Century Gothic" w:hAnsi="Century Gothic"/>
        <w:color w:val="004685"/>
        <w:sz w:val="18"/>
        <w:szCs w:val="18"/>
      </w:rPr>
      <w:t>4</w:t>
    </w:r>
    <w:r w:rsidR="00351A3C">
      <w:rPr>
        <w:rFonts w:ascii="Century Gothic" w:hAnsi="Century Gothic"/>
        <w:color w:val="004685"/>
        <w:sz w:val="18"/>
        <w:szCs w:val="18"/>
      </w:rPr>
      <w:t> </w:t>
    </w:r>
    <w:r w:rsidR="00A31209">
      <w:rPr>
        <w:rFonts w:ascii="Century Gothic" w:hAnsi="Century Gothic"/>
        <w:color w:val="004685"/>
        <w:sz w:val="18"/>
        <w:szCs w:val="18"/>
      </w:rPr>
      <w:t>254</w:t>
    </w:r>
    <w:r w:rsidR="00D72D1D">
      <w:rPr>
        <w:rFonts w:ascii="Century Gothic" w:hAnsi="Century Gothic"/>
        <w:color w:val="004685"/>
        <w:sz w:val="18"/>
        <w:szCs w:val="18"/>
      </w:rPr>
      <w:t xml:space="preserve"> </w:t>
    </w:r>
    <w:r w:rsidR="00A31209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61847" w:rsidRPr="001800AA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840D0" w:rsidRPr="001800AA" w:rsidRDefault="00D840D0" w:rsidP="001C79B9">
    <w:pPr>
      <w:pStyle w:val="Stopka"/>
      <w:rPr>
        <w:rFonts w:ascii="Century Gothic" w:hAnsi="Century Gothic"/>
        <w:color w:val="004685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3C" w:rsidRDefault="00351A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D9" w:rsidRDefault="005144D9" w:rsidP="00A8421C">
      <w:pPr>
        <w:spacing w:after="0" w:line="240" w:lineRule="auto"/>
      </w:pPr>
      <w:r>
        <w:separator/>
      </w:r>
    </w:p>
  </w:footnote>
  <w:footnote w:type="continuationSeparator" w:id="0">
    <w:p w:rsidR="005144D9" w:rsidRDefault="005144D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D0" w:rsidRDefault="00D33E3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7F" w:rsidRPr="00406824" w:rsidRDefault="00D33E3C" w:rsidP="00243A7F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8" type="#_x0000_t75" style="position:absolute;margin-left:0;margin-top:0;width:453.35pt;height:441.9pt;z-index:-25165414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243A7F">
      <w:rPr>
        <w:noProof/>
        <w:lang w:eastAsia="pl-PL"/>
      </w:rPr>
      <w:drawing>
        <wp:inline distT="0" distB="0" distL="0" distR="0" wp14:anchorId="3C9EE25D" wp14:editId="365EF0E3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3A7F">
      <w:t xml:space="preserve">                                                                                     </w:t>
    </w:r>
    <w:r w:rsidR="00D72D1D">
      <w:rPr>
        <w:noProof/>
        <w:lang w:eastAsia="pl-PL"/>
      </w:rPr>
      <w:drawing>
        <wp:inline distT="0" distB="0" distL="0" distR="0" wp14:anchorId="572B7F9E" wp14:editId="3ACBBA59">
          <wp:extent cx="929640" cy="568960"/>
          <wp:effectExtent l="0" t="0" r="381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43A7F">
      <w:tab/>
    </w:r>
  </w:p>
  <w:p w:rsidR="00243A7F" w:rsidRDefault="00243A7F" w:rsidP="00243A7F">
    <w:pPr>
      <w:pStyle w:val="Nagwek"/>
    </w:pPr>
    <w:r>
      <w:tab/>
      <w:t xml:space="preserve"> </w:t>
    </w:r>
  </w:p>
  <w:p w:rsidR="00D840D0" w:rsidRPr="00243A7F" w:rsidRDefault="00243A7F" w:rsidP="00243A7F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C8021C3" wp14:editId="0A9C2C61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D0" w:rsidRDefault="00D33E3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5C0E09BA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Arial Narrow" w:hint="default"/>
        <w:b/>
        <w:bCs/>
        <w:sz w:val="20"/>
        <w:szCs w:val="20"/>
        <w:lang w:eastAsia="zh-CN"/>
      </w:rPr>
    </w:lvl>
  </w:abstractNum>
  <w:abstractNum w:abstractNumId="1">
    <w:nsid w:val="047A7BE4"/>
    <w:multiLevelType w:val="hybridMultilevel"/>
    <w:tmpl w:val="DB7E01A8"/>
    <w:lvl w:ilvl="0" w:tplc="FFD8BD0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275"/>
    <w:multiLevelType w:val="hybridMultilevel"/>
    <w:tmpl w:val="57B08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60EEA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E068B9"/>
    <w:multiLevelType w:val="hybridMultilevel"/>
    <w:tmpl w:val="C4569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F2583"/>
    <w:multiLevelType w:val="hybridMultilevel"/>
    <w:tmpl w:val="23DAD30A"/>
    <w:lvl w:ilvl="0" w:tplc="D85253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243262"/>
    <w:multiLevelType w:val="hybridMultilevel"/>
    <w:tmpl w:val="B8261D2A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4B354AE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65A8F"/>
    <w:multiLevelType w:val="hybridMultilevel"/>
    <w:tmpl w:val="46323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F3726"/>
    <w:multiLevelType w:val="hybridMultilevel"/>
    <w:tmpl w:val="FF0E5438"/>
    <w:lvl w:ilvl="0" w:tplc="520E68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784B5A"/>
    <w:multiLevelType w:val="hybridMultilevel"/>
    <w:tmpl w:val="61B6003C"/>
    <w:lvl w:ilvl="0" w:tplc="789EE67A">
      <w:start w:val="1"/>
      <w:numFmt w:val="decimal"/>
      <w:lvlText w:val="%1)"/>
      <w:lvlJc w:val="left"/>
      <w:pPr>
        <w:ind w:left="394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AC9183B"/>
    <w:multiLevelType w:val="hybridMultilevel"/>
    <w:tmpl w:val="B15EFC8C"/>
    <w:lvl w:ilvl="0" w:tplc="1194CEE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074ED"/>
    <w:multiLevelType w:val="hybridMultilevel"/>
    <w:tmpl w:val="EC700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4DF009F"/>
    <w:multiLevelType w:val="hybridMultilevel"/>
    <w:tmpl w:val="57E0B874"/>
    <w:lvl w:ilvl="0" w:tplc="8A345D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BFDE4D1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75B902B5"/>
    <w:multiLevelType w:val="hybridMultilevel"/>
    <w:tmpl w:val="309A0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D0E9A"/>
    <w:multiLevelType w:val="hybridMultilevel"/>
    <w:tmpl w:val="17E04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85080"/>
    <w:multiLevelType w:val="hybridMultilevel"/>
    <w:tmpl w:val="5D54F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11"/>
  </w:num>
  <w:num w:numId="5">
    <w:abstractNumId w:val="20"/>
  </w:num>
  <w:num w:numId="6">
    <w:abstractNumId w:val="2"/>
  </w:num>
  <w:num w:numId="7">
    <w:abstractNumId w:val="6"/>
  </w:num>
  <w:num w:numId="8">
    <w:abstractNumId w:val="15"/>
  </w:num>
  <w:num w:numId="9">
    <w:abstractNumId w:val="7"/>
  </w:num>
  <w:num w:numId="10">
    <w:abstractNumId w:val="13"/>
  </w:num>
  <w:num w:numId="11">
    <w:abstractNumId w:val="21"/>
  </w:num>
  <w:num w:numId="12">
    <w:abstractNumId w:val="12"/>
  </w:num>
  <w:num w:numId="13">
    <w:abstractNumId w:val="16"/>
  </w:num>
  <w:num w:numId="14">
    <w:abstractNumId w:val="5"/>
  </w:num>
  <w:num w:numId="15">
    <w:abstractNumId w:val="3"/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8"/>
  </w:num>
  <w:num w:numId="21">
    <w:abstractNumId w:val="0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2057"/>
    <w:rsid w:val="00006F83"/>
    <w:rsid w:val="00011B2F"/>
    <w:rsid w:val="0001413C"/>
    <w:rsid w:val="00033F71"/>
    <w:rsid w:val="00045FEE"/>
    <w:rsid w:val="000460AE"/>
    <w:rsid w:val="000510E9"/>
    <w:rsid w:val="00066AAF"/>
    <w:rsid w:val="00067FBE"/>
    <w:rsid w:val="00077236"/>
    <w:rsid w:val="0007788C"/>
    <w:rsid w:val="00080498"/>
    <w:rsid w:val="0008768C"/>
    <w:rsid w:val="00095C8C"/>
    <w:rsid w:val="000A2810"/>
    <w:rsid w:val="000B10B9"/>
    <w:rsid w:val="000E0E4A"/>
    <w:rsid w:val="00101746"/>
    <w:rsid w:val="001035FB"/>
    <w:rsid w:val="00132A28"/>
    <w:rsid w:val="001332A1"/>
    <w:rsid w:val="00133B53"/>
    <w:rsid w:val="00133D3D"/>
    <w:rsid w:val="0014196C"/>
    <w:rsid w:val="00150A0C"/>
    <w:rsid w:val="00162BF4"/>
    <w:rsid w:val="00173D83"/>
    <w:rsid w:val="001800AA"/>
    <w:rsid w:val="0018643E"/>
    <w:rsid w:val="00197D0D"/>
    <w:rsid w:val="00197E5D"/>
    <w:rsid w:val="001B373A"/>
    <w:rsid w:val="001C4DF3"/>
    <w:rsid w:val="001C79B9"/>
    <w:rsid w:val="001D7F6B"/>
    <w:rsid w:val="00211FF0"/>
    <w:rsid w:val="00215EE9"/>
    <w:rsid w:val="0021752C"/>
    <w:rsid w:val="002202C0"/>
    <w:rsid w:val="00221C47"/>
    <w:rsid w:val="00222C86"/>
    <w:rsid w:val="00225FDD"/>
    <w:rsid w:val="002373A1"/>
    <w:rsid w:val="00243A7F"/>
    <w:rsid w:val="002443A4"/>
    <w:rsid w:val="002446AC"/>
    <w:rsid w:val="0024508B"/>
    <w:rsid w:val="00246BDF"/>
    <w:rsid w:val="00262CB0"/>
    <w:rsid w:val="00263E4C"/>
    <w:rsid w:val="00281BD4"/>
    <w:rsid w:val="002854E0"/>
    <w:rsid w:val="00285B49"/>
    <w:rsid w:val="002A10C1"/>
    <w:rsid w:val="002A2B1E"/>
    <w:rsid w:val="002B5E4E"/>
    <w:rsid w:val="002B77C1"/>
    <w:rsid w:val="002D500A"/>
    <w:rsid w:val="002D75AE"/>
    <w:rsid w:val="002E0160"/>
    <w:rsid w:val="0030062F"/>
    <w:rsid w:val="0031028B"/>
    <w:rsid w:val="0031105E"/>
    <w:rsid w:val="00324CDB"/>
    <w:rsid w:val="00341D32"/>
    <w:rsid w:val="003442E4"/>
    <w:rsid w:val="00351A3C"/>
    <w:rsid w:val="00351A4C"/>
    <w:rsid w:val="00375C93"/>
    <w:rsid w:val="00383C94"/>
    <w:rsid w:val="00384105"/>
    <w:rsid w:val="00393AED"/>
    <w:rsid w:val="003946A6"/>
    <w:rsid w:val="00395233"/>
    <w:rsid w:val="003A4641"/>
    <w:rsid w:val="003B6803"/>
    <w:rsid w:val="003C39CE"/>
    <w:rsid w:val="003C3A10"/>
    <w:rsid w:val="003C5078"/>
    <w:rsid w:val="003C6CE5"/>
    <w:rsid w:val="003D4FCB"/>
    <w:rsid w:val="003D68AF"/>
    <w:rsid w:val="003E2DE3"/>
    <w:rsid w:val="003E6A03"/>
    <w:rsid w:val="003E7D4B"/>
    <w:rsid w:val="003F7E5B"/>
    <w:rsid w:val="00406824"/>
    <w:rsid w:val="00422A5E"/>
    <w:rsid w:val="004255C9"/>
    <w:rsid w:val="004325C7"/>
    <w:rsid w:val="0043552F"/>
    <w:rsid w:val="00445CF1"/>
    <w:rsid w:val="004577E4"/>
    <w:rsid w:val="004613BD"/>
    <w:rsid w:val="004776D4"/>
    <w:rsid w:val="0048305F"/>
    <w:rsid w:val="00486803"/>
    <w:rsid w:val="004A68C9"/>
    <w:rsid w:val="004B2A31"/>
    <w:rsid w:val="004B6208"/>
    <w:rsid w:val="004E15A2"/>
    <w:rsid w:val="004E6E14"/>
    <w:rsid w:val="004F3D52"/>
    <w:rsid w:val="004F46A4"/>
    <w:rsid w:val="005144D9"/>
    <w:rsid w:val="00515092"/>
    <w:rsid w:val="005351C7"/>
    <w:rsid w:val="005619D1"/>
    <w:rsid w:val="005624A8"/>
    <w:rsid w:val="00566306"/>
    <w:rsid w:val="005B0E9E"/>
    <w:rsid w:val="005B0FD7"/>
    <w:rsid w:val="005C51D8"/>
    <w:rsid w:val="005D5B2E"/>
    <w:rsid w:val="005D6E3D"/>
    <w:rsid w:val="005E05D9"/>
    <w:rsid w:val="006117CD"/>
    <w:rsid w:val="00615DEC"/>
    <w:rsid w:val="0061625C"/>
    <w:rsid w:val="00623FBC"/>
    <w:rsid w:val="006241AE"/>
    <w:rsid w:val="006348CD"/>
    <w:rsid w:val="00635687"/>
    <w:rsid w:val="00640320"/>
    <w:rsid w:val="00642996"/>
    <w:rsid w:val="00661142"/>
    <w:rsid w:val="006677EA"/>
    <w:rsid w:val="006901C9"/>
    <w:rsid w:val="006A17AA"/>
    <w:rsid w:val="006A1DD8"/>
    <w:rsid w:val="006A6929"/>
    <w:rsid w:val="006B3FF7"/>
    <w:rsid w:val="006B4673"/>
    <w:rsid w:val="006C4001"/>
    <w:rsid w:val="006C6A61"/>
    <w:rsid w:val="006E24B4"/>
    <w:rsid w:val="006E2F97"/>
    <w:rsid w:val="006F0083"/>
    <w:rsid w:val="006F0DC6"/>
    <w:rsid w:val="006F2A8D"/>
    <w:rsid w:val="006F3C2F"/>
    <w:rsid w:val="00720E2D"/>
    <w:rsid w:val="007224A8"/>
    <w:rsid w:val="00742AA6"/>
    <w:rsid w:val="00745054"/>
    <w:rsid w:val="00750442"/>
    <w:rsid w:val="00750C93"/>
    <w:rsid w:val="00750E5E"/>
    <w:rsid w:val="00756EAA"/>
    <w:rsid w:val="00762AF4"/>
    <w:rsid w:val="00763265"/>
    <w:rsid w:val="00766F95"/>
    <w:rsid w:val="0077746A"/>
    <w:rsid w:val="00780734"/>
    <w:rsid w:val="00780FFA"/>
    <w:rsid w:val="00796D0F"/>
    <w:rsid w:val="007A0C6C"/>
    <w:rsid w:val="007A18BC"/>
    <w:rsid w:val="007B0216"/>
    <w:rsid w:val="007B67AF"/>
    <w:rsid w:val="007C3AE5"/>
    <w:rsid w:val="007E5427"/>
    <w:rsid w:val="007F149C"/>
    <w:rsid w:val="008005A1"/>
    <w:rsid w:val="00805696"/>
    <w:rsid w:val="00805C4D"/>
    <w:rsid w:val="00823A25"/>
    <w:rsid w:val="00825EE6"/>
    <w:rsid w:val="00832422"/>
    <w:rsid w:val="00842D50"/>
    <w:rsid w:val="00877639"/>
    <w:rsid w:val="008A36B6"/>
    <w:rsid w:val="008A5BCF"/>
    <w:rsid w:val="008B1842"/>
    <w:rsid w:val="008B4407"/>
    <w:rsid w:val="008C1CF7"/>
    <w:rsid w:val="008C4120"/>
    <w:rsid w:val="008D525F"/>
    <w:rsid w:val="008D65E6"/>
    <w:rsid w:val="008F27F7"/>
    <w:rsid w:val="009009F9"/>
    <w:rsid w:val="00902292"/>
    <w:rsid w:val="00907B07"/>
    <w:rsid w:val="009244A8"/>
    <w:rsid w:val="00946D02"/>
    <w:rsid w:val="00957383"/>
    <w:rsid w:val="009573BB"/>
    <w:rsid w:val="0096428F"/>
    <w:rsid w:val="00964664"/>
    <w:rsid w:val="00997EA2"/>
    <w:rsid w:val="009A4A14"/>
    <w:rsid w:val="009A5B23"/>
    <w:rsid w:val="009B59FD"/>
    <w:rsid w:val="009B6FFE"/>
    <w:rsid w:val="009C5E3C"/>
    <w:rsid w:val="009C70C2"/>
    <w:rsid w:val="009D4522"/>
    <w:rsid w:val="009E7334"/>
    <w:rsid w:val="009F25E5"/>
    <w:rsid w:val="00A15917"/>
    <w:rsid w:val="00A254D8"/>
    <w:rsid w:val="00A31209"/>
    <w:rsid w:val="00A47436"/>
    <w:rsid w:val="00A64E98"/>
    <w:rsid w:val="00A65219"/>
    <w:rsid w:val="00A6681E"/>
    <w:rsid w:val="00A6799E"/>
    <w:rsid w:val="00A76F2F"/>
    <w:rsid w:val="00A77D54"/>
    <w:rsid w:val="00A828D5"/>
    <w:rsid w:val="00A8421C"/>
    <w:rsid w:val="00A90F9F"/>
    <w:rsid w:val="00A928E5"/>
    <w:rsid w:val="00AA37A9"/>
    <w:rsid w:val="00AB7324"/>
    <w:rsid w:val="00AC0818"/>
    <w:rsid w:val="00AC1C57"/>
    <w:rsid w:val="00AE466C"/>
    <w:rsid w:val="00AE74AB"/>
    <w:rsid w:val="00AF7A2E"/>
    <w:rsid w:val="00B117B6"/>
    <w:rsid w:val="00B26757"/>
    <w:rsid w:val="00B277F2"/>
    <w:rsid w:val="00B41945"/>
    <w:rsid w:val="00B62B1D"/>
    <w:rsid w:val="00B65562"/>
    <w:rsid w:val="00B81B0D"/>
    <w:rsid w:val="00B90AE7"/>
    <w:rsid w:val="00B944CD"/>
    <w:rsid w:val="00BA3FA8"/>
    <w:rsid w:val="00BA493F"/>
    <w:rsid w:val="00BA6CC1"/>
    <w:rsid w:val="00BB13E8"/>
    <w:rsid w:val="00BB7320"/>
    <w:rsid w:val="00BC6301"/>
    <w:rsid w:val="00C04237"/>
    <w:rsid w:val="00C13524"/>
    <w:rsid w:val="00C17DB7"/>
    <w:rsid w:val="00C2152B"/>
    <w:rsid w:val="00C21B50"/>
    <w:rsid w:val="00C26C7C"/>
    <w:rsid w:val="00C43D92"/>
    <w:rsid w:val="00C46BCA"/>
    <w:rsid w:val="00C50E4A"/>
    <w:rsid w:val="00C54255"/>
    <w:rsid w:val="00C7052B"/>
    <w:rsid w:val="00C8309E"/>
    <w:rsid w:val="00C860F5"/>
    <w:rsid w:val="00C86C9C"/>
    <w:rsid w:val="00C9043F"/>
    <w:rsid w:val="00C93709"/>
    <w:rsid w:val="00C95077"/>
    <w:rsid w:val="00C96416"/>
    <w:rsid w:val="00CA363E"/>
    <w:rsid w:val="00CA5DA5"/>
    <w:rsid w:val="00CB710D"/>
    <w:rsid w:val="00CC2235"/>
    <w:rsid w:val="00CD674B"/>
    <w:rsid w:val="00CE0ABB"/>
    <w:rsid w:val="00CE5057"/>
    <w:rsid w:val="00CF051A"/>
    <w:rsid w:val="00CF6DAF"/>
    <w:rsid w:val="00CF7D0D"/>
    <w:rsid w:val="00D053D5"/>
    <w:rsid w:val="00D06BA1"/>
    <w:rsid w:val="00D178DC"/>
    <w:rsid w:val="00D335ED"/>
    <w:rsid w:val="00D33E3C"/>
    <w:rsid w:val="00D40471"/>
    <w:rsid w:val="00D43C99"/>
    <w:rsid w:val="00D55976"/>
    <w:rsid w:val="00D61847"/>
    <w:rsid w:val="00D64D41"/>
    <w:rsid w:val="00D71B30"/>
    <w:rsid w:val="00D72D1D"/>
    <w:rsid w:val="00D734F1"/>
    <w:rsid w:val="00D840D0"/>
    <w:rsid w:val="00D9699D"/>
    <w:rsid w:val="00D977BB"/>
    <w:rsid w:val="00D97B4A"/>
    <w:rsid w:val="00DB1FA8"/>
    <w:rsid w:val="00DE0FB3"/>
    <w:rsid w:val="00DF0754"/>
    <w:rsid w:val="00DF2D45"/>
    <w:rsid w:val="00DF5BD6"/>
    <w:rsid w:val="00E061E4"/>
    <w:rsid w:val="00E06D1C"/>
    <w:rsid w:val="00E2292A"/>
    <w:rsid w:val="00E33C41"/>
    <w:rsid w:val="00E41777"/>
    <w:rsid w:val="00E46C36"/>
    <w:rsid w:val="00E529F9"/>
    <w:rsid w:val="00E56C21"/>
    <w:rsid w:val="00E56F2A"/>
    <w:rsid w:val="00E6705F"/>
    <w:rsid w:val="00E73AF5"/>
    <w:rsid w:val="00E81B0A"/>
    <w:rsid w:val="00E9101B"/>
    <w:rsid w:val="00E9243B"/>
    <w:rsid w:val="00EA509E"/>
    <w:rsid w:val="00EB58E7"/>
    <w:rsid w:val="00EC17E8"/>
    <w:rsid w:val="00EC72F1"/>
    <w:rsid w:val="00ED0418"/>
    <w:rsid w:val="00ED3149"/>
    <w:rsid w:val="00EF4682"/>
    <w:rsid w:val="00F029A3"/>
    <w:rsid w:val="00F11E2B"/>
    <w:rsid w:val="00F1462D"/>
    <w:rsid w:val="00F14EC8"/>
    <w:rsid w:val="00F16DFA"/>
    <w:rsid w:val="00F53986"/>
    <w:rsid w:val="00F60121"/>
    <w:rsid w:val="00F611DC"/>
    <w:rsid w:val="00F61656"/>
    <w:rsid w:val="00F76029"/>
    <w:rsid w:val="00F90DFF"/>
    <w:rsid w:val="00F9353B"/>
    <w:rsid w:val="00FA3A2F"/>
    <w:rsid w:val="00FA47BE"/>
    <w:rsid w:val="00FA5EB6"/>
    <w:rsid w:val="00FA7920"/>
    <w:rsid w:val="00FB52CF"/>
    <w:rsid w:val="00FB57A8"/>
    <w:rsid w:val="00FC10CC"/>
    <w:rsid w:val="00FC36E3"/>
    <w:rsid w:val="00FD0F1A"/>
    <w:rsid w:val="00FE0827"/>
    <w:rsid w:val="00FE25DE"/>
    <w:rsid w:val="00FE406F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F8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904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0772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76D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76D4"/>
    <w:rPr>
      <w:rFonts w:ascii="Times New Roman" w:eastAsia="Times New Roman" w:hAnsi="Times New Roman"/>
      <w:sz w:val="24"/>
      <w:szCs w:val="24"/>
    </w:rPr>
  </w:style>
  <w:style w:type="paragraph" w:customStyle="1" w:styleId="ZnakZnak14">
    <w:name w:val="Znak Znak14"/>
    <w:basedOn w:val="Normalny"/>
    <w:rsid w:val="00D4047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40">
    <w:name w:val="Znak Znak14"/>
    <w:basedOn w:val="Normalny"/>
    <w:rsid w:val="00197D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117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750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27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27F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F8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904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0772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76D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76D4"/>
    <w:rPr>
      <w:rFonts w:ascii="Times New Roman" w:eastAsia="Times New Roman" w:hAnsi="Times New Roman"/>
      <w:sz w:val="24"/>
      <w:szCs w:val="24"/>
    </w:rPr>
  </w:style>
  <w:style w:type="paragraph" w:customStyle="1" w:styleId="ZnakZnak14">
    <w:name w:val="Znak Znak14"/>
    <w:basedOn w:val="Normalny"/>
    <w:rsid w:val="00D4047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40">
    <w:name w:val="Znak Znak14"/>
    <w:basedOn w:val="Normalny"/>
    <w:rsid w:val="00197D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117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750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27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27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147A-AF37-45AB-A2E1-57F3EEBC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1470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Ewa Szczęsna</cp:lastModifiedBy>
  <cp:revision>10</cp:revision>
  <cp:lastPrinted>2021-10-18T06:32:00Z</cp:lastPrinted>
  <dcterms:created xsi:type="dcterms:W3CDTF">2021-10-15T09:41:00Z</dcterms:created>
  <dcterms:modified xsi:type="dcterms:W3CDTF">2021-10-18T06:32:00Z</dcterms:modified>
</cp:coreProperties>
</file>