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9BE95" w14:textId="77777777"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14:paraId="28DA8A0D" w14:textId="77777777" w:rsidTr="00056CB3">
        <w:tc>
          <w:tcPr>
            <w:tcW w:w="4792" w:type="dxa"/>
            <w:shd w:val="clear" w:color="auto" w:fill="auto"/>
          </w:tcPr>
          <w:p w14:paraId="7DB12979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109114E0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EEE2CC" w14:textId="77777777"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7F904B" w14:textId="77777777"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CF3B1B" w14:textId="0B5B588D" w:rsidR="008B3B96" w:rsidRPr="008B3B96" w:rsidRDefault="008B3B96" w:rsidP="008B3B9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8B3B96">
        <w:rPr>
          <w:rFonts w:ascii="Georgia" w:hAnsi="Georgia" w:cstheme="minorHAnsi"/>
          <w:b/>
          <w:bCs/>
          <w:sz w:val="32"/>
          <w:szCs w:val="32"/>
        </w:rPr>
        <w:t xml:space="preserve">UMOWA NR </w:t>
      </w:r>
      <w:r>
        <w:rPr>
          <w:rFonts w:ascii="Georgia" w:hAnsi="Georgia" w:cstheme="minorHAnsi"/>
          <w:b/>
          <w:bCs/>
          <w:sz w:val="32"/>
          <w:szCs w:val="32"/>
        </w:rPr>
        <w:t>…………</w:t>
      </w:r>
      <w:r w:rsidRPr="008B3B96">
        <w:rPr>
          <w:rFonts w:ascii="Georgia" w:hAnsi="Georgia" w:cstheme="minorHAnsi"/>
          <w:b/>
          <w:bCs/>
          <w:sz w:val="32"/>
          <w:szCs w:val="32"/>
        </w:rPr>
        <w:t>/</w:t>
      </w:r>
      <w:proofErr w:type="spellStart"/>
      <w:r w:rsidRPr="008B3B96">
        <w:rPr>
          <w:rFonts w:ascii="Georgia" w:hAnsi="Georgia" w:cstheme="minorHAnsi"/>
          <w:b/>
          <w:bCs/>
          <w:sz w:val="32"/>
          <w:szCs w:val="32"/>
        </w:rPr>
        <w:t>DKw</w:t>
      </w:r>
      <w:proofErr w:type="spellEnd"/>
      <w:r w:rsidRPr="008B3B96">
        <w:rPr>
          <w:rFonts w:ascii="Georgia" w:hAnsi="Georgia" w:cstheme="minorHAnsi"/>
          <w:b/>
          <w:bCs/>
          <w:sz w:val="32"/>
          <w:szCs w:val="32"/>
        </w:rPr>
        <w:t>/20</w:t>
      </w:r>
      <w:r w:rsidR="00ED25C4">
        <w:rPr>
          <w:rFonts w:ascii="Georgia" w:hAnsi="Georgia" w:cstheme="minorHAnsi"/>
          <w:b/>
          <w:bCs/>
          <w:sz w:val="32"/>
          <w:szCs w:val="32"/>
        </w:rPr>
        <w:t>24</w:t>
      </w:r>
    </w:p>
    <w:p w14:paraId="4A1B3494" w14:textId="77777777" w:rsidR="008B3B96" w:rsidRDefault="008B3B96" w:rsidP="004337E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CF8D5" w14:textId="7FBC13A2" w:rsidR="008B3B96" w:rsidRPr="008B3B96" w:rsidRDefault="008B3B96" w:rsidP="004337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ED25C4">
        <w:rPr>
          <w:rFonts w:asciiTheme="minorHAnsi" w:hAnsiTheme="minorHAnsi" w:cstheme="minorHAnsi"/>
          <w:sz w:val="24"/>
          <w:szCs w:val="24"/>
        </w:rPr>
        <w:t>……………………………..2024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14:paraId="532A327A" w14:textId="77777777" w:rsidR="004337E7" w:rsidRDefault="008B3B96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Skarbem Państwa – </w:t>
      </w:r>
      <w:r w:rsidR="006D7C40"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>Dyrektorem Aresztu</w:t>
      </w:r>
      <w:r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Śledcz</w:t>
      </w:r>
      <w:r w:rsidR="006D7C40"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>ego</w:t>
      </w:r>
      <w:r w:rsidRPr="00B04875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5C960A8B" w14:textId="16A64FA0" w:rsidR="004337E7" w:rsidRDefault="00ED25C4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</w:t>
      </w:r>
      <w:r w:rsidR="004337E7">
        <w:rPr>
          <w:rFonts w:asciiTheme="minorHAnsi" w:hAnsiTheme="minorHAnsi" w:cstheme="minorHAnsi"/>
          <w:b/>
          <w:sz w:val="24"/>
          <w:szCs w:val="24"/>
          <w:lang w:eastAsia="ar-SA"/>
        </w:rPr>
        <w:t>płk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="004337E7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Robertem Piwko </w:t>
      </w:r>
    </w:p>
    <w:p w14:paraId="3CA2C41E" w14:textId="446C18F8" w:rsidR="008B3B96" w:rsidRPr="004337E7" w:rsidRDefault="008B3B96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 siedzibą przy ul. Wolanowskiej 120 , 26-600 Radom, </w:t>
      </w:r>
    </w:p>
    <w:p w14:paraId="4B4A8A57" w14:textId="77777777" w:rsidR="008B3B96" w:rsidRDefault="008B3B96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0206B3FF" w14:textId="77777777" w:rsidR="004337E7" w:rsidRDefault="004337E7" w:rsidP="004337E7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67A59C4" w14:textId="77777777" w:rsidR="008B3B96" w:rsidRPr="008B3B96" w:rsidRDefault="008B3B96" w:rsidP="004337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29CCD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70D65430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6968AF0B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NIP: …………………………………………….., REGON: ……………………………………………..,</w:t>
      </w:r>
    </w:p>
    <w:p w14:paraId="701031B4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Wykonawcą,</w:t>
      </w:r>
    </w:p>
    <w:p w14:paraId="384FB822" w14:textId="77777777" w:rsidR="002E3D97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  <w:r>
        <w:rPr>
          <w:rFonts w:asciiTheme="minorHAnsi" w:hAnsiTheme="minorHAnsi" w:cstheme="minorHAnsi"/>
          <w:b/>
        </w:rPr>
        <w:t>:</w:t>
      </w:r>
    </w:p>
    <w:p w14:paraId="6557C000" w14:textId="77777777" w:rsidR="002E3D97" w:rsidRPr="00E07FAF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14:paraId="722F3937" w14:textId="33708632" w:rsidR="00802AAD" w:rsidRPr="00E07FAF" w:rsidRDefault="002E3D97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BC59C6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BC59C6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63677C10" w14:textId="77777777" w:rsidR="0074063F" w:rsidRPr="0074063F" w:rsidRDefault="0074063F" w:rsidP="0074063F">
      <w:pPr>
        <w:widowControl w:val="0"/>
        <w:suppressAutoHyphens/>
        <w:spacing w:after="0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140F6DBF" w14:textId="7915FC74" w:rsidR="0074063F" w:rsidRPr="0074063F" w:rsidRDefault="0074063F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74063F">
        <w:rPr>
          <w:rFonts w:eastAsia="SimSun" w:cs="Mangal"/>
          <w:b/>
          <w:kern w:val="1"/>
          <w:lang w:eastAsia="hi-IN" w:bidi="hi-IN"/>
        </w:rPr>
        <w:t>§ 1</w:t>
      </w:r>
      <w:r w:rsidR="00E55C4E">
        <w:rPr>
          <w:rFonts w:eastAsia="SimSun" w:cs="Mangal"/>
          <w:b/>
          <w:kern w:val="1"/>
          <w:lang w:eastAsia="hi-IN" w:bidi="hi-IN"/>
        </w:rPr>
        <w:t>.</w:t>
      </w:r>
    </w:p>
    <w:p w14:paraId="2EF1FC7F" w14:textId="5C8B092A" w:rsidR="0074063F" w:rsidRPr="0074063F" w:rsidRDefault="0074063F" w:rsidP="00E55C4E">
      <w:pPr>
        <w:widowControl w:val="0"/>
        <w:suppressAutoHyphens/>
        <w:spacing w:after="0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 xml:space="preserve">Zamawiający powierza Wykonawcy wykonywanie okularów korekcyjnych dla osadzonych </w:t>
      </w:r>
      <w:r w:rsidR="00E55C4E">
        <w:rPr>
          <w:rFonts w:eastAsia="SimSun" w:cs="Mangal"/>
          <w:kern w:val="1"/>
          <w:lang w:eastAsia="hi-IN" w:bidi="hi-IN"/>
        </w:rPr>
        <w:br/>
      </w:r>
      <w:r w:rsidRPr="0074063F">
        <w:rPr>
          <w:rFonts w:eastAsia="SimSun" w:cs="Mangal"/>
          <w:kern w:val="1"/>
          <w:lang w:eastAsia="hi-IN" w:bidi="hi-IN"/>
        </w:rPr>
        <w:t xml:space="preserve">w </w:t>
      </w:r>
      <w:r w:rsidR="00E55C4E">
        <w:rPr>
          <w:rFonts w:eastAsia="SimSun" w:cs="Mangal"/>
          <w:kern w:val="1"/>
          <w:lang w:eastAsia="hi-IN" w:bidi="hi-IN"/>
        </w:rPr>
        <w:t>Areszcie Śledczym w Radomiu, ul. Wolanowska 120, 26-600 Radom</w:t>
      </w:r>
    </w:p>
    <w:p w14:paraId="14707240" w14:textId="77777777" w:rsidR="0074063F" w:rsidRDefault="0074063F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5123924B" w14:textId="77777777" w:rsidR="00E55C4E" w:rsidRDefault="00E55C4E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5CB0220F" w14:textId="77777777" w:rsidR="00E55C4E" w:rsidRDefault="00E55C4E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6C1778FB" w14:textId="77777777" w:rsidR="00E55C4E" w:rsidRDefault="00E55C4E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5B8925B9" w14:textId="77777777" w:rsidR="00E55C4E" w:rsidRDefault="00E55C4E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377923D1" w14:textId="77777777" w:rsidR="00E55C4E" w:rsidRDefault="00E55C4E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3D5FDB33" w14:textId="77777777" w:rsidR="00E55C4E" w:rsidRPr="0074063F" w:rsidRDefault="00E55C4E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</w:p>
    <w:p w14:paraId="38DBBA1F" w14:textId="5CEB7CE7" w:rsidR="0074063F" w:rsidRPr="0074063F" w:rsidRDefault="0074063F" w:rsidP="0074063F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1"/>
          <w:lang w:eastAsia="hi-IN" w:bidi="hi-IN"/>
        </w:rPr>
      </w:pPr>
      <w:r w:rsidRPr="0074063F">
        <w:rPr>
          <w:rFonts w:eastAsia="SimSun" w:cs="Mangal"/>
          <w:b/>
          <w:kern w:val="1"/>
          <w:lang w:eastAsia="hi-IN" w:bidi="hi-IN"/>
        </w:rPr>
        <w:lastRenderedPageBreak/>
        <w:t>§ 2</w:t>
      </w:r>
      <w:r w:rsidR="00E55C4E">
        <w:rPr>
          <w:rFonts w:eastAsia="SimSun" w:cs="Mangal"/>
          <w:b/>
          <w:kern w:val="1"/>
          <w:lang w:eastAsia="hi-IN" w:bidi="hi-IN"/>
        </w:rPr>
        <w:t>.</w:t>
      </w:r>
    </w:p>
    <w:p w14:paraId="60800BEE" w14:textId="77777777" w:rsidR="0074063F" w:rsidRPr="0074063F" w:rsidRDefault="0074063F" w:rsidP="0074063F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 xml:space="preserve">Świadczenia będące przedmiotem umowy, o których mowa w </w:t>
      </w:r>
      <w:r w:rsidRPr="0074063F">
        <w:rPr>
          <w:rFonts w:eastAsia="SimSun" w:cs="Arial"/>
          <w:kern w:val="1"/>
          <w:lang w:eastAsia="hi-IN" w:bidi="hi-IN"/>
        </w:rPr>
        <w:t>§</w:t>
      </w:r>
      <w:r w:rsidRPr="0074063F">
        <w:rPr>
          <w:rFonts w:eastAsia="SimSun" w:cs="Mangal"/>
          <w:kern w:val="1"/>
          <w:lang w:eastAsia="hi-IN" w:bidi="hi-IN"/>
        </w:rPr>
        <w:t xml:space="preserve"> 1 obejmują szacunkowo następujące ilości:</w:t>
      </w:r>
    </w:p>
    <w:p w14:paraId="2B568D0B" w14:textId="77777777" w:rsidR="0074063F" w:rsidRPr="0074063F" w:rsidRDefault="0074063F" w:rsidP="0074063F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05"/>
        <w:gridCol w:w="958"/>
        <w:gridCol w:w="1273"/>
        <w:gridCol w:w="1732"/>
      </w:tblGrid>
      <w:tr w:rsidR="0074063F" w:rsidRPr="0074063F" w14:paraId="457EFED8" w14:textId="77777777" w:rsidTr="000D0AE0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A1D5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L.p.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31E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Produkt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AE77" w14:textId="5D4D8D11" w:rsidR="0074063F" w:rsidRPr="0074063F" w:rsidRDefault="0074063F" w:rsidP="00E55C4E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Szacunkowa ilość </w:t>
            </w: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br/>
              <w:t xml:space="preserve">na </w:t>
            </w:r>
            <w:r w:rsidR="00E55C4E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okres 12 miesięcy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D987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 xml:space="preserve">Cena brutto </w:t>
            </w: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br/>
              <w:t>za 1 j.m.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921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b/>
                <w:bCs/>
                <w:color w:val="000000"/>
                <w:kern w:val="1"/>
                <w:sz w:val="16"/>
                <w:szCs w:val="16"/>
                <w:lang w:eastAsia="pl-PL" w:bidi="hi-IN"/>
              </w:rPr>
              <w:t>Wartość brutto w skali całego zamówienia (wartość z kolumny 4 x wartość z kolumny 3)</w:t>
            </w:r>
          </w:p>
        </w:tc>
      </w:tr>
      <w:tr w:rsidR="0074063F" w:rsidRPr="0074063F" w14:paraId="7D97C7E0" w14:textId="77777777" w:rsidTr="000D0AE0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85BA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192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FF14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F38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FB9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</w:tr>
      <w:tr w:rsidR="0074063F" w:rsidRPr="0074063F" w14:paraId="2168FDFB" w14:textId="77777777" w:rsidTr="00E55C4E">
        <w:trPr>
          <w:trHeight w:val="10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DD40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CA47" w14:textId="5E91F93F" w:rsidR="0074063F" w:rsidRPr="0074063F" w:rsidRDefault="00D9232B" w:rsidP="0074063F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Okulary korekcyjne</w:t>
            </w:r>
            <w:r w:rsidR="0074063F"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do dali lub do </w:t>
            </w:r>
            <w:proofErr w:type="spellStart"/>
            <w:r w:rsidR="0074063F"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bliży</w:t>
            </w:r>
            <w:proofErr w:type="spellEnd"/>
            <w:r w:rsidR="0074063F"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(zakres magazynowy).</w:t>
            </w:r>
          </w:p>
          <w:p w14:paraId="7D33BA17" w14:textId="7218D0CE" w:rsidR="0074063F" w:rsidRPr="0074063F" w:rsidRDefault="0074063F" w:rsidP="0074063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Wykonane okulary mają składać się z: oprawki plastikowej oraz kompletu soczewek plastikowych </w:t>
            </w:r>
            <w:r w:rsidR="00E55C4E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z powłoką HARD 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z podstawowego zakresu mocy okularowych.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FC51" w14:textId="3D0F6D17" w:rsidR="0074063F" w:rsidRPr="0074063F" w:rsidRDefault="00E55C4E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60</w:t>
            </w:r>
            <w:r w:rsidR="0074063F"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</w:t>
            </w:r>
            <w:r w:rsidR="0074063F"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highlight w:val="yellow"/>
                <w:lang w:eastAsia="pl-PL" w:bidi="hi-IN"/>
              </w:rPr>
              <w:t>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1ED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140D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74063F" w:rsidRPr="0074063F" w14:paraId="247B744A" w14:textId="77777777" w:rsidTr="00E55C4E">
        <w:trPr>
          <w:trHeight w:val="1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560E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490C" w14:textId="77777777" w:rsidR="0074063F" w:rsidRPr="0074063F" w:rsidRDefault="0074063F" w:rsidP="0074063F">
            <w:pPr>
              <w:widowControl w:val="0"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Okulary korekcyjne do dali lub do </w:t>
            </w:r>
            <w:proofErr w:type="spellStart"/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bliży</w:t>
            </w:r>
            <w:proofErr w:type="spellEnd"/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(zakres magazynowo - recepturowy)</w:t>
            </w:r>
          </w:p>
          <w:p w14:paraId="46ED5C20" w14:textId="27E39F77" w:rsidR="0074063F" w:rsidRPr="0074063F" w:rsidRDefault="0074063F" w:rsidP="0074063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 w:rsidR="00E55C4E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jedna soczewka jest z zakresu magazynowego (zakres podstawowy), a druga ze względu na duże moce lub niestandardowe parametry z recepty pacjenta jest produkowana na indywidualne zamówienie według recepty okularowej pacjenta.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0C1" w14:textId="13D8F349" w:rsidR="0074063F" w:rsidRPr="0074063F" w:rsidRDefault="00E55C4E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="0074063F"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986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000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74063F" w:rsidRPr="0074063F" w14:paraId="43E836C5" w14:textId="77777777" w:rsidTr="00E55C4E">
        <w:trPr>
          <w:trHeight w:val="12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1120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D516" w14:textId="77777777" w:rsidR="0074063F" w:rsidRPr="0074063F" w:rsidRDefault="0074063F" w:rsidP="0074063F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Okulary korekcyjne do dali lub do </w:t>
            </w:r>
            <w:proofErr w:type="spellStart"/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bliży</w:t>
            </w:r>
            <w:proofErr w:type="spellEnd"/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(zakres recepturowy)</w:t>
            </w:r>
          </w:p>
          <w:p w14:paraId="17358C61" w14:textId="1297FC28" w:rsidR="0074063F" w:rsidRPr="0074063F" w:rsidRDefault="0074063F" w:rsidP="0074063F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 w:rsidR="00E55C4E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obie soczewki ze względu na duże moce lub niestandardowe parametry z recepty pacjenta są produkowane na indywidualne zamówienie według recepty okularowej pacjenta.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17A" w14:textId="6269627C" w:rsidR="0074063F" w:rsidRPr="0074063F" w:rsidRDefault="00E55C4E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="0074063F"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706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4D7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74063F" w:rsidRPr="0074063F" w14:paraId="094EB66A" w14:textId="77777777" w:rsidTr="00E55C4E">
        <w:trPr>
          <w:trHeight w:val="14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F52A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1EAE" w14:textId="77777777" w:rsidR="0074063F" w:rsidRPr="0074063F" w:rsidRDefault="0074063F" w:rsidP="0074063F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Okulary korekcyjne do dali lub do </w:t>
            </w:r>
            <w:proofErr w:type="spellStart"/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bliży</w:t>
            </w:r>
            <w:proofErr w:type="spellEnd"/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(zakres recepturowy, soczewka z cieńszego materiału)</w:t>
            </w:r>
          </w:p>
          <w:p w14:paraId="0698CB90" w14:textId="310419A1" w:rsidR="0074063F" w:rsidRPr="0074063F" w:rsidRDefault="0074063F" w:rsidP="0074063F">
            <w:pPr>
              <w:widowControl w:val="0"/>
              <w:suppressAutoHyphens/>
              <w:spacing w:after="0" w:line="240" w:lineRule="auto"/>
              <w:jc w:val="both"/>
              <w:rPr>
                <w:rFonts w:asciiTheme="minorHAnsi" w:eastAsia="SimSun" w:hAnsiTheme="minorHAnsi" w:cs="Arial"/>
                <w:kern w:val="1"/>
                <w:sz w:val="20"/>
                <w:szCs w:val="20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Wykonane okulary mają składać z: oprawki plastikowej oraz kompletu soczewek plastikowych</w:t>
            </w:r>
            <w:r w:rsidR="0096163E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 xml:space="preserve"> z powłoką HARD</w:t>
            </w:r>
            <w:r w:rsidRPr="0074063F">
              <w:rPr>
                <w:rFonts w:asciiTheme="minorHAnsi" w:eastAsia="SimSun" w:hAnsiTheme="minorHAnsi" w:cs="Mangal"/>
                <w:kern w:val="1"/>
                <w:sz w:val="20"/>
                <w:szCs w:val="20"/>
                <w:lang w:eastAsia="hi-IN" w:bidi="hi-IN"/>
              </w:rPr>
              <w:t>, przy czym obie soczewki ze względu na szczególnie duże moce są produkowane na indywidualne zamówienie według recepty okularowej pacjenta oraz z zastosowaniem cieńszego materiału (soczewki indeksowane).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F854" w14:textId="0A161AE5" w:rsidR="0074063F" w:rsidRPr="0074063F" w:rsidRDefault="0096163E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</w:pPr>
            <w:r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>5</w:t>
            </w:r>
            <w:r w:rsidR="0074063F" w:rsidRPr="0074063F">
              <w:rPr>
                <w:rFonts w:asciiTheme="minorHAnsi" w:eastAsia="Times New Roman" w:hAnsiTheme="minorHAnsi" w:cs="Mangal"/>
                <w:color w:val="000000"/>
                <w:kern w:val="1"/>
                <w:sz w:val="20"/>
                <w:szCs w:val="20"/>
                <w:lang w:eastAsia="pl-PL" w:bidi="hi-IN"/>
              </w:rPr>
              <w:t xml:space="preserve"> par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E03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E94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74063F" w:rsidRPr="0074063F" w14:paraId="6C506DB4" w14:textId="77777777" w:rsidTr="000D0AE0">
        <w:trPr>
          <w:trHeight w:val="720"/>
          <w:jc w:val="center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B8C166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5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E02511" w14:textId="77777777" w:rsidR="0074063F" w:rsidRPr="0074063F" w:rsidRDefault="0074063F" w:rsidP="0074063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56FAF429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="Mangal"/>
                <w:color w:val="000000"/>
                <w:kern w:val="1"/>
                <w:sz w:val="16"/>
                <w:szCs w:val="16"/>
                <w:lang w:eastAsia="pl-PL" w:bidi="hi-IN"/>
              </w:rPr>
            </w:pP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14:paraId="7475B3D0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  <w:r w:rsidRPr="0074063F"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  <w:t>RAZEM: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A7B" w14:textId="77777777" w:rsidR="0074063F" w:rsidRPr="0074063F" w:rsidRDefault="0074063F" w:rsidP="0074063F">
            <w:pPr>
              <w:widowControl w:val="0"/>
              <w:spacing w:after="0" w:line="240" w:lineRule="auto"/>
              <w:jc w:val="center"/>
              <w:rPr>
                <w:rFonts w:asciiTheme="minorHAnsi" w:eastAsia="SimSun" w:hAnsiTheme="minorHAnsi" w:cs="Mangal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648D773E" w14:textId="77777777" w:rsidR="0074063F" w:rsidRPr="0074063F" w:rsidRDefault="0074063F" w:rsidP="0074063F">
      <w:pPr>
        <w:widowControl w:val="0"/>
        <w:suppressAutoHyphens/>
        <w:spacing w:after="0" w:line="240" w:lineRule="auto"/>
        <w:jc w:val="both"/>
        <w:rPr>
          <w:rFonts w:eastAsia="SimSun" w:cs="Mangal"/>
          <w:kern w:val="1"/>
          <w:lang w:eastAsia="hi-IN" w:bidi="hi-IN"/>
        </w:rPr>
      </w:pPr>
    </w:p>
    <w:p w14:paraId="2224723F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</w:p>
    <w:p w14:paraId="6B3FA3DD" w14:textId="33FE8A16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b/>
          <w:kern w:val="1"/>
          <w:lang w:eastAsia="hi-IN" w:bidi="hi-IN"/>
        </w:rPr>
        <w:t>§ 3</w:t>
      </w:r>
      <w:r w:rsidR="00C238A4">
        <w:rPr>
          <w:rFonts w:eastAsia="SimSun" w:cs="Mangal"/>
          <w:b/>
          <w:kern w:val="1"/>
          <w:lang w:eastAsia="hi-IN" w:bidi="hi-IN"/>
        </w:rPr>
        <w:t>.</w:t>
      </w:r>
    </w:p>
    <w:p w14:paraId="037E5258" w14:textId="77777777" w:rsidR="0074063F" w:rsidRPr="0074063F" w:rsidRDefault="0074063F" w:rsidP="00913200">
      <w:pPr>
        <w:widowControl w:val="0"/>
        <w:numPr>
          <w:ilvl w:val="0"/>
          <w:numId w:val="33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Wymienione w § 2 okulary objęte są co najmniej 1 roczną gwarancją.</w:t>
      </w:r>
    </w:p>
    <w:p w14:paraId="2029B397" w14:textId="0EDF3F46" w:rsidR="0074063F" w:rsidRPr="0074063F" w:rsidRDefault="0074063F" w:rsidP="00913200">
      <w:pPr>
        <w:widowControl w:val="0"/>
        <w:numPr>
          <w:ilvl w:val="0"/>
          <w:numId w:val="33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Wymienione w § 2 okulary będą wykonywane na podstawie recept wystaw</w:t>
      </w:r>
      <w:r w:rsidR="00913200">
        <w:rPr>
          <w:rFonts w:eastAsia="SimSun" w:cs="Mangal"/>
          <w:kern w:val="1"/>
          <w:lang w:eastAsia="hi-IN" w:bidi="hi-IN"/>
        </w:rPr>
        <w:t xml:space="preserve">ianych przez zatrudnionego </w:t>
      </w:r>
      <w:r w:rsidRPr="0074063F">
        <w:rPr>
          <w:rFonts w:eastAsia="SimSun" w:cs="Mangal"/>
          <w:kern w:val="1"/>
          <w:lang w:eastAsia="hi-IN" w:bidi="hi-IN"/>
        </w:rPr>
        <w:t>u</w:t>
      </w:r>
      <w:r w:rsidR="00E03A9F">
        <w:rPr>
          <w:rFonts w:eastAsia="SimSun" w:cs="Mangal"/>
          <w:kern w:val="1"/>
          <w:lang w:eastAsia="hi-IN" w:bidi="hi-IN"/>
        </w:rPr>
        <w:t xml:space="preserve"> Zamawiającego lekarza okulistę</w:t>
      </w:r>
      <w:r w:rsidR="00B84504">
        <w:rPr>
          <w:rFonts w:eastAsia="SimSun" w:cs="Mangal"/>
          <w:kern w:val="1"/>
          <w:lang w:eastAsia="hi-IN" w:bidi="hi-IN"/>
        </w:rPr>
        <w:t xml:space="preserve"> w terminie do 10 dni roboczych od dnia dostarczenia recept do Wykonawcy.</w:t>
      </w:r>
      <w:bookmarkStart w:id="0" w:name="_GoBack"/>
      <w:bookmarkEnd w:id="0"/>
    </w:p>
    <w:p w14:paraId="7ADB757A" w14:textId="77777777" w:rsidR="0074063F" w:rsidRPr="0074063F" w:rsidRDefault="0074063F" w:rsidP="00913200">
      <w:pPr>
        <w:widowControl w:val="0"/>
        <w:numPr>
          <w:ilvl w:val="0"/>
          <w:numId w:val="33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Zamawiający dostarczy we własnym zakresie recepty do siedziby Wykonawcy, oraz odbierze wykonane okulary.</w:t>
      </w:r>
    </w:p>
    <w:p w14:paraId="5036D06A" w14:textId="77777777" w:rsidR="0074063F" w:rsidRPr="0074063F" w:rsidRDefault="0074063F" w:rsidP="00913200">
      <w:pPr>
        <w:widowControl w:val="0"/>
        <w:suppressAutoHyphens/>
        <w:spacing w:after="0"/>
        <w:jc w:val="both"/>
        <w:rPr>
          <w:rFonts w:eastAsia="SimSun" w:cs="Mangal"/>
          <w:kern w:val="1"/>
          <w:lang w:eastAsia="hi-IN" w:bidi="hi-IN"/>
        </w:rPr>
      </w:pPr>
    </w:p>
    <w:p w14:paraId="61E65F87" w14:textId="680A6655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  <w:r w:rsidRPr="0074063F">
        <w:rPr>
          <w:rFonts w:eastAsia="SimSun" w:cs="Mangal"/>
          <w:b/>
          <w:kern w:val="1"/>
          <w:lang w:eastAsia="hi-IN" w:bidi="hi-IN"/>
        </w:rPr>
        <w:t>§ 4</w:t>
      </w:r>
      <w:r w:rsidR="004B504F">
        <w:rPr>
          <w:rFonts w:eastAsia="SimSun" w:cs="Mangal"/>
          <w:b/>
          <w:kern w:val="1"/>
          <w:lang w:eastAsia="hi-IN" w:bidi="hi-IN"/>
        </w:rPr>
        <w:t>.</w:t>
      </w:r>
    </w:p>
    <w:p w14:paraId="5DEBA2E5" w14:textId="77777777" w:rsidR="0074063F" w:rsidRPr="0074063F" w:rsidRDefault="0074063F" w:rsidP="00913200">
      <w:pPr>
        <w:widowControl w:val="0"/>
        <w:numPr>
          <w:ilvl w:val="0"/>
          <w:numId w:val="34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Wynagrodzenie Wykonawcy z tytułu realizacji umowy uzależnione będzie od ilości wykonanych par okularów.</w:t>
      </w:r>
    </w:p>
    <w:p w14:paraId="33D517C3" w14:textId="77777777" w:rsidR="0074063F" w:rsidRPr="0074063F" w:rsidRDefault="0074063F" w:rsidP="00913200">
      <w:pPr>
        <w:widowControl w:val="0"/>
        <w:numPr>
          <w:ilvl w:val="0"/>
          <w:numId w:val="34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Wykonawca akceptuje fakt, iż ilość okularów podana w § 2 niniejszej umowy jest ilością szacunkową.</w:t>
      </w:r>
    </w:p>
    <w:p w14:paraId="10FD7540" w14:textId="77777777" w:rsidR="0074063F" w:rsidRPr="0074063F" w:rsidRDefault="0074063F" w:rsidP="00913200">
      <w:pPr>
        <w:widowControl w:val="0"/>
        <w:numPr>
          <w:ilvl w:val="0"/>
          <w:numId w:val="34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Wykonawcy należy się wynagrodzenie za faktycznie wykonane okulary.</w:t>
      </w:r>
    </w:p>
    <w:p w14:paraId="6687D0D2" w14:textId="77777777" w:rsidR="0074063F" w:rsidRPr="0074063F" w:rsidRDefault="0074063F" w:rsidP="00913200">
      <w:pPr>
        <w:widowControl w:val="0"/>
        <w:numPr>
          <w:ilvl w:val="0"/>
          <w:numId w:val="34"/>
        </w:numPr>
        <w:suppressAutoHyphens/>
        <w:spacing w:after="0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74063F">
        <w:rPr>
          <w:rFonts w:eastAsia="SimSun" w:cs="Mangal"/>
          <w:kern w:val="1"/>
          <w:lang w:eastAsia="hi-IN" w:bidi="hi-IN"/>
        </w:rPr>
        <w:t>Zamawiający nie ponosi konsekwencji finansowych zmniejszenia ilości okularów.</w:t>
      </w:r>
    </w:p>
    <w:p w14:paraId="0362E774" w14:textId="77777777" w:rsidR="0074063F" w:rsidRPr="0074063F" w:rsidRDefault="0074063F" w:rsidP="00913200">
      <w:pPr>
        <w:widowControl w:val="0"/>
        <w:suppressAutoHyphens/>
        <w:spacing w:after="0"/>
        <w:ind w:left="426" w:hanging="426"/>
        <w:jc w:val="center"/>
        <w:rPr>
          <w:rFonts w:eastAsia="SimSun" w:cs="Mangal"/>
          <w:b/>
          <w:kern w:val="1"/>
          <w:lang w:eastAsia="hi-IN" w:bidi="hi-IN"/>
        </w:rPr>
      </w:pPr>
    </w:p>
    <w:p w14:paraId="0455F47B" w14:textId="7204C921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  <w:r w:rsidRPr="0074063F">
        <w:rPr>
          <w:rFonts w:eastAsia="SimSun" w:cs="Mangal"/>
          <w:b/>
          <w:kern w:val="1"/>
          <w:lang w:eastAsia="hi-IN" w:bidi="hi-IN"/>
        </w:rPr>
        <w:t>§  5</w:t>
      </w:r>
      <w:r w:rsidR="004B504F">
        <w:rPr>
          <w:rFonts w:eastAsia="SimSun" w:cs="Mangal"/>
          <w:b/>
          <w:kern w:val="1"/>
          <w:lang w:eastAsia="hi-IN" w:bidi="hi-IN"/>
        </w:rPr>
        <w:t>.</w:t>
      </w:r>
    </w:p>
    <w:p w14:paraId="7090D405" w14:textId="48C91FF4" w:rsidR="0074063F" w:rsidRPr="0074063F" w:rsidRDefault="0074063F" w:rsidP="00913200">
      <w:pPr>
        <w:widowControl w:val="0"/>
        <w:numPr>
          <w:ilvl w:val="0"/>
          <w:numId w:val="35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Zamawiający zobowiązuje się do uiszczania należności za wykonane okulary przelewem </w:t>
      </w:r>
      <w:r w:rsidRPr="0074063F">
        <w:rPr>
          <w:rFonts w:cs="Calibri"/>
        </w:rPr>
        <w:br/>
        <w:t xml:space="preserve">w terminie </w:t>
      </w:r>
      <w:r w:rsidR="004B504F">
        <w:rPr>
          <w:rFonts w:cs="Calibri"/>
          <w:b/>
        </w:rPr>
        <w:t>30</w:t>
      </w:r>
      <w:r w:rsidRPr="0074063F">
        <w:rPr>
          <w:rFonts w:cs="Calibri"/>
          <w:b/>
        </w:rPr>
        <w:t xml:space="preserve"> dni</w:t>
      </w:r>
      <w:r w:rsidRPr="0074063F">
        <w:rPr>
          <w:rFonts w:cs="Calibri"/>
        </w:rPr>
        <w:t xml:space="preserve"> od daty doręczenia faktury do siedziby Zamawiającego. </w:t>
      </w:r>
    </w:p>
    <w:p w14:paraId="7F22ACA3" w14:textId="77777777" w:rsidR="0074063F" w:rsidRPr="0074063F" w:rsidRDefault="0074063F" w:rsidP="00913200">
      <w:pPr>
        <w:widowControl w:val="0"/>
        <w:numPr>
          <w:ilvl w:val="0"/>
          <w:numId w:val="35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Należność za faktury płatna będzie przez Zamawiającego przelewem na rachunek bankowy Wykonawcy: </w:t>
      </w:r>
    </w:p>
    <w:p w14:paraId="7045EDE9" w14:textId="77777777" w:rsidR="0074063F" w:rsidRPr="0074063F" w:rsidRDefault="0074063F" w:rsidP="0091320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contextualSpacing/>
        <w:jc w:val="both"/>
        <w:rPr>
          <w:rFonts w:cs="Calibri"/>
        </w:rPr>
      </w:pPr>
    </w:p>
    <w:p w14:paraId="45C4F7DC" w14:textId="77777777" w:rsidR="0074063F" w:rsidRPr="0074063F" w:rsidRDefault="0074063F" w:rsidP="0091320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contextualSpacing/>
        <w:jc w:val="both"/>
        <w:rPr>
          <w:rFonts w:cs="Calibri"/>
        </w:rPr>
      </w:pPr>
      <w:r w:rsidRPr="0074063F">
        <w:rPr>
          <w:rFonts w:cs="Calibri"/>
        </w:rPr>
        <w:t>……………………………………..……………………………………………………………………………………………………</w:t>
      </w:r>
    </w:p>
    <w:p w14:paraId="30658246" w14:textId="77777777" w:rsidR="0074063F" w:rsidRPr="0074063F" w:rsidRDefault="0074063F" w:rsidP="00913200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426"/>
        <w:contextualSpacing/>
        <w:jc w:val="both"/>
        <w:rPr>
          <w:rFonts w:cs="Calibri"/>
        </w:rPr>
      </w:pPr>
    </w:p>
    <w:p w14:paraId="4143789E" w14:textId="77777777" w:rsidR="0074063F" w:rsidRPr="0074063F" w:rsidRDefault="0074063F" w:rsidP="00913200">
      <w:pPr>
        <w:widowControl w:val="0"/>
        <w:numPr>
          <w:ilvl w:val="0"/>
          <w:numId w:val="35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>O zmianie rachunku bankowego Wykonawca zobowiązany jest niezwłocznie powiadomić</w:t>
      </w:r>
      <w:r w:rsidRPr="0074063F">
        <w:rPr>
          <w:rFonts w:cs="Calibri"/>
        </w:rPr>
        <w:br/>
        <w:t>w formie pisemnej Zamawiającego, podając aktualny rachunek bankowy.</w:t>
      </w:r>
    </w:p>
    <w:p w14:paraId="54772049" w14:textId="77777777" w:rsidR="0074063F" w:rsidRPr="0074063F" w:rsidRDefault="0074063F" w:rsidP="00913200">
      <w:pPr>
        <w:widowControl w:val="0"/>
        <w:numPr>
          <w:ilvl w:val="0"/>
          <w:numId w:val="35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>W razie nieuregulowania przez Zamawiającego płatności w wyznaczonym terminie, Wykonawca ma prawo żądać odsetek ustawowych za każdy dzień zwłoki.</w:t>
      </w:r>
    </w:p>
    <w:p w14:paraId="791E7705" w14:textId="77777777" w:rsidR="0074063F" w:rsidRPr="0074063F" w:rsidRDefault="0074063F" w:rsidP="00913200">
      <w:pPr>
        <w:widowControl w:val="0"/>
        <w:numPr>
          <w:ilvl w:val="0"/>
          <w:numId w:val="35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>Cena na poszczególny asortyment wymieniony w § 2 niniejszej umowy może ulec zmianie w przypadku zmiany obowiązującej w dniu podpisania umowy stawki podatku VAT. Zmiana ceny wymaga formy pisemnej w postaci aneksu do umowy podpisanego przez Wykonawcę i Zamawiającego, dokonana zostanie na wniosek Wykonawcy. Zmiana dotyczy różnicy w stawce podatku VAT.</w:t>
      </w:r>
    </w:p>
    <w:p w14:paraId="20C8E73D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</w:p>
    <w:p w14:paraId="565BE2B4" w14:textId="3CA4F9AA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  <w:r w:rsidRPr="0074063F">
        <w:rPr>
          <w:rFonts w:eastAsia="SimSun" w:cs="Mangal"/>
          <w:b/>
          <w:kern w:val="1"/>
          <w:lang w:eastAsia="hi-IN" w:bidi="hi-IN"/>
        </w:rPr>
        <w:t>§ 6</w:t>
      </w:r>
      <w:r w:rsidR="004B504F">
        <w:rPr>
          <w:rFonts w:eastAsia="SimSun" w:cs="Mangal"/>
          <w:b/>
          <w:kern w:val="1"/>
          <w:lang w:eastAsia="hi-IN" w:bidi="hi-IN"/>
        </w:rPr>
        <w:t>.</w:t>
      </w:r>
    </w:p>
    <w:p w14:paraId="1E15018A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</w:p>
    <w:p w14:paraId="26E8BF0F" w14:textId="77777777" w:rsidR="0074063F" w:rsidRPr="0074063F" w:rsidRDefault="0074063F" w:rsidP="00913200">
      <w:pPr>
        <w:widowControl w:val="0"/>
        <w:numPr>
          <w:ilvl w:val="0"/>
          <w:numId w:val="7"/>
        </w:numPr>
        <w:suppressAutoHyphens/>
        <w:spacing w:after="0"/>
        <w:ind w:left="426" w:hanging="426"/>
        <w:contextualSpacing/>
        <w:rPr>
          <w:rFonts w:cs="Calibri"/>
        </w:rPr>
      </w:pPr>
      <w:r w:rsidRPr="0074063F">
        <w:rPr>
          <w:rFonts w:cs="Calibri"/>
        </w:rPr>
        <w:t>W przypadku nie wywiązywania się przez Wykonawcę z warunków niniejszej umowy, Zamawiający zastrzega sobie prawo do rozwiązania umowy bez wypowiedzenia ze skutkiem natychmiastowym.</w:t>
      </w:r>
    </w:p>
    <w:p w14:paraId="49F67791" w14:textId="77777777" w:rsidR="0074063F" w:rsidRPr="0074063F" w:rsidRDefault="0074063F" w:rsidP="00913200">
      <w:pPr>
        <w:widowControl w:val="0"/>
        <w:numPr>
          <w:ilvl w:val="0"/>
          <w:numId w:val="7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Zamawiający zastrzega sobie prawo do rozwiązania umowy bez wypowiedzenia </w:t>
      </w:r>
      <w:r w:rsidRPr="0074063F">
        <w:rPr>
          <w:rFonts w:cs="Calibri"/>
        </w:rPr>
        <w:br/>
        <w:t>ze skutkiem natychmiastowym w szczególności w przypadku:</w:t>
      </w:r>
    </w:p>
    <w:p w14:paraId="0F55DCB5" w14:textId="77777777" w:rsidR="0074063F" w:rsidRPr="0074063F" w:rsidRDefault="0074063F" w:rsidP="00913200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cs="Calibri"/>
        </w:rPr>
      </w:pPr>
      <w:r w:rsidRPr="0074063F">
        <w:rPr>
          <w:rFonts w:cs="Calibri"/>
        </w:rPr>
        <w:t>ogłoszenia rozwiązania firmy Wykonawcy albo wydania nakazu zajęcia jego majątku,</w:t>
      </w:r>
    </w:p>
    <w:p w14:paraId="6C00B5DC" w14:textId="77777777" w:rsidR="0074063F" w:rsidRPr="0074063F" w:rsidRDefault="0074063F" w:rsidP="00913200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cs="Calibri"/>
        </w:rPr>
      </w:pPr>
      <w:r w:rsidRPr="0074063F">
        <w:rPr>
          <w:rFonts w:cs="Calibri"/>
        </w:rPr>
        <w:t>złożenia w stosunku do Wykonawcy wniosku o ogłoszenie upadłości,</w:t>
      </w:r>
    </w:p>
    <w:p w14:paraId="724DBC45" w14:textId="77777777" w:rsidR="0074063F" w:rsidRPr="0074063F" w:rsidRDefault="0074063F" w:rsidP="00913200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cs="Calibri"/>
        </w:rPr>
      </w:pPr>
      <w:r w:rsidRPr="0074063F">
        <w:rPr>
          <w:rFonts w:cs="Calibri"/>
        </w:rPr>
        <w:t>innego rażącego naruszenia przez Wykonawcę postanowień umowy.</w:t>
      </w:r>
    </w:p>
    <w:p w14:paraId="2B3C8CF1" w14:textId="66DBB7BE" w:rsidR="0074063F" w:rsidRPr="0074063F" w:rsidRDefault="0074063F" w:rsidP="00913200">
      <w:pPr>
        <w:widowControl w:val="0"/>
        <w:numPr>
          <w:ilvl w:val="0"/>
          <w:numId w:val="7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4CF7C65A" w14:textId="77777777" w:rsidR="0074063F" w:rsidRPr="0074063F" w:rsidRDefault="0074063F" w:rsidP="00913200">
      <w:pPr>
        <w:widowControl w:val="0"/>
        <w:numPr>
          <w:ilvl w:val="0"/>
          <w:numId w:val="7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>W przypadkach, o których mowa w § 6 ust. 1, 2, 3 i 5 Wykonawca może żądać wyłącznie wynagrodzenia należnego z tytułu wykonania części umowy.</w:t>
      </w:r>
    </w:p>
    <w:p w14:paraId="58814B80" w14:textId="7CFF4516" w:rsidR="0074063F" w:rsidRPr="0074063F" w:rsidRDefault="0074063F" w:rsidP="00913200">
      <w:pPr>
        <w:widowControl w:val="0"/>
        <w:numPr>
          <w:ilvl w:val="0"/>
          <w:numId w:val="7"/>
        </w:numPr>
        <w:suppressAutoHyphens/>
        <w:spacing w:after="0"/>
        <w:ind w:left="426" w:hanging="426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W przypadku zaistnienia istotnej zmiany okoliczności, których Wykonawca nie mógł przewidzieć w momencie podpisania umowy powodujących, że nie może on zapewnić prawidłowej realizacji umowy, może złożyć wniosek o rozwiązanie umowy na mocy porozumienia stron z zachowaniem </w:t>
      </w:r>
      <w:r w:rsidR="004B504F">
        <w:rPr>
          <w:rFonts w:cs="Calibri"/>
        </w:rPr>
        <w:t>1 miesięcznego</w:t>
      </w:r>
      <w:r w:rsidRPr="0074063F">
        <w:rPr>
          <w:rFonts w:cs="Calibri"/>
        </w:rPr>
        <w:t xml:space="preserve"> okresu wypowiedzenia bez naliczania kar umownych. Zamawiający po wnikliwym rozpatrzeniu wniosku wyraża lub nie wyraża zgodę na rozwiązanie umowy na mocy porozumienia stron. </w:t>
      </w:r>
      <w:r w:rsidR="004B504F">
        <w:rPr>
          <w:rFonts w:cs="Calibri"/>
        </w:rPr>
        <w:t>Jednomiesięczny</w:t>
      </w:r>
      <w:r w:rsidRPr="0074063F">
        <w:rPr>
          <w:rFonts w:cs="Calibri"/>
        </w:rPr>
        <w:t xml:space="preserve"> okres wypowiedzenia liczony jest od dnia, w którym Zamawiający wyraził zgodę na rozwiązanie umowy na mocy porozumienia stron.</w:t>
      </w:r>
    </w:p>
    <w:p w14:paraId="733A6169" w14:textId="200AC035" w:rsidR="0074063F" w:rsidRPr="0074063F" w:rsidRDefault="0074063F" w:rsidP="00913200">
      <w:pPr>
        <w:contextualSpacing/>
        <w:jc w:val="center"/>
        <w:rPr>
          <w:rFonts w:cs="Calibri"/>
          <w:b/>
        </w:rPr>
      </w:pPr>
      <w:r w:rsidRPr="0074063F">
        <w:rPr>
          <w:rFonts w:cs="Calibri"/>
          <w:b/>
        </w:rPr>
        <w:t>§ 7</w:t>
      </w:r>
      <w:r w:rsidR="004B504F">
        <w:rPr>
          <w:rFonts w:cs="Calibri"/>
          <w:b/>
        </w:rPr>
        <w:t>.</w:t>
      </w:r>
    </w:p>
    <w:p w14:paraId="21B7F946" w14:textId="77777777" w:rsidR="0074063F" w:rsidRPr="0074063F" w:rsidRDefault="0074063F" w:rsidP="00913200">
      <w:pPr>
        <w:widowControl w:val="0"/>
        <w:numPr>
          <w:ilvl w:val="0"/>
          <w:numId w:val="36"/>
        </w:numPr>
        <w:suppressAutoHyphens/>
        <w:spacing w:after="0"/>
        <w:ind w:left="426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W przypadku rozwiązania umowy bez wypowiedzenia ze skutkiem natychmiastowym przez Zamawiającego spowodowanej przyczynami, o których mowa w § 6 ust. 1 oraz w § 6 ust. 2, Zamawiający ma prawo żądać od Wykonawcy kary umownej w wysokości 10 % wartości </w:t>
      </w:r>
      <w:r w:rsidRPr="0074063F">
        <w:rPr>
          <w:rFonts w:cs="Calibri"/>
        </w:rPr>
        <w:lastRenderedPageBreak/>
        <w:t>brutto zamówienia wynikającego z niniejszej umowy, co nie wyłącza uprawnienia Zamawiającego do dochodzenia odszkodowania przenoszącego wysokość zastrzeżonej kary.</w:t>
      </w:r>
    </w:p>
    <w:p w14:paraId="29E2BD49" w14:textId="77777777" w:rsidR="0074063F" w:rsidRPr="0074063F" w:rsidRDefault="0074063F" w:rsidP="00913200">
      <w:pPr>
        <w:widowControl w:val="0"/>
        <w:numPr>
          <w:ilvl w:val="0"/>
          <w:numId w:val="36"/>
        </w:numPr>
        <w:suppressAutoHyphens/>
        <w:spacing w:after="0"/>
        <w:ind w:left="426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W przypadku odstąpienia od umowy przez Wykonawcę, Zamawiający ma prawo żądać </w:t>
      </w:r>
      <w:r w:rsidRPr="0074063F">
        <w:rPr>
          <w:rFonts w:cs="Calibri"/>
        </w:rPr>
        <w:br/>
        <w:t xml:space="preserve">od niego kary umownej w wysokości 10 % wartości brutto zamówienia wynikającego </w:t>
      </w:r>
      <w:r w:rsidRPr="0074063F">
        <w:rPr>
          <w:rFonts w:cs="Calibri"/>
        </w:rPr>
        <w:br/>
        <w:t>z niniejszej umowy, co nie wyłącza uprawnienia Zamawiającego do dochodzenia odszkodowania przenoszącego wysokość zastrzeżonej kary.</w:t>
      </w:r>
    </w:p>
    <w:p w14:paraId="7A845E9A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</w:p>
    <w:p w14:paraId="432E25EB" w14:textId="577C75BD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74063F">
        <w:rPr>
          <w:rFonts w:eastAsia="SimSun" w:cs="Calibri"/>
          <w:b/>
          <w:kern w:val="1"/>
          <w:sz w:val="24"/>
          <w:szCs w:val="24"/>
          <w:lang w:eastAsia="hi-IN" w:bidi="hi-IN"/>
        </w:rPr>
        <w:t>§ 8</w:t>
      </w:r>
      <w:r w:rsidR="004B504F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5C717878" w14:textId="1537572C" w:rsidR="0074063F" w:rsidRPr="0074063F" w:rsidRDefault="0074063F" w:rsidP="00913200">
      <w:pPr>
        <w:spacing w:after="0"/>
        <w:contextualSpacing/>
        <w:jc w:val="both"/>
        <w:rPr>
          <w:rFonts w:cs="Calibri"/>
        </w:rPr>
      </w:pPr>
      <w:r w:rsidRPr="0074063F">
        <w:rPr>
          <w:rFonts w:cs="Calibri"/>
        </w:rPr>
        <w:t xml:space="preserve">Umowa obowiązuje </w:t>
      </w:r>
      <w:r w:rsidR="00265559">
        <w:rPr>
          <w:rFonts w:cs="Calibri"/>
        </w:rPr>
        <w:t xml:space="preserve">przez okres 12 miesięcy od dnia jej podpisania lub do dnia zrealizowania jej w całości. </w:t>
      </w:r>
    </w:p>
    <w:p w14:paraId="0827741B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6C9DE17C" w14:textId="5CBDAE3F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74063F">
        <w:rPr>
          <w:rFonts w:eastAsia="SimSun" w:cs="Calibri"/>
          <w:b/>
          <w:kern w:val="1"/>
          <w:sz w:val="24"/>
          <w:szCs w:val="24"/>
          <w:lang w:eastAsia="hi-IN" w:bidi="hi-IN"/>
        </w:rPr>
        <w:t>§ 9</w:t>
      </w:r>
      <w:r w:rsidR="004B504F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7FE03C4B" w14:textId="77777777" w:rsidR="0074063F" w:rsidRPr="0074063F" w:rsidRDefault="0074063F" w:rsidP="00913200">
      <w:pPr>
        <w:spacing w:after="0"/>
        <w:contextualSpacing/>
        <w:rPr>
          <w:rFonts w:cs="Calibri"/>
        </w:rPr>
      </w:pPr>
      <w:r w:rsidRPr="0074063F">
        <w:rPr>
          <w:rFonts w:cs="Calibri"/>
        </w:rPr>
        <w:t>Wszelkie zmiany w treści umowy wymagają formy pisemnej pod rygorem nieważności.</w:t>
      </w:r>
    </w:p>
    <w:p w14:paraId="5875F8F7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40DCEEFA" w14:textId="73D297E0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74063F">
        <w:rPr>
          <w:rFonts w:eastAsia="SimSun" w:cs="Calibri"/>
          <w:b/>
          <w:kern w:val="1"/>
          <w:sz w:val="24"/>
          <w:szCs w:val="24"/>
          <w:lang w:eastAsia="hi-IN" w:bidi="hi-IN"/>
        </w:rPr>
        <w:t>§ 10</w:t>
      </w:r>
      <w:r w:rsidR="004B504F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76C8BF17" w14:textId="77777777" w:rsidR="0074063F" w:rsidRPr="0074063F" w:rsidRDefault="0074063F" w:rsidP="00913200">
      <w:pPr>
        <w:spacing w:after="0"/>
        <w:contextualSpacing/>
        <w:jc w:val="both"/>
        <w:rPr>
          <w:rFonts w:cs="Calibri"/>
        </w:rPr>
      </w:pPr>
      <w:r w:rsidRPr="0074063F">
        <w:rPr>
          <w:rFonts w:cs="Calibri"/>
        </w:rPr>
        <w:t>W sprawach nieunormowanych niniejszą umową zastosowanie mają przepisy ustawy Prawo zamówień publicznych i ustawy Kodeks Cywilny.</w:t>
      </w:r>
    </w:p>
    <w:p w14:paraId="0E57C022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</w:p>
    <w:p w14:paraId="577285AF" w14:textId="7119694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74063F">
        <w:rPr>
          <w:rFonts w:eastAsia="SimSun" w:cs="Calibri"/>
          <w:b/>
          <w:kern w:val="1"/>
          <w:sz w:val="24"/>
          <w:szCs w:val="24"/>
          <w:lang w:eastAsia="hi-IN" w:bidi="hi-IN"/>
        </w:rPr>
        <w:t>§ 11</w:t>
      </w:r>
      <w:r w:rsidR="004B504F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5F7F604A" w14:textId="77777777" w:rsidR="0074063F" w:rsidRPr="0074063F" w:rsidRDefault="0074063F" w:rsidP="00913200">
      <w:pPr>
        <w:spacing w:after="0"/>
        <w:contextualSpacing/>
        <w:rPr>
          <w:rFonts w:cs="Calibri"/>
        </w:rPr>
      </w:pPr>
      <w:r w:rsidRPr="0074063F">
        <w:rPr>
          <w:rFonts w:cs="Calibri"/>
        </w:rPr>
        <w:t>Spory mogące wyniknąć na tle stosowania niniejszej umowy strony poddają rozstrzygnięciu sądu właściwego dla siedziby Zamawiającego.</w:t>
      </w:r>
    </w:p>
    <w:p w14:paraId="349DEF4B" w14:textId="77777777" w:rsidR="0074063F" w:rsidRPr="0074063F" w:rsidRDefault="0074063F" w:rsidP="00913200">
      <w:pPr>
        <w:spacing w:after="0"/>
        <w:ind w:left="720"/>
        <w:contextualSpacing/>
        <w:rPr>
          <w:rFonts w:cs="Calibri"/>
        </w:rPr>
      </w:pPr>
    </w:p>
    <w:p w14:paraId="29F1E61E" w14:textId="76E8C133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74063F">
        <w:rPr>
          <w:rFonts w:eastAsia="SimSun" w:cs="Calibri"/>
          <w:b/>
          <w:kern w:val="1"/>
          <w:sz w:val="24"/>
          <w:szCs w:val="24"/>
          <w:lang w:eastAsia="hi-IN" w:bidi="hi-IN"/>
        </w:rPr>
        <w:t>§ 12</w:t>
      </w:r>
      <w:r w:rsidR="004B504F">
        <w:rPr>
          <w:rFonts w:eastAsia="SimSun" w:cs="Calibri"/>
          <w:b/>
          <w:kern w:val="1"/>
          <w:sz w:val="24"/>
          <w:szCs w:val="24"/>
          <w:lang w:eastAsia="hi-IN" w:bidi="hi-IN"/>
        </w:rPr>
        <w:t>.</w:t>
      </w:r>
    </w:p>
    <w:p w14:paraId="4015C685" w14:textId="77777777" w:rsidR="0074063F" w:rsidRPr="0074063F" w:rsidRDefault="0074063F" w:rsidP="00913200">
      <w:pPr>
        <w:spacing w:after="0"/>
        <w:contextualSpacing/>
        <w:rPr>
          <w:rFonts w:cs="Calibri"/>
        </w:rPr>
      </w:pPr>
      <w:r w:rsidRPr="0074063F">
        <w:rPr>
          <w:rFonts w:cs="Calibri"/>
        </w:rPr>
        <w:t>Umowa sporządzona została w dwóch jednobrzmiących egzemplarzach, po jednym dla każdej ze stron.</w:t>
      </w:r>
    </w:p>
    <w:p w14:paraId="1E6DA9F2" w14:textId="77777777" w:rsidR="0074063F" w:rsidRPr="0074063F" w:rsidRDefault="0074063F" w:rsidP="00913200">
      <w:pPr>
        <w:widowControl w:val="0"/>
        <w:suppressAutoHyphens/>
        <w:spacing w:after="0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</w:p>
    <w:p w14:paraId="701D6348" w14:textId="77777777" w:rsidR="0074063F" w:rsidRPr="0074063F" w:rsidRDefault="0074063F" w:rsidP="00913200">
      <w:pPr>
        <w:widowControl w:val="0"/>
        <w:suppressAutoHyphens/>
        <w:spacing w:after="0"/>
        <w:jc w:val="center"/>
        <w:rPr>
          <w:rFonts w:eastAsia="SimSun" w:cs="Mangal"/>
          <w:b/>
          <w:kern w:val="1"/>
          <w:lang w:eastAsia="hi-IN" w:bidi="hi-IN"/>
        </w:rPr>
      </w:pPr>
    </w:p>
    <w:p w14:paraId="3276AE1A" w14:textId="083B07EB" w:rsidR="0074063F" w:rsidRPr="0074063F" w:rsidRDefault="0074063F" w:rsidP="00913200">
      <w:pPr>
        <w:widowControl w:val="0"/>
        <w:suppressAutoHyphens/>
        <w:spacing w:after="0"/>
        <w:rPr>
          <w:rFonts w:eastAsia="SimSun" w:cs="Mangal"/>
          <w:b/>
          <w:kern w:val="1"/>
          <w:lang w:eastAsia="hi-IN" w:bidi="hi-IN"/>
        </w:rPr>
      </w:pPr>
      <w:r>
        <w:rPr>
          <w:rFonts w:eastAsia="SimSun" w:cs="Mangal"/>
          <w:b/>
          <w:kern w:val="1"/>
          <w:lang w:eastAsia="hi-IN" w:bidi="hi-IN"/>
        </w:rPr>
        <w:t xml:space="preserve">     </w:t>
      </w:r>
      <w:r w:rsidRPr="0074063F">
        <w:rPr>
          <w:rFonts w:eastAsia="SimSun" w:cs="Mangal"/>
          <w:b/>
          <w:kern w:val="1"/>
          <w:lang w:eastAsia="hi-IN" w:bidi="hi-IN"/>
        </w:rPr>
        <w:t xml:space="preserve">    ZAMAWIAJĄCY</w:t>
      </w:r>
      <w:r>
        <w:rPr>
          <w:rFonts w:eastAsia="SimSun" w:cs="Mangal"/>
          <w:b/>
          <w:kern w:val="1"/>
          <w:lang w:eastAsia="hi-IN" w:bidi="hi-IN"/>
        </w:rPr>
        <w:t xml:space="preserve">                                                                               WYKONAWCA</w:t>
      </w:r>
    </w:p>
    <w:p w14:paraId="4F3C2E14" w14:textId="77777777" w:rsidR="00A363FA" w:rsidRPr="00E210EA" w:rsidRDefault="00A363FA" w:rsidP="00913200">
      <w:pPr>
        <w:pStyle w:val="Standard"/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A363FA" w:rsidRPr="00E210E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C1A3" w14:textId="77777777" w:rsidR="00F74756" w:rsidRDefault="00F74756" w:rsidP="003C197C">
      <w:pPr>
        <w:spacing w:after="0" w:line="240" w:lineRule="auto"/>
      </w:pPr>
      <w:r>
        <w:separator/>
      </w:r>
    </w:p>
  </w:endnote>
  <w:endnote w:type="continuationSeparator" w:id="0">
    <w:p w14:paraId="1828B1C5" w14:textId="77777777" w:rsidR="00F74756" w:rsidRDefault="00F74756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9EA4" w14:textId="77777777" w:rsidR="008915DA" w:rsidRDefault="003D17E3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B84504">
      <w:rPr>
        <w:noProof/>
      </w:rPr>
      <w:t>4</w:t>
    </w:r>
    <w:r>
      <w:rPr>
        <w:noProof/>
      </w:rPr>
      <w:fldChar w:fldCharType="end"/>
    </w:r>
  </w:p>
  <w:p w14:paraId="38ABF270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E4D18" w14:textId="77777777" w:rsidR="00F74756" w:rsidRDefault="00F74756" w:rsidP="003C197C">
      <w:pPr>
        <w:spacing w:after="0" w:line="240" w:lineRule="auto"/>
      </w:pPr>
      <w:r>
        <w:separator/>
      </w:r>
    </w:p>
  </w:footnote>
  <w:footnote w:type="continuationSeparator" w:id="0">
    <w:p w14:paraId="625A1FDC" w14:textId="77777777" w:rsidR="00F74756" w:rsidRDefault="00F74756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7817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3EEDA09F" w14:textId="77777777" w:rsidTr="000165A7">
      <w:tc>
        <w:tcPr>
          <w:tcW w:w="3281" w:type="dxa"/>
          <w:shd w:val="clear" w:color="auto" w:fill="auto"/>
        </w:tcPr>
        <w:p w14:paraId="598AA97D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C267750" wp14:editId="7ABC1771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37951287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6CF49105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7D6C4DB2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3D37D073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6B0571"/>
    <w:multiLevelType w:val="hybridMultilevel"/>
    <w:tmpl w:val="5A4453FC"/>
    <w:lvl w:ilvl="0" w:tplc="68F4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8BF"/>
    <w:multiLevelType w:val="hybridMultilevel"/>
    <w:tmpl w:val="103E5882"/>
    <w:lvl w:ilvl="0" w:tplc="13A289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F16ADC"/>
    <w:multiLevelType w:val="hybridMultilevel"/>
    <w:tmpl w:val="91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004C3"/>
    <w:multiLevelType w:val="hybridMultilevel"/>
    <w:tmpl w:val="899C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09D8"/>
    <w:multiLevelType w:val="hybridMultilevel"/>
    <w:tmpl w:val="2EE22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0A5A"/>
    <w:multiLevelType w:val="hybridMultilevel"/>
    <w:tmpl w:val="313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6A1C"/>
    <w:multiLevelType w:val="hybridMultilevel"/>
    <w:tmpl w:val="08C4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D658FE"/>
    <w:multiLevelType w:val="hybridMultilevel"/>
    <w:tmpl w:val="B61CE21A"/>
    <w:lvl w:ilvl="0" w:tplc="2E840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466846FA"/>
    <w:multiLevelType w:val="hybridMultilevel"/>
    <w:tmpl w:val="EB64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B25"/>
    <w:multiLevelType w:val="hybridMultilevel"/>
    <w:tmpl w:val="96026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56F4"/>
    <w:multiLevelType w:val="hybridMultilevel"/>
    <w:tmpl w:val="67A2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F584A"/>
    <w:multiLevelType w:val="hybridMultilevel"/>
    <w:tmpl w:val="FC0A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0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7"/>
  </w:num>
  <w:num w:numId="9">
    <w:abstractNumId w:val="33"/>
  </w:num>
  <w:num w:numId="10">
    <w:abstractNumId w:val="27"/>
  </w:num>
  <w:num w:numId="11">
    <w:abstractNumId w:val="31"/>
  </w:num>
  <w:num w:numId="12">
    <w:abstractNumId w:val="34"/>
  </w:num>
  <w:num w:numId="13">
    <w:abstractNumId w:val="20"/>
  </w:num>
  <w:num w:numId="14">
    <w:abstractNumId w:val="9"/>
  </w:num>
  <w:num w:numId="15">
    <w:abstractNumId w:val="15"/>
  </w:num>
  <w:num w:numId="16">
    <w:abstractNumId w:val="29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25"/>
  </w:num>
  <w:num w:numId="26">
    <w:abstractNumId w:val="4"/>
  </w:num>
  <w:num w:numId="27">
    <w:abstractNumId w:val="13"/>
  </w:num>
  <w:num w:numId="28">
    <w:abstractNumId w:val="16"/>
  </w:num>
  <w:num w:numId="29">
    <w:abstractNumId w:val="5"/>
  </w:num>
  <w:num w:numId="30">
    <w:abstractNumId w:val="6"/>
  </w:num>
  <w:num w:numId="31">
    <w:abstractNumId w:val="28"/>
  </w:num>
  <w:num w:numId="32">
    <w:abstractNumId w:val="7"/>
  </w:num>
  <w:num w:numId="33">
    <w:abstractNumId w:val="22"/>
  </w:num>
  <w:num w:numId="34">
    <w:abstractNumId w:val="18"/>
  </w:num>
  <w:num w:numId="35">
    <w:abstractNumId w:val="19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087C"/>
    <w:rsid w:val="0000442C"/>
    <w:rsid w:val="000051D3"/>
    <w:rsid w:val="0001000C"/>
    <w:rsid w:val="0001525A"/>
    <w:rsid w:val="000165A7"/>
    <w:rsid w:val="00021141"/>
    <w:rsid w:val="00021C27"/>
    <w:rsid w:val="00021C51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7F72"/>
    <w:rsid w:val="000B569C"/>
    <w:rsid w:val="000C2B1B"/>
    <w:rsid w:val="000D5CDD"/>
    <w:rsid w:val="000F1E31"/>
    <w:rsid w:val="000F77E8"/>
    <w:rsid w:val="001011C8"/>
    <w:rsid w:val="0011451A"/>
    <w:rsid w:val="00125295"/>
    <w:rsid w:val="0012574F"/>
    <w:rsid w:val="00135F85"/>
    <w:rsid w:val="001452DE"/>
    <w:rsid w:val="00151B61"/>
    <w:rsid w:val="0017011F"/>
    <w:rsid w:val="001770B4"/>
    <w:rsid w:val="0019292D"/>
    <w:rsid w:val="001A2D91"/>
    <w:rsid w:val="001B02E5"/>
    <w:rsid w:val="001C01A8"/>
    <w:rsid w:val="001D0732"/>
    <w:rsid w:val="001D53C3"/>
    <w:rsid w:val="001E04B9"/>
    <w:rsid w:val="001F7F33"/>
    <w:rsid w:val="00201A8E"/>
    <w:rsid w:val="00203F90"/>
    <w:rsid w:val="002147D7"/>
    <w:rsid w:val="002173E3"/>
    <w:rsid w:val="00222C01"/>
    <w:rsid w:val="00231E4A"/>
    <w:rsid w:val="00240649"/>
    <w:rsid w:val="0024697B"/>
    <w:rsid w:val="00250463"/>
    <w:rsid w:val="00251F64"/>
    <w:rsid w:val="00255A3B"/>
    <w:rsid w:val="002610EC"/>
    <w:rsid w:val="00263A22"/>
    <w:rsid w:val="00265559"/>
    <w:rsid w:val="00267B5D"/>
    <w:rsid w:val="00272329"/>
    <w:rsid w:val="00275E6F"/>
    <w:rsid w:val="002816A3"/>
    <w:rsid w:val="00281BCB"/>
    <w:rsid w:val="00287942"/>
    <w:rsid w:val="0029153D"/>
    <w:rsid w:val="00297B7E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2E7D04"/>
    <w:rsid w:val="003006AC"/>
    <w:rsid w:val="00302F0B"/>
    <w:rsid w:val="00305512"/>
    <w:rsid w:val="00306AFD"/>
    <w:rsid w:val="0031670E"/>
    <w:rsid w:val="00330FA3"/>
    <w:rsid w:val="00354BF4"/>
    <w:rsid w:val="003628F1"/>
    <w:rsid w:val="00362CCE"/>
    <w:rsid w:val="00366172"/>
    <w:rsid w:val="00385C4E"/>
    <w:rsid w:val="003A1038"/>
    <w:rsid w:val="003A6B9F"/>
    <w:rsid w:val="003C197C"/>
    <w:rsid w:val="003C6B8E"/>
    <w:rsid w:val="003D17E3"/>
    <w:rsid w:val="003D35FF"/>
    <w:rsid w:val="003E14D8"/>
    <w:rsid w:val="003E4B9A"/>
    <w:rsid w:val="003F2E45"/>
    <w:rsid w:val="0040385E"/>
    <w:rsid w:val="00405553"/>
    <w:rsid w:val="00411C53"/>
    <w:rsid w:val="0041357A"/>
    <w:rsid w:val="004266EA"/>
    <w:rsid w:val="004337E7"/>
    <w:rsid w:val="004551C0"/>
    <w:rsid w:val="00460A33"/>
    <w:rsid w:val="00461824"/>
    <w:rsid w:val="00471FCC"/>
    <w:rsid w:val="004805D3"/>
    <w:rsid w:val="004A3EC1"/>
    <w:rsid w:val="004B445D"/>
    <w:rsid w:val="004B504F"/>
    <w:rsid w:val="004C5DB0"/>
    <w:rsid w:val="004D1F25"/>
    <w:rsid w:val="004E14FD"/>
    <w:rsid w:val="004E6BA0"/>
    <w:rsid w:val="0050477A"/>
    <w:rsid w:val="00517F35"/>
    <w:rsid w:val="0052744D"/>
    <w:rsid w:val="00531D50"/>
    <w:rsid w:val="00533127"/>
    <w:rsid w:val="00553A56"/>
    <w:rsid w:val="00561461"/>
    <w:rsid w:val="00567C51"/>
    <w:rsid w:val="00574FB9"/>
    <w:rsid w:val="005766B3"/>
    <w:rsid w:val="00580272"/>
    <w:rsid w:val="00582714"/>
    <w:rsid w:val="00584FAE"/>
    <w:rsid w:val="00586897"/>
    <w:rsid w:val="005971D0"/>
    <w:rsid w:val="005A0F1B"/>
    <w:rsid w:val="005B49DE"/>
    <w:rsid w:val="005E1381"/>
    <w:rsid w:val="005F733C"/>
    <w:rsid w:val="00600F5E"/>
    <w:rsid w:val="0060399C"/>
    <w:rsid w:val="00616ACC"/>
    <w:rsid w:val="00623C1C"/>
    <w:rsid w:val="006367F1"/>
    <w:rsid w:val="006530BA"/>
    <w:rsid w:val="00672B93"/>
    <w:rsid w:val="00674ECC"/>
    <w:rsid w:val="006A6B90"/>
    <w:rsid w:val="006B0E3C"/>
    <w:rsid w:val="006C2E39"/>
    <w:rsid w:val="006C5144"/>
    <w:rsid w:val="006C56E9"/>
    <w:rsid w:val="006D4008"/>
    <w:rsid w:val="006D6D2A"/>
    <w:rsid w:val="006D7C40"/>
    <w:rsid w:val="006E2174"/>
    <w:rsid w:val="006F69F2"/>
    <w:rsid w:val="0070730D"/>
    <w:rsid w:val="00721E45"/>
    <w:rsid w:val="00730215"/>
    <w:rsid w:val="00733549"/>
    <w:rsid w:val="007363CE"/>
    <w:rsid w:val="00740167"/>
    <w:rsid w:val="007402B2"/>
    <w:rsid w:val="0074063F"/>
    <w:rsid w:val="007535A4"/>
    <w:rsid w:val="00760A80"/>
    <w:rsid w:val="0077543F"/>
    <w:rsid w:val="00783E15"/>
    <w:rsid w:val="00783F70"/>
    <w:rsid w:val="00785D07"/>
    <w:rsid w:val="00797383"/>
    <w:rsid w:val="007A035A"/>
    <w:rsid w:val="007A16D2"/>
    <w:rsid w:val="007C296C"/>
    <w:rsid w:val="007C7885"/>
    <w:rsid w:val="007D0F27"/>
    <w:rsid w:val="007D2970"/>
    <w:rsid w:val="007F61AF"/>
    <w:rsid w:val="00800BFA"/>
    <w:rsid w:val="00802AAD"/>
    <w:rsid w:val="00803187"/>
    <w:rsid w:val="0080669D"/>
    <w:rsid w:val="008174EC"/>
    <w:rsid w:val="00820AAF"/>
    <w:rsid w:val="0082339C"/>
    <w:rsid w:val="00826770"/>
    <w:rsid w:val="00827702"/>
    <w:rsid w:val="00831436"/>
    <w:rsid w:val="00833B65"/>
    <w:rsid w:val="00840F97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68DC"/>
    <w:rsid w:val="008F0D05"/>
    <w:rsid w:val="008F5A82"/>
    <w:rsid w:val="00905300"/>
    <w:rsid w:val="00913200"/>
    <w:rsid w:val="00914F1E"/>
    <w:rsid w:val="00915ADC"/>
    <w:rsid w:val="009243C7"/>
    <w:rsid w:val="009260EA"/>
    <w:rsid w:val="009326C6"/>
    <w:rsid w:val="0096163E"/>
    <w:rsid w:val="00965444"/>
    <w:rsid w:val="0097118D"/>
    <w:rsid w:val="009711C7"/>
    <w:rsid w:val="00974811"/>
    <w:rsid w:val="00993366"/>
    <w:rsid w:val="00995E6A"/>
    <w:rsid w:val="009A0989"/>
    <w:rsid w:val="009A73DF"/>
    <w:rsid w:val="009A79ED"/>
    <w:rsid w:val="009B0A21"/>
    <w:rsid w:val="009B0DED"/>
    <w:rsid w:val="009C36DD"/>
    <w:rsid w:val="009C59B4"/>
    <w:rsid w:val="009C6C0F"/>
    <w:rsid w:val="009D0593"/>
    <w:rsid w:val="009D296C"/>
    <w:rsid w:val="009E2832"/>
    <w:rsid w:val="009E3904"/>
    <w:rsid w:val="009E393C"/>
    <w:rsid w:val="009E7AC0"/>
    <w:rsid w:val="00A0176B"/>
    <w:rsid w:val="00A03702"/>
    <w:rsid w:val="00A16157"/>
    <w:rsid w:val="00A2125E"/>
    <w:rsid w:val="00A221C8"/>
    <w:rsid w:val="00A3075D"/>
    <w:rsid w:val="00A32F4A"/>
    <w:rsid w:val="00A363FA"/>
    <w:rsid w:val="00A52892"/>
    <w:rsid w:val="00A53EC4"/>
    <w:rsid w:val="00A5491F"/>
    <w:rsid w:val="00A6478F"/>
    <w:rsid w:val="00A64A2A"/>
    <w:rsid w:val="00A7316A"/>
    <w:rsid w:val="00A8372D"/>
    <w:rsid w:val="00A92230"/>
    <w:rsid w:val="00A95D35"/>
    <w:rsid w:val="00AA6904"/>
    <w:rsid w:val="00AE0E72"/>
    <w:rsid w:val="00AE4D59"/>
    <w:rsid w:val="00AE5AD5"/>
    <w:rsid w:val="00B04875"/>
    <w:rsid w:val="00B10492"/>
    <w:rsid w:val="00B10DB3"/>
    <w:rsid w:val="00B12DC2"/>
    <w:rsid w:val="00B163B5"/>
    <w:rsid w:val="00B174D1"/>
    <w:rsid w:val="00B26203"/>
    <w:rsid w:val="00B35486"/>
    <w:rsid w:val="00B41271"/>
    <w:rsid w:val="00B45F55"/>
    <w:rsid w:val="00B61738"/>
    <w:rsid w:val="00B63CD2"/>
    <w:rsid w:val="00B66B09"/>
    <w:rsid w:val="00B84504"/>
    <w:rsid w:val="00B84EFF"/>
    <w:rsid w:val="00B93383"/>
    <w:rsid w:val="00BB28E3"/>
    <w:rsid w:val="00BC2C18"/>
    <w:rsid w:val="00BC5199"/>
    <w:rsid w:val="00BC5529"/>
    <w:rsid w:val="00BC59C6"/>
    <w:rsid w:val="00BD06CE"/>
    <w:rsid w:val="00BD2BC0"/>
    <w:rsid w:val="00C0177D"/>
    <w:rsid w:val="00C14CEA"/>
    <w:rsid w:val="00C16AAC"/>
    <w:rsid w:val="00C2132E"/>
    <w:rsid w:val="00C22303"/>
    <w:rsid w:val="00C238A4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CE4B22"/>
    <w:rsid w:val="00CE4F6A"/>
    <w:rsid w:val="00CF16A6"/>
    <w:rsid w:val="00D13059"/>
    <w:rsid w:val="00D14C84"/>
    <w:rsid w:val="00D1616B"/>
    <w:rsid w:val="00D161A3"/>
    <w:rsid w:val="00D17DF5"/>
    <w:rsid w:val="00D3540D"/>
    <w:rsid w:val="00D453CC"/>
    <w:rsid w:val="00D54327"/>
    <w:rsid w:val="00D60488"/>
    <w:rsid w:val="00D64060"/>
    <w:rsid w:val="00D64284"/>
    <w:rsid w:val="00D67036"/>
    <w:rsid w:val="00D72070"/>
    <w:rsid w:val="00D75923"/>
    <w:rsid w:val="00D9232B"/>
    <w:rsid w:val="00D944BB"/>
    <w:rsid w:val="00D95399"/>
    <w:rsid w:val="00D95450"/>
    <w:rsid w:val="00DB02D4"/>
    <w:rsid w:val="00DC61D8"/>
    <w:rsid w:val="00DC7A17"/>
    <w:rsid w:val="00DD493B"/>
    <w:rsid w:val="00DE67B6"/>
    <w:rsid w:val="00DF41FB"/>
    <w:rsid w:val="00DF7893"/>
    <w:rsid w:val="00DF7AB2"/>
    <w:rsid w:val="00E0274A"/>
    <w:rsid w:val="00E03A9F"/>
    <w:rsid w:val="00E0648D"/>
    <w:rsid w:val="00E115DC"/>
    <w:rsid w:val="00E130FE"/>
    <w:rsid w:val="00E210EA"/>
    <w:rsid w:val="00E227DB"/>
    <w:rsid w:val="00E26C70"/>
    <w:rsid w:val="00E345AA"/>
    <w:rsid w:val="00E46541"/>
    <w:rsid w:val="00E55C4E"/>
    <w:rsid w:val="00E63217"/>
    <w:rsid w:val="00E72002"/>
    <w:rsid w:val="00E90F76"/>
    <w:rsid w:val="00E9158F"/>
    <w:rsid w:val="00EA2BCB"/>
    <w:rsid w:val="00EA7401"/>
    <w:rsid w:val="00EB0D4D"/>
    <w:rsid w:val="00EC34A7"/>
    <w:rsid w:val="00ED25C4"/>
    <w:rsid w:val="00ED50D4"/>
    <w:rsid w:val="00ED72A2"/>
    <w:rsid w:val="00EE1058"/>
    <w:rsid w:val="00EF4757"/>
    <w:rsid w:val="00EF63FC"/>
    <w:rsid w:val="00F07CDF"/>
    <w:rsid w:val="00F164EE"/>
    <w:rsid w:val="00F16E27"/>
    <w:rsid w:val="00F22C16"/>
    <w:rsid w:val="00F246C1"/>
    <w:rsid w:val="00F32D1F"/>
    <w:rsid w:val="00F41816"/>
    <w:rsid w:val="00F42283"/>
    <w:rsid w:val="00F43D66"/>
    <w:rsid w:val="00F4611E"/>
    <w:rsid w:val="00F5020C"/>
    <w:rsid w:val="00F5026D"/>
    <w:rsid w:val="00F63A33"/>
    <w:rsid w:val="00F64DB7"/>
    <w:rsid w:val="00F74756"/>
    <w:rsid w:val="00FB7571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69C227"/>
  <w15:docId w15:val="{46ADE351-B20A-48CA-B9DE-84CA6782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  <w:style w:type="paragraph" w:customStyle="1" w:styleId="Default">
    <w:name w:val="Default"/>
    <w:rsid w:val="00802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ED25C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AC29-B8A4-4A94-8273-0BA45896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72</cp:revision>
  <cp:lastPrinted>2024-06-26T10:55:00Z</cp:lastPrinted>
  <dcterms:created xsi:type="dcterms:W3CDTF">2022-02-20T10:08:00Z</dcterms:created>
  <dcterms:modified xsi:type="dcterms:W3CDTF">2024-06-26T10:58:00Z</dcterms:modified>
</cp:coreProperties>
</file>