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37" w:after="0"/>
        <w:ind w:left="0" w:right="137" w:hanging="0"/>
        <w:jc w:val="right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Załącznik</w:t>
      </w:r>
      <w:r>
        <w:rPr>
          <w:rFonts w:ascii="Verdana" w:hAnsi="Verdana"/>
          <w:b/>
          <w:spacing w:val="-2"/>
          <w:sz w:val="20"/>
          <w:szCs w:val="20"/>
        </w:rPr>
        <w:t xml:space="preserve"> </w:t>
      </w:r>
      <w:r>
        <w:rPr>
          <w:rFonts w:ascii="Verdana" w:hAnsi="Verdana"/>
          <w:b/>
          <w:sz w:val="20"/>
          <w:szCs w:val="20"/>
        </w:rPr>
        <w:t>nr</w:t>
      </w:r>
      <w:r>
        <w:rPr>
          <w:rFonts w:ascii="Verdana" w:hAnsi="Verdana"/>
          <w:b/>
          <w:spacing w:val="-4"/>
          <w:sz w:val="20"/>
          <w:szCs w:val="20"/>
        </w:rPr>
        <w:t xml:space="preserve"> 2</w:t>
      </w:r>
      <w:r>
        <w:rPr>
          <w:rFonts w:ascii="Verdana" w:hAnsi="Verdana"/>
          <w:b/>
          <w:spacing w:val="-2"/>
          <w:sz w:val="20"/>
          <w:szCs w:val="20"/>
        </w:rPr>
        <w:t xml:space="preserve"> </w:t>
      </w:r>
    </w:p>
    <w:p>
      <w:pPr>
        <w:pStyle w:val="Tytu"/>
        <w:rPr>
          <w:rFonts w:ascii="Verdana" w:hAnsi="Verdana" w:eastAsia="Calibri" w:cs="Calibri" w:eastAsiaTheme="minorHAnsi"/>
          <w:b/>
          <w:b/>
          <w:bCs/>
          <w:color w:val="auto"/>
          <w:spacing w:val="-2"/>
          <w:kern w:val="0"/>
          <w:sz w:val="20"/>
          <w:szCs w:val="20"/>
          <w:lang w:val="pl-PL" w:eastAsia="en-US" w:bidi="ar-SA"/>
        </w:rPr>
      </w:pPr>
      <w:r>
        <w:rPr>
          <w:rFonts w:eastAsia="Calibri" w:cs="Calibri" w:eastAsiaTheme="minorHAnsi" w:ascii="Verdana" w:hAnsi="Verdana"/>
          <w:b/>
          <w:bCs/>
          <w:color w:val="auto"/>
          <w:spacing w:val="-2"/>
          <w:kern w:val="0"/>
          <w:sz w:val="20"/>
          <w:szCs w:val="20"/>
          <w:lang w:val="pl-PL" w:eastAsia="en-US" w:bidi="ar-SA"/>
        </w:rPr>
      </w:r>
    </w:p>
    <w:p>
      <w:pPr>
        <w:pStyle w:val="Tytu"/>
        <w:rPr>
          <w:rFonts w:ascii="Verdana" w:hAnsi="Verdana"/>
          <w:sz w:val="20"/>
          <w:szCs w:val="20"/>
        </w:rPr>
      </w:pPr>
      <w:r>
        <w:rPr>
          <w:rFonts w:eastAsia="Calibri" w:cs="Calibri" w:ascii="Verdana" w:hAnsi="Verdana" w:eastAsiaTheme="minorHAnsi"/>
          <w:b/>
          <w:bCs/>
          <w:color w:val="auto"/>
          <w:spacing w:val="-2"/>
          <w:kern w:val="0"/>
          <w:sz w:val="20"/>
          <w:szCs w:val="20"/>
          <w:lang w:val="pl-PL" w:eastAsia="en-US" w:bidi="ar-SA"/>
        </w:rPr>
        <w:t>WARUNKI LEASINGU (FINANSOWANIA)</w:t>
      </w:r>
    </w:p>
    <w:p>
      <w:pPr>
        <w:pStyle w:val="Tretekstu"/>
        <w:ind w:left="0" w:right="0" w:hanging="0"/>
        <w:rPr>
          <w:rFonts w:ascii="Verdana" w:hAnsi="Verdana"/>
          <w:b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</w:r>
    </w:p>
    <w:p>
      <w:pPr>
        <w:pStyle w:val="ListParagraph"/>
        <w:widowControl w:val="false"/>
        <w:numPr>
          <w:ilvl w:val="1"/>
          <w:numId w:val="1"/>
        </w:numPr>
        <w:tabs>
          <w:tab w:val="left" w:pos="848" w:leader="none"/>
          <w:tab w:val="left" w:pos="861" w:leader="none"/>
        </w:tabs>
        <w:suppressAutoHyphens w:val="true"/>
        <w:bidi w:val="0"/>
        <w:spacing w:lineRule="auto" w:line="276" w:before="0" w:after="0"/>
        <w:ind w:left="340" w:right="0" w:hanging="340"/>
        <w:jc w:val="both"/>
        <w:rPr>
          <w:rFonts w:ascii="Verdana" w:hAnsi="Verdana"/>
          <w:sz w:val="20"/>
          <w:szCs w:val="20"/>
        </w:rPr>
      </w:pPr>
      <w:r>
        <w:rPr>
          <w:sz w:val="20"/>
          <w:szCs w:val="20"/>
        </w:rPr>
        <w:t xml:space="preserve">Zamawiający przewiduje zawarcie umowy leasingu operacyjnego na okres </w:t>
      </w:r>
      <w:r>
        <w:rPr>
          <w:b/>
          <w:bCs/>
          <w:sz w:val="20"/>
          <w:szCs w:val="20"/>
        </w:rPr>
        <w:t>24 miesięcy</w:t>
      </w:r>
      <w:r>
        <w:rPr>
          <w:sz w:val="20"/>
          <w:szCs w:val="20"/>
        </w:rPr>
        <w:t>, obejmującego:</w:t>
      </w:r>
    </w:p>
    <w:p>
      <w:pPr>
        <w:pStyle w:val="ListParagraph"/>
        <w:widowControl w:val="false"/>
        <w:numPr>
          <w:ilvl w:val="1"/>
          <w:numId w:val="2"/>
        </w:numPr>
        <w:tabs>
          <w:tab w:val="left" w:pos="848" w:leader="none"/>
          <w:tab w:val="left" w:pos="861" w:leader="none"/>
        </w:tabs>
        <w:suppressAutoHyphens w:val="true"/>
        <w:bidi w:val="0"/>
        <w:spacing w:lineRule="auto" w:line="276" w:before="0" w:after="0"/>
        <w:ind w:left="1077" w:right="0" w:hanging="227"/>
        <w:jc w:val="both"/>
        <w:rPr/>
      </w:pPr>
      <w:r>
        <w:rPr/>
        <w:t>opłatę wstępną,</w:t>
      </w:r>
    </w:p>
    <w:p>
      <w:pPr>
        <w:pStyle w:val="ListParagraph"/>
        <w:widowControl w:val="false"/>
        <w:numPr>
          <w:ilvl w:val="1"/>
          <w:numId w:val="2"/>
        </w:numPr>
        <w:tabs>
          <w:tab w:val="left" w:pos="848" w:leader="none"/>
          <w:tab w:val="left" w:pos="861" w:leader="none"/>
        </w:tabs>
        <w:suppressAutoHyphens w:val="true"/>
        <w:bidi w:val="0"/>
        <w:spacing w:lineRule="auto" w:line="276" w:before="0" w:after="0"/>
        <w:ind w:left="1077" w:right="0" w:hanging="227"/>
        <w:jc w:val="both"/>
        <w:rPr/>
      </w:pPr>
      <w:r>
        <w:rPr/>
        <w:t>24 równe i niezmienne miesięczne raty leasingowe,</w:t>
      </w:r>
    </w:p>
    <w:p>
      <w:pPr>
        <w:pStyle w:val="ListParagraph"/>
        <w:widowControl w:val="false"/>
        <w:numPr>
          <w:ilvl w:val="1"/>
          <w:numId w:val="2"/>
        </w:numPr>
        <w:tabs>
          <w:tab w:val="left" w:pos="848" w:leader="none"/>
          <w:tab w:val="left" w:pos="861" w:leader="none"/>
        </w:tabs>
        <w:suppressAutoHyphens w:val="true"/>
        <w:bidi w:val="0"/>
        <w:spacing w:lineRule="auto" w:line="276" w:before="0" w:after="0"/>
        <w:ind w:left="1077" w:right="0" w:hanging="227"/>
        <w:jc w:val="both"/>
        <w:rPr/>
      </w:pPr>
      <w:r>
        <w:rPr/>
        <w:t>opłatę licencyjną płatną corocznie,</w:t>
      </w:r>
    </w:p>
    <w:p>
      <w:pPr>
        <w:pStyle w:val="ListParagraph"/>
        <w:widowControl w:val="false"/>
        <w:numPr>
          <w:ilvl w:val="1"/>
          <w:numId w:val="2"/>
        </w:numPr>
        <w:tabs>
          <w:tab w:val="left" w:pos="848" w:leader="none"/>
          <w:tab w:val="left" w:pos="861" w:leader="none"/>
        </w:tabs>
        <w:suppressAutoHyphens w:val="true"/>
        <w:bidi w:val="0"/>
        <w:spacing w:lineRule="auto" w:line="276" w:before="0" w:after="0"/>
        <w:ind w:left="1077" w:right="0" w:hanging="227"/>
        <w:jc w:val="both"/>
        <w:rPr/>
      </w:pPr>
      <w:r>
        <w:rPr/>
        <w:t>wykup pojazdu po zakończeniu leasingu.</w:t>
      </w:r>
    </w:p>
    <w:p>
      <w:pPr>
        <w:pStyle w:val="ListParagraph"/>
        <w:widowControl w:val="false"/>
        <w:numPr>
          <w:ilvl w:val="1"/>
          <w:numId w:val="1"/>
        </w:numPr>
        <w:suppressAutoHyphens w:val="true"/>
        <w:bidi w:val="0"/>
        <w:spacing w:lineRule="auto" w:line="276" w:before="0" w:after="0"/>
        <w:ind w:left="340" w:right="0" w:hanging="340"/>
        <w:jc w:val="both"/>
        <w:rPr>
          <w:rFonts w:ascii="Verdana" w:hAnsi="Verdana"/>
          <w:sz w:val="20"/>
          <w:szCs w:val="20"/>
        </w:rPr>
      </w:pPr>
      <w:r>
        <w:rPr>
          <w:sz w:val="20"/>
          <w:szCs w:val="20"/>
        </w:rPr>
        <w:t>Wysokość rat miesięcznych leasingowych powinna być stała przez cały okres trwania umowy.</w:t>
      </w:r>
    </w:p>
    <w:p>
      <w:pPr>
        <w:pStyle w:val="ListParagraph"/>
        <w:widowControl w:val="false"/>
        <w:numPr>
          <w:ilvl w:val="1"/>
          <w:numId w:val="1"/>
        </w:numPr>
        <w:suppressAutoHyphens w:val="true"/>
        <w:bidi w:val="0"/>
        <w:spacing w:lineRule="auto" w:line="276" w:before="0" w:after="0"/>
        <w:ind w:left="340" w:right="113" w:hanging="340"/>
        <w:jc w:val="both"/>
        <w:rPr>
          <w:rFonts w:ascii="Verdana" w:hAnsi="Verdana"/>
          <w:sz w:val="20"/>
          <w:szCs w:val="20"/>
        </w:rPr>
      </w:pPr>
      <w:r>
        <w:rPr>
          <w:sz w:val="20"/>
          <w:szCs w:val="20"/>
        </w:rPr>
        <w:t xml:space="preserve">Całkowity koszt leasingu operacyjnego, łącznie z opłatą wstępną, ratami, opłatami licencyjnymi i wykupem, </w:t>
      </w:r>
      <w:r>
        <w:rPr>
          <w:b/>
          <w:bCs/>
          <w:sz w:val="20"/>
          <w:szCs w:val="20"/>
        </w:rPr>
        <w:t>nie może przekroczyć kwoty 163.000 zł brutto.</w:t>
      </w:r>
    </w:p>
    <w:p>
      <w:pPr>
        <w:pStyle w:val="ListParagraph"/>
        <w:widowControl w:val="false"/>
        <w:numPr>
          <w:ilvl w:val="1"/>
          <w:numId w:val="1"/>
        </w:numPr>
        <w:suppressAutoHyphens w:val="true"/>
        <w:bidi w:val="0"/>
        <w:spacing w:lineRule="auto" w:line="276" w:before="0" w:after="0"/>
        <w:ind w:left="340" w:right="0" w:hanging="340"/>
        <w:jc w:val="both"/>
        <w:rPr>
          <w:rFonts w:ascii="Verdana" w:hAnsi="Verdana"/>
          <w:sz w:val="20"/>
          <w:szCs w:val="20"/>
        </w:rPr>
      </w:pPr>
      <w:r>
        <w:rPr>
          <w:sz w:val="20"/>
          <w:szCs w:val="20"/>
        </w:rPr>
        <w:t xml:space="preserve">Płatność raty leasingowej nastąpi każdorazowo na podstawie otrzymanej przez Zamawiającego prawidłowo wystawionej faktury, w terminie na </w:t>
      </w:r>
      <w:r>
        <w:rPr>
          <w:rFonts w:eastAsia="Calibri" w:cs="Calibri" w:eastAsiaTheme="minorHAnsi"/>
          <w:color w:val="auto"/>
          <w:kern w:val="0"/>
          <w:sz w:val="20"/>
          <w:szCs w:val="20"/>
          <w:lang w:val="pl-PL" w:eastAsia="en-US" w:bidi="ar-SA"/>
        </w:rPr>
        <w:t>20</w:t>
      </w:r>
      <w:r>
        <w:rPr>
          <w:sz w:val="20"/>
          <w:szCs w:val="20"/>
        </w:rPr>
        <w:t xml:space="preserve"> dzień każdego miesiąca zgodnie z ustalonym harmonogramem spłaty. Faktura musi zawierać informację</w:t>
        <w:br/>
        <w:t>o wysokości raty leasingowej w podziale na część kapitałową i odsetkową i być dostarczona do Zamawiającego nie później niż na 7 dni przed ustalonym w harmonogramie terminie spłaty danej raty.</w:t>
      </w:r>
    </w:p>
    <w:p>
      <w:pPr>
        <w:pStyle w:val="ListParagraph"/>
        <w:widowControl w:val="false"/>
        <w:numPr>
          <w:ilvl w:val="1"/>
          <w:numId w:val="1"/>
        </w:numPr>
        <w:tabs>
          <w:tab w:val="left" w:pos="625" w:leader="none"/>
        </w:tabs>
        <w:suppressAutoHyphens w:val="true"/>
        <w:bidi w:val="0"/>
        <w:spacing w:lineRule="auto" w:line="276" w:before="2" w:after="0"/>
        <w:ind w:left="340" w:right="0" w:hanging="340"/>
        <w:jc w:val="both"/>
        <w:rPr/>
      </w:pPr>
      <w:r>
        <w:rPr>
          <w:sz w:val="20"/>
          <w:szCs w:val="20"/>
        </w:rPr>
        <w:t>Waluta leasingu – polski złoty PLN.</w:t>
      </w:r>
    </w:p>
    <w:p>
      <w:pPr>
        <w:pStyle w:val="ListParagraph"/>
        <w:widowControl w:val="false"/>
        <w:numPr>
          <w:ilvl w:val="1"/>
          <w:numId w:val="1"/>
        </w:numPr>
        <w:tabs>
          <w:tab w:val="left" w:pos="848" w:leader="none"/>
          <w:tab w:val="left" w:pos="861" w:leader="none"/>
        </w:tabs>
        <w:suppressAutoHyphens w:val="true"/>
        <w:bidi w:val="0"/>
        <w:spacing w:lineRule="auto" w:line="276" w:before="2" w:after="0"/>
        <w:ind w:left="340" w:right="0" w:hanging="340"/>
        <w:jc w:val="both"/>
        <w:rPr/>
      </w:pPr>
      <w:r>
        <w:rPr>
          <w:sz w:val="20"/>
          <w:szCs w:val="20"/>
        </w:rPr>
        <w:t>Umowa leasingu będzie zawarta na wzorze Leasingodawcy.</w:t>
      </w:r>
    </w:p>
    <w:p>
      <w:pPr>
        <w:pStyle w:val="ListParagraph"/>
        <w:widowControl w:val="false"/>
        <w:numPr>
          <w:ilvl w:val="1"/>
          <w:numId w:val="1"/>
        </w:numPr>
        <w:tabs>
          <w:tab w:val="left" w:pos="848" w:leader="none"/>
          <w:tab w:val="left" w:pos="861" w:leader="none"/>
        </w:tabs>
        <w:suppressAutoHyphens w:val="true"/>
        <w:bidi w:val="0"/>
        <w:spacing w:lineRule="auto" w:line="276" w:before="2" w:after="0"/>
        <w:ind w:left="340" w:right="113" w:hanging="340"/>
        <w:jc w:val="both"/>
        <w:rPr/>
      </w:pPr>
      <w:r>
        <w:rPr>
          <w:sz w:val="20"/>
          <w:szCs w:val="20"/>
        </w:rPr>
        <w:t xml:space="preserve">Zamawiający dokona zapłaty pierwszej raty w miesiącu </w:t>
      </w:r>
      <w:r>
        <w:rPr>
          <w:spacing w:val="-2"/>
          <w:sz w:val="20"/>
          <w:szCs w:val="20"/>
        </w:rPr>
        <w:t>grudniu 2025r.</w:t>
      </w:r>
    </w:p>
    <w:p>
      <w:pPr>
        <w:pStyle w:val="ListParagraph"/>
        <w:widowControl w:val="false"/>
        <w:numPr>
          <w:ilvl w:val="1"/>
          <w:numId w:val="1"/>
        </w:numPr>
        <w:tabs>
          <w:tab w:val="left" w:pos="848" w:leader="none"/>
        </w:tabs>
        <w:suppressAutoHyphens w:val="true"/>
        <w:bidi w:val="0"/>
        <w:spacing w:lineRule="auto" w:line="276" w:before="0" w:after="0"/>
        <w:ind w:left="340" w:right="0" w:hanging="340"/>
        <w:jc w:val="both"/>
        <w:rPr/>
      </w:pPr>
      <w:r>
        <w:rPr>
          <w:sz w:val="20"/>
          <w:szCs w:val="20"/>
        </w:rPr>
        <w:t>Zamawiający informuje, że poniesie koszt opłaty za rejestrację i nie powinien być wyszczególnione w ofercie.</w:t>
      </w:r>
    </w:p>
    <w:p>
      <w:pPr>
        <w:pStyle w:val="ListParagraph"/>
        <w:widowControl w:val="false"/>
        <w:numPr>
          <w:ilvl w:val="1"/>
          <w:numId w:val="1"/>
        </w:numPr>
        <w:tabs>
          <w:tab w:val="left" w:pos="847" w:leader="none"/>
          <w:tab w:val="left" w:pos="861" w:leader="none"/>
        </w:tabs>
        <w:suppressAutoHyphens w:val="true"/>
        <w:bidi w:val="0"/>
        <w:spacing w:lineRule="auto" w:line="276" w:before="1" w:after="0"/>
        <w:ind w:left="340" w:right="0" w:hanging="340"/>
        <w:jc w:val="both"/>
        <w:rPr/>
      </w:pPr>
      <w:r>
        <w:rPr>
          <w:sz w:val="20"/>
          <w:szCs w:val="20"/>
        </w:rPr>
        <w:t>Zamawiający</w:t>
      </w:r>
      <w:r>
        <w:rPr>
          <w:spacing w:val="40"/>
          <w:sz w:val="20"/>
          <w:szCs w:val="20"/>
        </w:rPr>
        <w:t xml:space="preserve">  </w:t>
      </w:r>
      <w:r>
        <w:rPr>
          <w:sz w:val="20"/>
          <w:szCs w:val="20"/>
        </w:rPr>
        <w:t>informuje,</w:t>
      </w:r>
      <w:r>
        <w:rPr>
          <w:spacing w:val="40"/>
          <w:sz w:val="20"/>
          <w:szCs w:val="20"/>
        </w:rPr>
        <w:t xml:space="preserve">  </w:t>
      </w:r>
      <w:r>
        <w:rPr>
          <w:sz w:val="20"/>
          <w:szCs w:val="20"/>
        </w:rPr>
        <w:t>że</w:t>
      </w:r>
      <w:r>
        <w:rPr>
          <w:spacing w:val="40"/>
          <w:sz w:val="20"/>
          <w:szCs w:val="20"/>
        </w:rPr>
        <w:t xml:space="preserve">  </w:t>
      </w:r>
      <w:r>
        <w:rPr>
          <w:sz w:val="20"/>
          <w:szCs w:val="20"/>
        </w:rPr>
        <w:t>dokona</w:t>
      </w:r>
      <w:r>
        <w:rPr>
          <w:spacing w:val="40"/>
          <w:sz w:val="20"/>
          <w:szCs w:val="20"/>
        </w:rPr>
        <w:t xml:space="preserve">  </w:t>
      </w:r>
      <w:r>
        <w:rPr>
          <w:sz w:val="20"/>
          <w:szCs w:val="20"/>
        </w:rPr>
        <w:t>ubezpieczenia</w:t>
      </w:r>
      <w:r>
        <w:rPr>
          <w:spacing w:val="40"/>
          <w:sz w:val="20"/>
          <w:szCs w:val="20"/>
        </w:rPr>
        <w:t xml:space="preserve">  </w:t>
      </w:r>
      <w:r>
        <w:rPr>
          <w:sz w:val="20"/>
          <w:szCs w:val="20"/>
        </w:rPr>
        <w:t>przedmiotu</w:t>
      </w:r>
      <w:r>
        <w:rPr>
          <w:spacing w:val="40"/>
          <w:sz w:val="20"/>
          <w:szCs w:val="20"/>
        </w:rPr>
        <w:t xml:space="preserve">  </w:t>
      </w:r>
      <w:r>
        <w:rPr>
          <w:sz w:val="20"/>
          <w:szCs w:val="20"/>
        </w:rPr>
        <w:t>zamówienia</w:t>
      </w:r>
      <w:r>
        <w:rPr>
          <w:spacing w:val="40"/>
          <w:sz w:val="20"/>
          <w:szCs w:val="20"/>
        </w:rPr>
        <w:t xml:space="preserve"> </w:t>
      </w:r>
      <w:r>
        <w:rPr>
          <w:sz w:val="20"/>
          <w:szCs w:val="20"/>
        </w:rPr>
        <w:t xml:space="preserve">we własnym zakresie i na własny koszt. </w:t>
      </w:r>
    </w:p>
    <w:p>
      <w:pPr>
        <w:pStyle w:val="ListParagraph"/>
        <w:widowControl w:val="false"/>
        <w:numPr>
          <w:ilvl w:val="1"/>
          <w:numId w:val="1"/>
        </w:numPr>
        <w:tabs>
          <w:tab w:val="left" w:pos="847" w:leader="none"/>
          <w:tab w:val="left" w:pos="861" w:leader="none"/>
        </w:tabs>
        <w:suppressAutoHyphens w:val="true"/>
        <w:bidi w:val="0"/>
        <w:spacing w:lineRule="auto" w:line="276" w:before="1" w:after="0"/>
        <w:ind w:left="340" w:right="0" w:hanging="340"/>
        <w:jc w:val="both"/>
        <w:rPr/>
      </w:pPr>
      <w:r>
        <w:rPr>
          <w:sz w:val="20"/>
          <w:szCs w:val="20"/>
        </w:rPr>
        <w:t>Zamawiający</w:t>
      </w:r>
      <w:r>
        <w:rPr>
          <w:spacing w:val="28"/>
          <w:sz w:val="20"/>
          <w:szCs w:val="20"/>
        </w:rPr>
        <w:t xml:space="preserve"> </w:t>
      </w:r>
      <w:r>
        <w:rPr>
          <w:sz w:val="20"/>
          <w:szCs w:val="20"/>
        </w:rPr>
        <w:t>informuje,</w:t>
      </w:r>
      <w:r>
        <w:rPr>
          <w:spacing w:val="26"/>
          <w:sz w:val="20"/>
          <w:szCs w:val="20"/>
        </w:rPr>
        <w:t xml:space="preserve"> </w:t>
      </w:r>
      <w:r>
        <w:rPr>
          <w:sz w:val="20"/>
          <w:szCs w:val="20"/>
        </w:rPr>
        <w:t>że</w:t>
      </w:r>
      <w:r>
        <w:rPr>
          <w:spacing w:val="29"/>
          <w:sz w:val="20"/>
          <w:szCs w:val="20"/>
        </w:rPr>
        <w:t xml:space="preserve"> </w:t>
      </w:r>
      <w:r>
        <w:rPr>
          <w:sz w:val="20"/>
          <w:szCs w:val="20"/>
        </w:rPr>
        <w:t>będzie</w:t>
      </w:r>
      <w:r>
        <w:rPr>
          <w:spacing w:val="29"/>
          <w:sz w:val="20"/>
          <w:szCs w:val="20"/>
        </w:rPr>
        <w:t xml:space="preserve"> </w:t>
      </w:r>
      <w:r>
        <w:rPr>
          <w:sz w:val="20"/>
          <w:szCs w:val="20"/>
        </w:rPr>
        <w:t>sam</w:t>
      </w:r>
      <w:r>
        <w:rPr>
          <w:spacing w:val="28"/>
          <w:sz w:val="20"/>
          <w:szCs w:val="20"/>
        </w:rPr>
        <w:t xml:space="preserve"> </w:t>
      </w:r>
      <w:r>
        <w:rPr>
          <w:sz w:val="20"/>
          <w:szCs w:val="20"/>
        </w:rPr>
        <w:t>ponosił</w:t>
      </w:r>
      <w:r>
        <w:rPr>
          <w:spacing w:val="29"/>
          <w:sz w:val="20"/>
          <w:szCs w:val="20"/>
        </w:rPr>
        <w:t xml:space="preserve"> </w:t>
      </w:r>
      <w:r>
        <w:rPr>
          <w:sz w:val="20"/>
          <w:szCs w:val="20"/>
        </w:rPr>
        <w:t>koszty</w:t>
      </w:r>
      <w:r>
        <w:rPr>
          <w:spacing w:val="28"/>
          <w:sz w:val="20"/>
          <w:szCs w:val="20"/>
        </w:rPr>
        <w:t xml:space="preserve"> </w:t>
      </w:r>
      <w:r>
        <w:rPr>
          <w:sz w:val="20"/>
          <w:szCs w:val="20"/>
        </w:rPr>
        <w:t>mandatów,</w:t>
      </w:r>
      <w:r>
        <w:rPr>
          <w:spacing w:val="28"/>
          <w:sz w:val="20"/>
          <w:szCs w:val="20"/>
        </w:rPr>
        <w:t xml:space="preserve"> </w:t>
      </w:r>
      <w:r>
        <w:rPr>
          <w:sz w:val="20"/>
          <w:szCs w:val="20"/>
        </w:rPr>
        <w:t>opłat</w:t>
      </w:r>
      <w:r>
        <w:rPr>
          <w:spacing w:val="27"/>
          <w:sz w:val="20"/>
          <w:szCs w:val="20"/>
        </w:rPr>
        <w:t xml:space="preserve"> </w:t>
      </w:r>
      <w:r>
        <w:rPr>
          <w:sz w:val="20"/>
          <w:szCs w:val="20"/>
        </w:rPr>
        <w:t>związanych</w:t>
        <w:br/>
        <w:t>z</w:t>
      </w:r>
      <w:r>
        <w:rPr>
          <w:spacing w:val="40"/>
          <w:sz w:val="20"/>
          <w:szCs w:val="20"/>
        </w:rPr>
        <w:t xml:space="preserve"> </w:t>
      </w:r>
      <w:r>
        <w:rPr>
          <w:sz w:val="20"/>
          <w:szCs w:val="20"/>
        </w:rPr>
        <w:t>przerejestrowaniem</w:t>
      </w:r>
      <w:r>
        <w:rPr>
          <w:spacing w:val="40"/>
          <w:sz w:val="20"/>
          <w:szCs w:val="20"/>
        </w:rPr>
        <w:t xml:space="preserve"> </w:t>
      </w:r>
      <w:r>
        <w:rPr>
          <w:sz w:val="20"/>
          <w:szCs w:val="20"/>
        </w:rPr>
        <w:t>oraz</w:t>
      </w:r>
      <w:r>
        <w:rPr>
          <w:spacing w:val="40"/>
          <w:sz w:val="20"/>
          <w:szCs w:val="20"/>
        </w:rPr>
        <w:t xml:space="preserve"> </w:t>
      </w:r>
      <w:r>
        <w:rPr>
          <w:sz w:val="20"/>
          <w:szCs w:val="20"/>
        </w:rPr>
        <w:t>związanym</w:t>
      </w:r>
      <w:r>
        <w:rPr>
          <w:spacing w:val="40"/>
          <w:sz w:val="20"/>
          <w:szCs w:val="20"/>
        </w:rPr>
        <w:t xml:space="preserve"> </w:t>
      </w:r>
      <w:r>
        <w:rPr>
          <w:sz w:val="20"/>
          <w:szCs w:val="20"/>
        </w:rPr>
        <w:t>z</w:t>
      </w:r>
      <w:r>
        <w:rPr>
          <w:spacing w:val="40"/>
          <w:sz w:val="20"/>
          <w:szCs w:val="20"/>
        </w:rPr>
        <w:t xml:space="preserve"> </w:t>
      </w:r>
      <w:r>
        <w:rPr>
          <w:sz w:val="20"/>
          <w:szCs w:val="20"/>
        </w:rPr>
        <w:t>tym</w:t>
      </w:r>
      <w:r>
        <w:rPr>
          <w:spacing w:val="40"/>
          <w:sz w:val="20"/>
          <w:szCs w:val="20"/>
        </w:rPr>
        <w:t xml:space="preserve"> </w:t>
      </w:r>
      <w:r>
        <w:rPr>
          <w:sz w:val="20"/>
          <w:szCs w:val="20"/>
        </w:rPr>
        <w:t>wydaniem</w:t>
      </w:r>
      <w:r>
        <w:rPr>
          <w:spacing w:val="40"/>
          <w:sz w:val="20"/>
          <w:szCs w:val="20"/>
        </w:rPr>
        <w:t xml:space="preserve"> </w:t>
      </w:r>
      <w:r>
        <w:rPr>
          <w:sz w:val="20"/>
          <w:szCs w:val="20"/>
        </w:rPr>
        <w:t>naklejek</w:t>
      </w:r>
      <w:r>
        <w:rPr>
          <w:spacing w:val="40"/>
          <w:sz w:val="20"/>
          <w:szCs w:val="20"/>
        </w:rPr>
        <w:t xml:space="preserve"> </w:t>
      </w:r>
      <w:r>
        <w:rPr>
          <w:sz w:val="20"/>
          <w:szCs w:val="20"/>
        </w:rPr>
        <w:t>legalizacyjnych lub tablic rejestracyjnych.</w:t>
      </w:r>
    </w:p>
    <w:p>
      <w:pPr>
        <w:pStyle w:val="ListParagraph"/>
        <w:numPr>
          <w:ilvl w:val="0"/>
          <w:numId w:val="0"/>
        </w:numPr>
        <w:tabs>
          <w:tab w:val="left" w:pos="847" w:leader="none"/>
          <w:tab w:val="left" w:pos="861" w:leader="none"/>
        </w:tabs>
        <w:spacing w:lineRule="auto" w:line="240" w:before="2" w:after="0"/>
        <w:ind w:left="1636" w:right="136" w:hanging="0"/>
        <w:jc w:val="both"/>
        <w:rPr>
          <w:rFonts w:ascii="Verdana" w:hAnsi="Verdana"/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numPr>
          <w:ilvl w:val="0"/>
          <w:numId w:val="0"/>
        </w:numPr>
        <w:tabs>
          <w:tab w:val="clear" w:pos="720"/>
          <w:tab w:val="left" w:pos="847" w:leader="none"/>
          <w:tab w:val="left" w:pos="861" w:leader="none"/>
        </w:tabs>
        <w:spacing w:lineRule="auto" w:line="240" w:before="2" w:after="0"/>
        <w:ind w:left="0" w:right="136" w:hanging="0"/>
        <w:jc w:val="left"/>
        <w:rPr/>
      </w:pPr>
      <w:r>
        <w:rPr/>
      </w:r>
    </w:p>
    <w:sectPr>
      <w:type w:val="nextPage"/>
      <w:pgSz w:w="11906" w:h="16838"/>
      <w:pgMar w:left="1275" w:right="993" w:header="0" w:top="1360" w:footer="0" w:bottom="28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Verdana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0"/>
        </w:tabs>
        <w:ind w:left="326" w:hanging="185"/>
      </w:pPr>
      <w:rPr>
        <w:sz w:val="24"/>
        <w:spacing w:val="0"/>
        <w:i w:val="false"/>
        <w:u w:val="single" w:color="000000"/>
        <w:b/>
        <w:szCs w:val="24"/>
        <w:iCs w:val="false"/>
        <w:bCs/>
        <w:w w:val="84"/>
        <w:rFonts w:ascii="Calibri" w:hAnsi="Calibri" w:eastAsia="Calibri" w:cs="Calibri"/>
        <w:lang w:val="pl-PL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135" w:hanging="360"/>
      </w:pPr>
      <w:rPr>
        <w:sz w:val="20"/>
        <w:spacing w:val="0"/>
        <w:i w:val="false"/>
        <w:b w:val="false"/>
        <w:szCs w:val="20"/>
        <w:iCs w:val="false"/>
        <w:bCs w:val="false"/>
        <w:w w:val="100"/>
        <w:rFonts w:ascii="Verdana" w:hAnsi="Verdana" w:eastAsia="Calibri" w:cs="Calibri"/>
        <w:lang w:val="pl-PL" w:eastAsia="en-US" w:bidi="ar-SA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221" w:hanging="360"/>
      </w:pPr>
      <w:rPr>
        <w:sz w:val="24"/>
        <w:spacing w:val="0"/>
        <w:i w:val="false"/>
        <w:b w:val="false"/>
        <w:szCs w:val="24"/>
        <w:iCs w:val="false"/>
        <w:bCs w:val="false"/>
        <w:w w:val="100"/>
        <w:rFonts w:ascii="Calibri" w:hAnsi="Calibri" w:eastAsia="Calibri" w:cs="Calibri"/>
        <w:lang w:val="pl-PL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220" w:hanging="360"/>
      </w:pPr>
      <w:rPr>
        <w:rFonts w:ascii="Symbol" w:hAnsi="Symbol" w:cs="Symbol" w:hint="default"/>
        <w:lang w:val="pl-PL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382" w:hanging="360"/>
      </w:pPr>
      <w:rPr>
        <w:rFonts w:ascii="Symbol" w:hAnsi="Symbol" w:cs="Symbol" w:hint="default"/>
        <w:lang w:val="pl-PL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544" w:hanging="360"/>
      </w:pPr>
      <w:rPr>
        <w:rFonts w:ascii="Symbol" w:hAnsi="Symbol" w:cs="Symbol" w:hint="default"/>
        <w:lang w:val="pl-PL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707" w:hanging="360"/>
      </w:pPr>
      <w:rPr>
        <w:rFonts w:ascii="Symbol" w:hAnsi="Symbol" w:cs="Symbol" w:hint="default"/>
        <w:lang w:val="pl-PL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869" w:hanging="360"/>
      </w:pPr>
      <w:rPr>
        <w:rFonts w:ascii="Symbol" w:hAnsi="Symbol" w:cs="Symbol" w:hint="default"/>
        <w:lang w:val="pl-PL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031" w:hanging="360"/>
      </w:pPr>
      <w:rPr>
        <w:rFonts w:ascii="Symbol" w:hAnsi="Symbol" w:cs="Symbol" w:hint="default"/>
        <w:lang w:val="pl-PL" w:eastAsia="en-US" w:bidi="ar-SA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Nagwek1">
    <w:name w:val="Heading 1"/>
    <w:basedOn w:val="Normal"/>
    <w:uiPriority w:val="1"/>
    <w:qFormat/>
    <w:pPr>
      <w:ind w:left="141" w:right="0" w:hanging="0"/>
      <w:outlineLvl w:val="1"/>
    </w:pPr>
    <w:rPr>
      <w:rFonts w:ascii="Calibri" w:hAnsi="Calibri" w:eastAsia="Calibri" w:cs="Calibri"/>
      <w:b/>
      <w:bCs/>
      <w:sz w:val="24"/>
      <w:szCs w:val="24"/>
      <w:u w:val="single" w:color="000000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uiPriority w:val="1"/>
    <w:qFormat/>
    <w:pPr>
      <w:ind w:left="847" w:right="0" w:hanging="360"/>
    </w:pPr>
    <w:rPr>
      <w:rFonts w:ascii="Calibri" w:hAnsi="Calibri" w:eastAsia="Calibri" w:cs="Calibri"/>
      <w:sz w:val="24"/>
      <w:szCs w:val="24"/>
      <w:lang w:val="pl-PL" w:eastAsia="en-US" w:bidi="ar-SA"/>
    </w:rPr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Tytu">
    <w:name w:val="Title"/>
    <w:basedOn w:val="Normal"/>
    <w:uiPriority w:val="1"/>
    <w:qFormat/>
    <w:pPr>
      <w:spacing w:before="246" w:after="0"/>
      <w:ind w:left="2" w:right="0" w:hanging="0"/>
      <w:jc w:val="center"/>
    </w:pPr>
    <w:rPr>
      <w:rFonts w:ascii="Calibri" w:hAnsi="Calibri" w:eastAsia="Calibri" w:cs="Calibri"/>
      <w:b/>
      <w:bCs/>
      <w:sz w:val="28"/>
      <w:szCs w:val="28"/>
      <w:lang w:val="pl-PL" w:eastAsia="en-US" w:bidi="ar-SA"/>
    </w:rPr>
  </w:style>
  <w:style w:type="paragraph" w:styleId="ListParagraph">
    <w:name w:val="List Paragraph"/>
    <w:basedOn w:val="Normal"/>
    <w:uiPriority w:val="1"/>
    <w:qFormat/>
    <w:pPr>
      <w:tabs>
        <w:tab w:val="clear" w:pos="720"/>
      </w:tabs>
      <w:ind w:left="847" w:right="0" w:hanging="360"/>
    </w:pPr>
    <w:rPr>
      <w:rFonts w:ascii="Verdana" w:hAnsi="Verdana" w:eastAsia="Calibri" w:cs="Calibri"/>
      <w:sz w:val="20"/>
      <w:lang w:val="pl-PL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l-PL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Punktor">
    <w:name w:val="Punktor •"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Application>LibreOffice/7.1.4.2$Windows_X86_64 LibreOffice_project/a529a4fab45b75fefc5b6226684193eb000654f6</Application>
  <AppVersion>15.0000</AppVersion>
  <Pages>1</Pages>
  <Words>212</Words>
  <Characters>1339</Characters>
  <CharactersWithSpaces>1530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2025-11-03T08:14:35Z</dcterms:created>
  <dc:creator/>
  <dc:description/>
  <dc:language>pl-PL</dc:language>
  <cp:lastModifiedBy/>
  <cp:lastPrinted>2025-11-03T13:24:49Z</cp:lastPrinted>
  <dcterms:modified xsi:type="dcterms:W3CDTF">2025-11-04T09:11:11Z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2023-10-26T00:00:00Z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2025-11-03T00:00:00Z</vt:filetime>
  </property>
  <property fmtid="{D5CDD505-2E9C-101B-9397-08002B2CF9AE}" pid="5" name="Producer">
    <vt:lpwstr>Microsoft® Word dla Microsoft 365</vt:lpwstr>
  </property>
</Properties>
</file>