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0245D67F"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5E08E2" w14:textId="77777777" w:rsidR="00D02026" w:rsidRPr="00B51319" w:rsidRDefault="00D02026" w:rsidP="00304C81">
            <w:pPr>
              <w:pStyle w:val="Legenda"/>
            </w:pPr>
          </w:p>
          <w:p w14:paraId="54877D9F" w14:textId="77777777" w:rsidR="002C1A69" w:rsidRPr="00A76B0F" w:rsidRDefault="002C1A69" w:rsidP="005A3323">
            <w:pPr>
              <w:spacing w:afterLines="10" w:after="24"/>
              <w:jc w:val="center"/>
              <w:rPr>
                <w:rFonts w:asciiTheme="minorHAnsi" w:hAnsiTheme="minorHAnsi"/>
                <w:b/>
                <w:sz w:val="18"/>
                <w:szCs w:val="18"/>
              </w:rPr>
            </w:pPr>
          </w:p>
          <w:p w14:paraId="6CEB2D74" w14:textId="77777777" w:rsidR="001759EE" w:rsidRPr="009D79DE" w:rsidRDefault="0061506F" w:rsidP="005A3323">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14:paraId="153B9C2D" w14:textId="5C76E0AB" w:rsidR="00CB62B8" w:rsidRPr="009D79DE" w:rsidRDefault="00B94E3F" w:rsidP="005A3323">
            <w:pPr>
              <w:shd w:val="clear" w:color="auto" w:fill="FFFFFF" w:themeFill="background1"/>
              <w:spacing w:afterLines="10" w:after="24"/>
              <w:jc w:val="center"/>
              <w:rPr>
                <w:rFonts w:asciiTheme="minorHAnsi" w:hAnsiTheme="minorHAnsi"/>
                <w:b/>
                <w:sz w:val="28"/>
                <w:szCs w:val="28"/>
                <w:shd w:val="clear" w:color="auto" w:fill="FFFFFF" w:themeFill="background1"/>
              </w:rPr>
            </w:pPr>
            <w:r w:rsidRPr="009D79DE">
              <w:rPr>
                <w:rFonts w:asciiTheme="minorHAnsi" w:hAnsiTheme="minorHAnsi"/>
                <w:b/>
                <w:sz w:val="28"/>
                <w:szCs w:val="28"/>
                <w:shd w:val="clear" w:color="auto" w:fill="FFFFFF" w:themeFill="background1"/>
              </w:rPr>
              <w:t xml:space="preserve">NA </w:t>
            </w:r>
            <w:r w:rsidR="00CB62B8" w:rsidRPr="009D79DE">
              <w:rPr>
                <w:rFonts w:asciiTheme="minorHAnsi" w:hAnsiTheme="minorHAnsi"/>
                <w:b/>
                <w:sz w:val="28"/>
                <w:szCs w:val="28"/>
                <w:shd w:val="clear" w:color="auto" w:fill="FFFFFF" w:themeFill="background1"/>
              </w:rPr>
              <w:t xml:space="preserve">ZAKUP I </w:t>
            </w:r>
            <w:r w:rsidR="00733A36">
              <w:rPr>
                <w:rFonts w:asciiTheme="minorHAnsi" w:hAnsiTheme="minorHAnsi"/>
                <w:b/>
                <w:sz w:val="28"/>
                <w:szCs w:val="28"/>
                <w:shd w:val="clear" w:color="auto" w:fill="FFFFFF" w:themeFill="background1"/>
              </w:rPr>
              <w:t xml:space="preserve">DOSTAWĘ </w:t>
            </w:r>
            <w:r w:rsidR="00733A36" w:rsidRPr="00733A36">
              <w:rPr>
                <w:rFonts w:asciiTheme="minorHAnsi" w:hAnsiTheme="minorHAnsi"/>
                <w:b/>
                <w:sz w:val="28"/>
                <w:szCs w:val="28"/>
              </w:rPr>
              <w:t>JEDNORAZOWYCH NARZĘDZI DO ZAMYKANIA NACZYŃ</w:t>
            </w:r>
          </w:p>
          <w:p w14:paraId="2AE32684" w14:textId="77777777" w:rsidR="009E6412" w:rsidRPr="009D79DE" w:rsidRDefault="00CB62B8" w:rsidP="005A3323">
            <w:pPr>
              <w:shd w:val="clear" w:color="auto" w:fill="FFFFFF" w:themeFill="background1"/>
              <w:spacing w:afterLines="10" w:after="24"/>
              <w:jc w:val="center"/>
              <w:rPr>
                <w:rFonts w:asciiTheme="minorHAnsi" w:hAnsiTheme="minorHAnsi"/>
                <w:b/>
                <w:sz w:val="28"/>
                <w:szCs w:val="28"/>
                <w:shd w:val="clear" w:color="auto" w:fill="FFFFFF" w:themeFill="background1"/>
              </w:rPr>
            </w:pPr>
            <w:r w:rsidRPr="009D79DE">
              <w:rPr>
                <w:rFonts w:asciiTheme="minorHAnsi" w:hAnsiTheme="minorHAnsi"/>
                <w:b/>
                <w:sz w:val="28"/>
                <w:szCs w:val="28"/>
                <w:shd w:val="clear" w:color="auto" w:fill="FFFFFF" w:themeFill="background1"/>
              </w:rPr>
              <w:t>DLA</w:t>
            </w:r>
            <w:r w:rsidR="009E6412" w:rsidRPr="009D79DE">
              <w:rPr>
                <w:rFonts w:asciiTheme="minorHAnsi" w:hAnsiTheme="minorHAnsi"/>
                <w:b/>
                <w:sz w:val="28"/>
                <w:szCs w:val="28"/>
                <w:shd w:val="clear" w:color="auto" w:fill="FFFFFF" w:themeFill="background1"/>
              </w:rPr>
              <w:t xml:space="preserve"> </w:t>
            </w:r>
            <w:r w:rsidR="007123C0" w:rsidRPr="009D79DE">
              <w:rPr>
                <w:rFonts w:asciiTheme="minorHAnsi" w:hAnsiTheme="minorHAnsi"/>
                <w:b/>
                <w:sz w:val="28"/>
                <w:szCs w:val="28"/>
                <w:shd w:val="clear" w:color="auto" w:fill="FFFFFF" w:themeFill="background1"/>
              </w:rPr>
              <w:t>ŚWIĘTOKRZYSKIEGO CENTRUM ONKOLOGII W KIELCACH</w:t>
            </w:r>
          </w:p>
          <w:p w14:paraId="67496A52" w14:textId="77777777" w:rsidR="009D1198" w:rsidRPr="009D79DE" w:rsidRDefault="009D1198" w:rsidP="00304C81">
            <w:pPr>
              <w:pStyle w:val="Nagwek"/>
              <w:jc w:val="center"/>
              <w:rPr>
                <w:rFonts w:asciiTheme="minorHAnsi" w:hAnsiTheme="minorHAnsi"/>
                <w:b/>
                <w:sz w:val="28"/>
                <w:szCs w:val="28"/>
              </w:rPr>
            </w:pPr>
          </w:p>
          <w:p w14:paraId="0680B9DD" w14:textId="579F111B"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AD19C1">
              <w:rPr>
                <w:rFonts w:asciiTheme="minorHAnsi" w:hAnsiTheme="minorHAnsi"/>
                <w:b/>
                <w:sz w:val="24"/>
                <w:szCs w:val="24"/>
              </w:rPr>
              <w:t>I</w:t>
            </w:r>
            <w:r w:rsidR="000312A7" w:rsidRPr="009D79DE">
              <w:rPr>
                <w:rFonts w:asciiTheme="minorHAnsi" w:hAnsiTheme="minorHAnsi"/>
                <w:b/>
                <w:sz w:val="24"/>
                <w:szCs w:val="24"/>
              </w:rPr>
              <w:t>ZP.2411</w:t>
            </w:r>
            <w:r w:rsidR="00733A36">
              <w:rPr>
                <w:rFonts w:asciiTheme="minorHAnsi" w:hAnsiTheme="minorHAnsi"/>
                <w:b/>
                <w:sz w:val="24"/>
                <w:szCs w:val="24"/>
              </w:rPr>
              <w:t>.1</w:t>
            </w:r>
            <w:r w:rsidR="0025686D">
              <w:rPr>
                <w:rFonts w:asciiTheme="minorHAnsi" w:hAnsiTheme="minorHAnsi"/>
                <w:b/>
                <w:sz w:val="24"/>
                <w:szCs w:val="24"/>
              </w:rPr>
              <w:t>68</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25686D">
              <w:rPr>
                <w:rFonts w:asciiTheme="minorHAnsi" w:hAnsiTheme="minorHAnsi"/>
                <w:b/>
                <w:sz w:val="24"/>
                <w:szCs w:val="24"/>
              </w:rPr>
              <w:t>4</w:t>
            </w:r>
            <w:r w:rsidR="007577A4" w:rsidRPr="009D79DE">
              <w:rPr>
                <w:rFonts w:asciiTheme="minorHAnsi" w:hAnsiTheme="minorHAnsi"/>
                <w:b/>
                <w:sz w:val="24"/>
                <w:szCs w:val="24"/>
              </w:rPr>
              <w:t>.</w:t>
            </w:r>
            <w:r w:rsidR="007C6330" w:rsidRPr="009D79DE">
              <w:rPr>
                <w:rFonts w:asciiTheme="minorHAnsi" w:hAnsiTheme="minorHAnsi"/>
                <w:b/>
                <w:sz w:val="24"/>
                <w:szCs w:val="24"/>
              </w:rPr>
              <w:t>A</w:t>
            </w:r>
            <w:r w:rsidR="00AD19C1">
              <w:rPr>
                <w:rFonts w:asciiTheme="minorHAnsi" w:hAnsiTheme="minorHAnsi"/>
                <w:b/>
                <w:sz w:val="24"/>
                <w:szCs w:val="24"/>
              </w:rPr>
              <w:t>M</w:t>
            </w:r>
          </w:p>
          <w:p w14:paraId="1367003F" w14:textId="77777777" w:rsidR="00CC5F6F" w:rsidRPr="009D79DE" w:rsidRDefault="00CC5F6F" w:rsidP="005A3323">
            <w:pPr>
              <w:spacing w:afterLines="10" w:after="24"/>
              <w:jc w:val="center"/>
              <w:rPr>
                <w:rFonts w:asciiTheme="minorHAnsi" w:hAnsiTheme="minorHAnsi"/>
                <w:b/>
                <w:sz w:val="18"/>
                <w:szCs w:val="18"/>
              </w:rPr>
            </w:pPr>
          </w:p>
          <w:p w14:paraId="718123C3" w14:textId="77777777" w:rsidR="00D02026" w:rsidRPr="009D79DE" w:rsidRDefault="00D02026" w:rsidP="005A3323">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2258CF44" w14:textId="77777777" w:rsidTr="0098508C">
        <w:tc>
          <w:tcPr>
            <w:tcW w:w="1016" w:type="pct"/>
            <w:tcMar>
              <w:left w:w="0" w:type="dxa"/>
              <w:right w:w="0" w:type="dxa"/>
            </w:tcMar>
          </w:tcPr>
          <w:p w14:paraId="4C4273EB"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2C65D78A"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5A0A9974"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63ADEC8D" w14:textId="77777777" w:rsidR="0098508C" w:rsidRPr="009D79DE" w:rsidRDefault="0098508C" w:rsidP="00304C81">
            <w:pPr>
              <w:spacing w:line="240" w:lineRule="auto"/>
              <w:ind w:right="-1"/>
              <w:jc w:val="right"/>
              <w:rPr>
                <w:rFonts w:asciiTheme="minorHAnsi" w:hAnsiTheme="minorHAnsi"/>
                <w:noProof/>
              </w:rPr>
            </w:pPr>
          </w:p>
        </w:tc>
      </w:tr>
    </w:tbl>
    <w:p w14:paraId="441428B6" w14:textId="14322D72" w:rsidR="00D042BD" w:rsidRPr="009D79DE" w:rsidRDefault="00C44872" w:rsidP="005A3323">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3D47C7">
        <w:rPr>
          <w:rFonts w:asciiTheme="minorHAnsi" w:hAnsiTheme="minorHAnsi"/>
        </w:rPr>
        <w:t>10.07.2024</w:t>
      </w:r>
      <w:r w:rsidR="00D042BD" w:rsidRPr="000C2906">
        <w:rPr>
          <w:rFonts w:asciiTheme="minorHAnsi" w:hAnsiTheme="minorHAnsi"/>
        </w:rPr>
        <w:t>.</w:t>
      </w:r>
    </w:p>
    <w:p w14:paraId="546AB31F" w14:textId="77777777" w:rsidR="00634F3A" w:rsidRPr="009D79DE" w:rsidRDefault="001B5998" w:rsidP="005A3323">
      <w:pPr>
        <w:spacing w:before="240" w:afterLines="10" w:after="24" w:line="240" w:lineRule="auto"/>
        <w:jc w:val="right"/>
        <w:rPr>
          <w:rFonts w:asciiTheme="minorHAnsi" w:hAnsiTheme="minorHAnsi"/>
        </w:rPr>
      </w:pPr>
      <w:r w:rsidRPr="009D79DE">
        <w:rPr>
          <w:rFonts w:asciiTheme="minorHAnsi" w:hAnsiTheme="minorHAnsi"/>
        </w:rPr>
        <w:t xml:space="preserve"> </w:t>
      </w:r>
    </w:p>
    <w:p w14:paraId="1C668069" w14:textId="77777777" w:rsidR="00044D3E" w:rsidRPr="009D79DE" w:rsidRDefault="00A86CE8" w:rsidP="005A3323">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00FA0217">
        <w:rPr>
          <w:rFonts w:asciiTheme="minorHAnsi" w:hAnsiTheme="minorHAnsi"/>
        </w:rPr>
        <w:t xml:space="preserve"> Prawo zamówień publicznych,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2358EEF3" w14:textId="77777777" w:rsidR="0061506F" w:rsidRPr="009D79DE" w:rsidRDefault="0061506F" w:rsidP="005A3323">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25D39999" w14:textId="77777777" w:rsidR="00F420F2" w:rsidRPr="009D79DE" w:rsidRDefault="00F420F2" w:rsidP="005A3323">
      <w:pPr>
        <w:spacing w:before="240" w:afterLines="10" w:after="24" w:line="240" w:lineRule="auto"/>
        <w:jc w:val="both"/>
        <w:rPr>
          <w:rFonts w:asciiTheme="minorHAnsi" w:hAnsiTheme="minorHAnsi"/>
          <w:sz w:val="18"/>
          <w:szCs w:val="18"/>
        </w:rPr>
      </w:pPr>
    </w:p>
    <w:p w14:paraId="41B85AB3" w14:textId="77777777" w:rsidR="007C6330" w:rsidRPr="009D79DE" w:rsidRDefault="00EA3B52" w:rsidP="005A3323">
      <w:pPr>
        <w:spacing w:before="240" w:afterLines="10" w:after="24" w:line="240" w:lineRule="auto"/>
        <w:ind w:left="4248" w:firstLine="708"/>
        <w:jc w:val="center"/>
        <w:rPr>
          <w:rFonts w:asciiTheme="minorHAnsi" w:hAnsiTheme="minorHAnsi"/>
        </w:rPr>
      </w:pPr>
      <w:r w:rsidRPr="009D79DE">
        <w:rPr>
          <w:rFonts w:asciiTheme="minorHAnsi" w:hAnsiTheme="minorHAnsi"/>
        </w:rPr>
        <w:t>Zatwierdzam</w:t>
      </w:r>
    </w:p>
    <w:p w14:paraId="587C4FE1" w14:textId="5262D0ED" w:rsidR="007C6330" w:rsidRPr="009D79DE" w:rsidRDefault="00061B80" w:rsidP="005A3323">
      <w:pPr>
        <w:spacing w:afterLines="10" w:after="24"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Z-</w:t>
      </w:r>
      <w:proofErr w:type="spellStart"/>
      <w:r w:rsidRPr="009D79DE">
        <w:rPr>
          <w:rFonts w:asciiTheme="minorHAnsi" w:hAnsiTheme="minorHAnsi"/>
          <w:i/>
          <w:color w:val="FFFFFF" w:themeColor="background1"/>
          <w:sz w:val="18"/>
          <w:szCs w:val="18"/>
        </w:rPr>
        <w:t>ca</w:t>
      </w:r>
      <w:r w:rsidR="00540EEE">
        <w:t>Z</w:t>
      </w:r>
      <w:proofErr w:type="spellEnd"/>
      <w:r w:rsidR="00540EEE">
        <w:t xml:space="preserve">-ca Dyrektora ds. Prawno – Inwestycyjnych Krzysztof </w:t>
      </w:r>
      <w:proofErr w:type="spellStart"/>
      <w:r w:rsidR="00540EEE">
        <w:t>Falana</w:t>
      </w:r>
      <w:proofErr w:type="spellEnd"/>
      <w:r w:rsidRPr="009D79DE">
        <w:rPr>
          <w:rFonts w:asciiTheme="minorHAnsi" w:hAnsiTheme="minorHAnsi"/>
          <w:i/>
          <w:color w:val="FFFFFF" w:themeColor="background1"/>
          <w:sz w:val="18"/>
          <w:szCs w:val="18"/>
        </w:rPr>
        <w:t xml:space="preserve"> Dyrektora </w:t>
      </w:r>
    </w:p>
    <w:p w14:paraId="1824350C" w14:textId="77777777"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14:paraId="4013DD62" w14:textId="77777777" w:rsidR="007C6330" w:rsidRPr="009D79DE" w:rsidRDefault="007C6330" w:rsidP="00304C81">
      <w:pPr>
        <w:spacing w:line="240" w:lineRule="auto"/>
        <w:rPr>
          <w:rFonts w:asciiTheme="minorHAnsi" w:hAnsiTheme="minorHAnsi"/>
          <w:sz w:val="18"/>
          <w:szCs w:val="18"/>
        </w:rPr>
      </w:pPr>
      <w:r w:rsidRPr="009D79DE">
        <w:rPr>
          <w:rFonts w:asciiTheme="minorHAnsi" w:hAnsiTheme="minorHAnsi"/>
          <w:sz w:val="18"/>
          <w:szCs w:val="18"/>
        </w:rPr>
        <w:br w:type="page"/>
      </w:r>
    </w:p>
    <w:p w14:paraId="5520D224" w14:textId="77777777" w:rsidR="00AE2DEF"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14:paraId="672A8B3D" w14:textId="77777777" w:rsidR="00AE2DEF" w:rsidRPr="009D79DE" w:rsidRDefault="007767A6" w:rsidP="005A3323">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662C8D08" w14:textId="77777777" w:rsidR="003010B7" w:rsidRPr="009D79DE" w:rsidRDefault="003010B7" w:rsidP="005A3323">
      <w:pPr>
        <w:spacing w:afterLines="10" w:after="24" w:line="240" w:lineRule="auto"/>
        <w:ind w:left="360" w:hanging="360"/>
        <w:jc w:val="both"/>
        <w:rPr>
          <w:rFonts w:asciiTheme="minorHAnsi" w:hAnsiTheme="minorHAnsi"/>
          <w:b/>
          <w:sz w:val="18"/>
          <w:szCs w:val="18"/>
        </w:rPr>
      </w:pPr>
    </w:p>
    <w:p w14:paraId="562B5EFF"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58E83679"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5F7EB7FE"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1B6564AA"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1BD39BFC"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2013DE4D"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14:paraId="3543FBF3"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0C257A2A" w14:textId="77777777" w:rsidR="00D4096B" w:rsidRPr="009D79DE" w:rsidRDefault="00000000" w:rsidP="005A3323">
      <w:pPr>
        <w:pStyle w:val="Akapitzlist"/>
        <w:spacing w:afterLines="10" w:after="24"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14CC4B6B" w14:textId="77777777" w:rsidR="00D4096B" w:rsidRPr="009D79DE" w:rsidRDefault="00D4096B" w:rsidP="005A3323">
      <w:pPr>
        <w:spacing w:afterLines="10" w:after="24" w:line="240" w:lineRule="auto"/>
        <w:ind w:left="350"/>
        <w:jc w:val="both"/>
        <w:rPr>
          <w:rFonts w:asciiTheme="minorHAnsi" w:hAnsiTheme="minorHAnsi"/>
          <w:sz w:val="18"/>
          <w:szCs w:val="18"/>
        </w:rPr>
      </w:pPr>
    </w:p>
    <w:p w14:paraId="7C75F726" w14:textId="77777777" w:rsidR="00903C8F" w:rsidRPr="009D79DE" w:rsidRDefault="008A453B" w:rsidP="005A3323">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54975E3F" w14:textId="77777777" w:rsidR="004800D1" w:rsidRPr="009D79DE" w:rsidRDefault="009E1B33" w:rsidP="005A3323">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r w:rsidR="008A453B" w:rsidRPr="009D79DE">
        <w:rPr>
          <w:rFonts w:asciiTheme="minorHAnsi" w:hAnsiTheme="minorHAnsi"/>
          <w:sz w:val="18"/>
          <w:szCs w:val="18"/>
        </w:rPr>
        <w:t>Pzp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Do spraw nieuregulowanych ustawą Pzp mają zastosowanie przepisy Kodeksu Cywilnego.</w:t>
      </w:r>
    </w:p>
    <w:p w14:paraId="4E077106"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0E87E0BA" w14:textId="77777777"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76F1">
        <w:rPr>
          <w:rFonts w:asciiTheme="minorHAnsi" w:hAnsiTheme="minorHAnsi"/>
          <w:sz w:val="18"/>
          <w:szCs w:val="18"/>
        </w:rPr>
        <w:t xml:space="preserve">od </w:t>
      </w:r>
      <w:r w:rsidRPr="006B76F1">
        <w:rPr>
          <w:rFonts w:ascii="Calibri" w:hAnsi="Calibri"/>
          <w:sz w:val="18"/>
          <w:szCs w:val="18"/>
        </w:rPr>
        <w:t xml:space="preserve">1 </w:t>
      </w:r>
      <w:r w:rsidR="00C5703C" w:rsidRPr="006B76F1">
        <w:rPr>
          <w:rFonts w:asciiTheme="minorHAnsi" w:hAnsiTheme="minorHAnsi"/>
          <w:sz w:val="18"/>
          <w:szCs w:val="18"/>
        </w:rPr>
        <w:t>do 7</w:t>
      </w:r>
      <w:r w:rsidRPr="006B76F1">
        <w:rPr>
          <w:rFonts w:asciiTheme="minorHAnsi" w:hAnsiTheme="minorHAnsi"/>
          <w:sz w:val="18"/>
          <w:szCs w:val="18"/>
        </w:rPr>
        <w:t xml:space="preserve"> </w:t>
      </w:r>
      <w:r w:rsidRPr="006B76F1">
        <w:rPr>
          <w:rFonts w:ascii="Calibri" w:hAnsi="Calibri"/>
          <w:sz w:val="18"/>
          <w:szCs w:val="18"/>
        </w:rPr>
        <w:t>do SWZ.</w:t>
      </w:r>
    </w:p>
    <w:p w14:paraId="0DC5087B" w14:textId="77777777" w:rsidR="004800D1" w:rsidRPr="009D79DE" w:rsidRDefault="004800D1" w:rsidP="005A3323">
      <w:pPr>
        <w:spacing w:afterLines="10" w:after="24" w:line="240" w:lineRule="auto"/>
        <w:ind w:left="350"/>
        <w:jc w:val="both"/>
        <w:rPr>
          <w:rFonts w:asciiTheme="minorHAnsi" w:hAnsiTheme="minorHAnsi"/>
          <w:sz w:val="18"/>
          <w:szCs w:val="18"/>
        </w:rPr>
      </w:pPr>
    </w:p>
    <w:p w14:paraId="5AE3000B" w14:textId="77777777" w:rsidR="00903C8F" w:rsidRPr="009D79DE" w:rsidRDefault="008A453B" w:rsidP="005A3323">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51858A06" w14:textId="77777777" w:rsidR="008A453B" w:rsidRPr="009D79DE" w:rsidRDefault="0096163B" w:rsidP="005A3323">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14:paraId="0B0CF4D4" w14:textId="77777777" w:rsidR="00D4096B" w:rsidRPr="009D79DE" w:rsidRDefault="00D4096B" w:rsidP="005A3323">
      <w:pPr>
        <w:spacing w:afterLines="10" w:after="24" w:line="240" w:lineRule="auto"/>
        <w:ind w:left="350"/>
        <w:jc w:val="both"/>
        <w:rPr>
          <w:rFonts w:asciiTheme="minorHAnsi" w:hAnsiTheme="minorHAnsi"/>
          <w:bCs/>
          <w:sz w:val="18"/>
          <w:szCs w:val="18"/>
        </w:rPr>
      </w:pPr>
    </w:p>
    <w:p w14:paraId="0B192B08" w14:textId="77777777" w:rsidR="009E1B33" w:rsidRPr="009D79DE" w:rsidRDefault="008A453B" w:rsidP="005A3323">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5F94865B" w14:textId="77777777" w:rsidR="008A453B" w:rsidRPr="009D79DE" w:rsidRDefault="008A453B" w:rsidP="005A3323">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5FF33097" w14:textId="77777777" w:rsidR="00D4096B" w:rsidRPr="009D79DE" w:rsidRDefault="00D4096B" w:rsidP="005A3323">
      <w:pPr>
        <w:spacing w:afterLines="10" w:after="24" w:line="240" w:lineRule="auto"/>
        <w:ind w:left="350"/>
        <w:jc w:val="both"/>
        <w:rPr>
          <w:rFonts w:asciiTheme="minorHAnsi" w:hAnsiTheme="minorHAnsi"/>
          <w:b/>
          <w:bCs/>
          <w:sz w:val="18"/>
          <w:szCs w:val="18"/>
        </w:rPr>
      </w:pPr>
    </w:p>
    <w:p w14:paraId="0F9C0167" w14:textId="77777777" w:rsidR="009E1B33" w:rsidRPr="009D79DE" w:rsidRDefault="008A453B" w:rsidP="005A3323">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6EEE7926" w14:textId="77777777" w:rsidR="008A453B" w:rsidRPr="009D79DE" w:rsidRDefault="009E1B33" w:rsidP="005A3323">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4DAA9181" w14:textId="77777777" w:rsidR="00D4096B" w:rsidRPr="009D79DE" w:rsidRDefault="00D4096B" w:rsidP="005A3323">
      <w:pPr>
        <w:spacing w:afterLines="10" w:after="24" w:line="240" w:lineRule="auto"/>
        <w:ind w:left="350"/>
        <w:jc w:val="both"/>
        <w:rPr>
          <w:rFonts w:asciiTheme="minorHAnsi" w:hAnsiTheme="minorHAnsi"/>
          <w:b/>
          <w:bCs/>
          <w:sz w:val="18"/>
          <w:szCs w:val="18"/>
        </w:rPr>
      </w:pPr>
    </w:p>
    <w:p w14:paraId="239CCE84" w14:textId="77777777" w:rsidR="008A453B" w:rsidRPr="009D79DE" w:rsidRDefault="008A453B" w:rsidP="005A3323">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14:paraId="51AB70D3" w14:textId="77777777"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39142472" w14:textId="77777777" w:rsidR="0096163B" w:rsidRPr="0096163B" w:rsidRDefault="0096163B" w:rsidP="005A3323">
      <w:pPr>
        <w:spacing w:afterLines="10" w:after="24" w:line="240" w:lineRule="auto"/>
        <w:ind w:left="363"/>
        <w:jc w:val="both"/>
        <w:rPr>
          <w:rFonts w:asciiTheme="minorHAnsi" w:hAnsiTheme="minorHAnsi"/>
          <w:b/>
          <w:bCs/>
          <w:sz w:val="18"/>
          <w:szCs w:val="18"/>
        </w:rPr>
      </w:pPr>
    </w:p>
    <w:p w14:paraId="54C7026E"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71B507B4" w14:textId="77777777"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48F58B1D"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0EE6A1CB" w14:textId="77777777" w:rsidR="000D7D4F"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14:paraId="40D99C72"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7753A7FD" w14:textId="77777777" w:rsidR="00006C7B" w:rsidRPr="009D79DE" w:rsidRDefault="00886FFB"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5F60884C"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1559C153"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2F5A4E57" w14:textId="77777777" w:rsidR="003547B2"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do realizacji zamówienia, o których mowa w art. 131 ust. 2 ustawy Pzp</w:t>
      </w:r>
      <w:r w:rsidR="003547B2" w:rsidRPr="009D79DE">
        <w:rPr>
          <w:rFonts w:asciiTheme="minorHAnsi" w:hAnsiTheme="minorHAnsi"/>
          <w:b/>
          <w:sz w:val="18"/>
          <w:szCs w:val="18"/>
        </w:rPr>
        <w:t>.</w:t>
      </w:r>
    </w:p>
    <w:p w14:paraId="367C3A7F" w14:textId="77777777" w:rsidR="00434851" w:rsidRPr="0096163B" w:rsidRDefault="00AD06C7" w:rsidP="005A3323">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14:paraId="56DCDA46"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71AE9BD9"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529DCDAA"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0AE7DA16" w14:textId="77777777" w:rsidR="00D4096B" w:rsidRPr="009D79DE" w:rsidRDefault="00D4096B" w:rsidP="005A3323">
      <w:pPr>
        <w:pStyle w:val="Akapitzlist"/>
        <w:spacing w:afterLines="10" w:after="24" w:line="240" w:lineRule="auto"/>
        <w:ind w:left="378"/>
        <w:jc w:val="both"/>
        <w:rPr>
          <w:rFonts w:asciiTheme="minorHAnsi" w:hAnsiTheme="minorHAnsi"/>
          <w:b/>
          <w:sz w:val="18"/>
          <w:szCs w:val="18"/>
        </w:rPr>
      </w:pPr>
    </w:p>
    <w:p w14:paraId="7BA643F9"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348A9A53"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444F2729"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2B9E34E6" w14:textId="77777777" w:rsidR="00886FFB"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14:paraId="6F602FB2"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5812BF31"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623D9AA2"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70621EE7"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7F486CE4" w14:textId="77777777" w:rsidR="004C4374" w:rsidRPr="009D79DE" w:rsidRDefault="004C4374" w:rsidP="005A3323">
      <w:pPr>
        <w:pStyle w:val="Akapitzlist"/>
        <w:spacing w:afterLines="10" w:after="24" w:line="240" w:lineRule="auto"/>
        <w:ind w:left="378"/>
        <w:jc w:val="both"/>
        <w:rPr>
          <w:rFonts w:asciiTheme="minorHAnsi" w:hAnsiTheme="minorHAnsi"/>
          <w:sz w:val="18"/>
          <w:szCs w:val="18"/>
        </w:rPr>
      </w:pPr>
    </w:p>
    <w:p w14:paraId="1886531A"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742ED20D" w14:textId="77777777" w:rsidR="000D7D4F"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433D331C" w14:textId="77777777" w:rsidR="00D4096B" w:rsidRDefault="00D4096B" w:rsidP="005A3323">
      <w:pPr>
        <w:pStyle w:val="Akapitzlist"/>
        <w:spacing w:afterLines="10" w:after="24" w:line="240" w:lineRule="auto"/>
        <w:ind w:left="378"/>
        <w:jc w:val="both"/>
        <w:rPr>
          <w:rFonts w:asciiTheme="minorHAnsi" w:hAnsiTheme="minorHAnsi"/>
          <w:sz w:val="18"/>
          <w:szCs w:val="18"/>
        </w:rPr>
      </w:pPr>
    </w:p>
    <w:p w14:paraId="1DDE92B7" w14:textId="77777777" w:rsidR="00F44236" w:rsidRPr="009D79DE" w:rsidRDefault="00F44236" w:rsidP="005A3323">
      <w:pPr>
        <w:pStyle w:val="Akapitzlist"/>
        <w:spacing w:afterLines="10" w:after="24" w:line="240" w:lineRule="auto"/>
        <w:ind w:left="378"/>
        <w:jc w:val="both"/>
        <w:rPr>
          <w:rFonts w:asciiTheme="minorHAnsi" w:hAnsiTheme="minorHAnsi"/>
          <w:sz w:val="18"/>
          <w:szCs w:val="18"/>
        </w:rPr>
      </w:pPr>
    </w:p>
    <w:p w14:paraId="7EAF2C47"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14:paraId="214289AB" w14:textId="77777777" w:rsidR="00886FFB" w:rsidRPr="009D79DE" w:rsidRDefault="000D7D4F" w:rsidP="005A3323">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10A831ED" w14:textId="77777777" w:rsidR="00D4096B" w:rsidRPr="009D79DE" w:rsidRDefault="00D4096B" w:rsidP="005A3323">
      <w:pPr>
        <w:pStyle w:val="Akapitzlist"/>
        <w:spacing w:afterLines="10" w:after="24" w:line="240" w:lineRule="auto"/>
        <w:ind w:left="378"/>
        <w:jc w:val="both"/>
        <w:rPr>
          <w:rFonts w:asciiTheme="minorHAnsi" w:hAnsiTheme="minorHAnsi"/>
          <w:sz w:val="18"/>
          <w:szCs w:val="18"/>
        </w:rPr>
      </w:pPr>
    </w:p>
    <w:p w14:paraId="1F900B8B" w14:textId="77777777" w:rsidR="00886FFB" w:rsidRPr="009D79DE" w:rsidRDefault="000D7D4F" w:rsidP="005A3323">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7417A10B" w14:textId="77777777" w:rsidR="00886FFB" w:rsidRPr="009D79DE" w:rsidRDefault="00886FFB" w:rsidP="005A3323">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98A2320" w14:textId="77777777" w:rsidR="00886FFB" w:rsidRPr="009D79DE" w:rsidRDefault="00886FFB" w:rsidP="005A3323">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53724D7A" w14:textId="77777777" w:rsidR="00D4096B" w:rsidRPr="009D79DE" w:rsidRDefault="00D4096B" w:rsidP="005A3323">
      <w:pPr>
        <w:spacing w:before="10" w:afterLines="10" w:after="24" w:line="240" w:lineRule="auto"/>
        <w:jc w:val="both"/>
        <w:rPr>
          <w:rFonts w:asciiTheme="minorHAnsi" w:hAnsiTheme="minorHAnsi"/>
          <w:sz w:val="18"/>
          <w:szCs w:val="18"/>
        </w:rPr>
      </w:pPr>
    </w:p>
    <w:p w14:paraId="63132CC4" w14:textId="77777777" w:rsidR="009E1B33" w:rsidRPr="009D79DE" w:rsidRDefault="000D7D4F" w:rsidP="005A3323">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14:paraId="580EF7F5" w14:textId="759BC200" w:rsidR="004D4E7A" w:rsidRPr="004D4E7A" w:rsidRDefault="004D4E7A" w:rsidP="004D4E7A">
      <w:pPr>
        <w:pStyle w:val="Akapitzlist"/>
        <w:spacing w:afterLines="10" w:after="24" w:line="240" w:lineRule="auto"/>
        <w:ind w:left="378"/>
        <w:jc w:val="both"/>
        <w:rPr>
          <w:rFonts w:asciiTheme="minorHAnsi" w:hAnsiTheme="minorHAnsi"/>
          <w:color w:val="FF0000"/>
          <w:sz w:val="18"/>
          <w:szCs w:val="18"/>
        </w:rPr>
      </w:pPr>
      <w:r w:rsidRPr="004D4E7A">
        <w:rPr>
          <w:rFonts w:asciiTheme="minorHAnsi" w:hAnsiTheme="minorHAnsi"/>
          <w:b/>
          <w:bCs/>
          <w:sz w:val="18"/>
          <w:szCs w:val="18"/>
        </w:rPr>
        <w:t>1)</w:t>
      </w:r>
      <w:r>
        <w:rPr>
          <w:rFonts w:asciiTheme="minorHAnsi" w:hAnsiTheme="minorHAnsi"/>
          <w:color w:val="FF0000"/>
          <w:sz w:val="18"/>
          <w:szCs w:val="18"/>
        </w:rPr>
        <w:t xml:space="preserve"> </w:t>
      </w:r>
      <w:r w:rsidRPr="004D4E7A">
        <w:rPr>
          <w:rFonts w:cs="Calibri"/>
          <w:color w:val="000000"/>
          <w:sz w:val="18"/>
          <w:szCs w:val="18"/>
        </w:rPr>
        <w:t xml:space="preserve">Zgodnie z zapisami art. 65 ust. 1 pkt 4) ustawy </w:t>
      </w:r>
      <w:proofErr w:type="spellStart"/>
      <w:r w:rsidRPr="004D4E7A">
        <w:rPr>
          <w:rFonts w:cs="Calibri"/>
          <w:color w:val="000000"/>
          <w:sz w:val="18"/>
          <w:szCs w:val="18"/>
        </w:rPr>
        <w:t>Pzp</w:t>
      </w:r>
      <w:proofErr w:type="spellEnd"/>
      <w:r w:rsidRPr="004D4E7A">
        <w:rPr>
          <w:rFonts w:cs="Calibri"/>
          <w:color w:val="000000"/>
          <w:sz w:val="18"/>
          <w:szCs w:val="18"/>
        </w:rPr>
        <w:t xml:space="preserve"> – Zamawiający może odstąpić od wymogu użycia środków komunikacji elektronicznej, jeżeli wymaga przedstawienia modelu fizycznego, modelu w skali lub próbki, których nie można przekazać przy użyciu środków komunikacji elektronicznej.</w:t>
      </w:r>
      <w:r>
        <w:rPr>
          <w:rFonts w:cs="Calibri"/>
          <w:color w:val="000000"/>
          <w:sz w:val="18"/>
          <w:szCs w:val="18"/>
        </w:rPr>
        <w:t xml:space="preserve"> </w:t>
      </w:r>
      <w:r w:rsidRPr="004D4E7A">
        <w:rPr>
          <w:rFonts w:cs="Calibri"/>
          <w:color w:val="000000"/>
          <w:sz w:val="18"/>
          <w:szCs w:val="18"/>
        </w:rPr>
        <w:t>W związku z powyższym, Zamawiający wymaga przesłania próbek, zgodnie z Rozdziałem VII pkt 5 w terminie wskazanym w Rozdziale XII pkt 1.</w:t>
      </w:r>
    </w:p>
    <w:p w14:paraId="0708CB65" w14:textId="77777777" w:rsidR="004D4E7A" w:rsidRPr="003D47C7" w:rsidRDefault="004D4E7A" w:rsidP="005A3323">
      <w:pPr>
        <w:pStyle w:val="Akapitzlist"/>
        <w:spacing w:afterLines="10" w:after="24" w:line="240" w:lineRule="auto"/>
        <w:ind w:left="378"/>
        <w:jc w:val="both"/>
        <w:rPr>
          <w:rFonts w:asciiTheme="minorHAnsi" w:hAnsiTheme="minorHAnsi"/>
          <w:color w:val="FF0000"/>
          <w:sz w:val="18"/>
          <w:szCs w:val="18"/>
        </w:rPr>
      </w:pPr>
    </w:p>
    <w:p w14:paraId="061C5960" w14:textId="77777777" w:rsidR="00AE2DEF" w:rsidRPr="009D79DE" w:rsidRDefault="007767A6" w:rsidP="005A3323">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089D6B0E" w14:textId="77777777" w:rsidR="00AE2DEF" w:rsidRPr="009D79DE" w:rsidRDefault="007767A6" w:rsidP="005A3323">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1A20ADE3" w14:textId="77777777" w:rsidR="00352A73" w:rsidRPr="009D79DE" w:rsidRDefault="00352A73" w:rsidP="005A3323">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72BBA0F9" w14:textId="4C67D0C4" w:rsidR="00B92A60" w:rsidRPr="009D79DE" w:rsidRDefault="00254EE8" w:rsidP="005A3323">
      <w:pPr>
        <w:spacing w:afterLines="10" w:after="24" w:line="240" w:lineRule="auto"/>
        <w:ind w:left="426"/>
        <w:jc w:val="both"/>
        <w:rPr>
          <w:rFonts w:asciiTheme="minorHAnsi" w:hAnsiTheme="minorHAnsi" w:cs="Calibri"/>
          <w:sz w:val="18"/>
          <w:szCs w:val="18"/>
        </w:rPr>
      </w:pPr>
      <w:r w:rsidRPr="009D79DE">
        <w:rPr>
          <w:rFonts w:asciiTheme="minorHAnsi" w:hAnsiTheme="minorHAnsi" w:cs="Calibri"/>
          <w:sz w:val="18"/>
          <w:szCs w:val="18"/>
        </w:rPr>
        <w:t xml:space="preserve">Przedmiotem zamówienia </w:t>
      </w:r>
      <w:r w:rsidR="00EF2157" w:rsidRPr="009D79DE">
        <w:rPr>
          <w:rFonts w:asciiTheme="minorHAnsi" w:hAnsiTheme="minorHAnsi" w:cs="Calibri"/>
          <w:sz w:val="18"/>
          <w:szCs w:val="18"/>
        </w:rPr>
        <w:t xml:space="preserve">jest </w:t>
      </w:r>
      <w:r w:rsidR="00125CF1" w:rsidRPr="009D79DE">
        <w:rPr>
          <w:rFonts w:asciiTheme="minorHAnsi" w:hAnsiTheme="minorHAnsi" w:cs="Calibri"/>
          <w:b/>
          <w:sz w:val="18"/>
          <w:szCs w:val="18"/>
        </w:rPr>
        <w:t xml:space="preserve">zakup </w:t>
      </w:r>
      <w:r w:rsidR="0096163B">
        <w:rPr>
          <w:rFonts w:asciiTheme="minorHAnsi" w:hAnsiTheme="minorHAnsi" w:cs="Calibri"/>
          <w:b/>
          <w:sz w:val="18"/>
          <w:szCs w:val="18"/>
        </w:rPr>
        <w:t>i dostaw</w:t>
      </w:r>
      <w:r w:rsidR="00077B39">
        <w:rPr>
          <w:rFonts w:asciiTheme="minorHAnsi" w:hAnsiTheme="minorHAnsi" w:cs="Calibri"/>
          <w:b/>
          <w:sz w:val="18"/>
          <w:szCs w:val="18"/>
        </w:rPr>
        <w:t>a</w:t>
      </w:r>
      <w:r w:rsidR="0096163B">
        <w:rPr>
          <w:rFonts w:asciiTheme="minorHAnsi" w:hAnsiTheme="minorHAnsi" w:cs="Calibri"/>
          <w:b/>
          <w:sz w:val="18"/>
          <w:szCs w:val="18"/>
        </w:rPr>
        <w:t xml:space="preserve"> jednorazowych narzędzi do zamykania naczyń</w:t>
      </w:r>
      <w:r w:rsidR="00125CF1" w:rsidRPr="009D79DE">
        <w:rPr>
          <w:rFonts w:asciiTheme="minorHAnsi" w:hAnsiTheme="minorHAnsi" w:cs="Calibri"/>
          <w:b/>
          <w:sz w:val="18"/>
          <w:szCs w:val="18"/>
        </w:rPr>
        <w:t xml:space="preserve"> dla</w:t>
      </w:r>
      <w:r w:rsidR="00386300" w:rsidRPr="009D79DE">
        <w:rPr>
          <w:rFonts w:asciiTheme="minorHAnsi" w:hAnsiTheme="minorHAnsi" w:cs="Calibri"/>
          <w:b/>
          <w:sz w:val="18"/>
          <w:szCs w:val="18"/>
        </w:rPr>
        <w:t xml:space="preserve"> Świętokrzyskiego </w:t>
      </w:r>
      <w:r w:rsidR="00E05DA3" w:rsidRPr="009D79DE">
        <w:rPr>
          <w:rFonts w:asciiTheme="minorHAnsi" w:hAnsiTheme="minorHAnsi" w:cs="Calibri"/>
          <w:b/>
          <w:sz w:val="18"/>
          <w:szCs w:val="18"/>
        </w:rPr>
        <w:t>Centrum Onkologii w Kielcach</w:t>
      </w:r>
      <w:r w:rsidR="00125CF1" w:rsidRPr="009D79DE">
        <w:rPr>
          <w:rFonts w:asciiTheme="minorHAnsi" w:hAnsiTheme="minorHAnsi" w:cs="Calibri"/>
          <w:sz w:val="18"/>
          <w:szCs w:val="18"/>
        </w:rPr>
        <w:t>.</w:t>
      </w:r>
    </w:p>
    <w:p w14:paraId="231B638D" w14:textId="77777777" w:rsidR="00B77031" w:rsidRPr="009D79DE" w:rsidRDefault="00B77031" w:rsidP="005A3323">
      <w:pPr>
        <w:spacing w:afterLines="10" w:after="24" w:line="240" w:lineRule="auto"/>
        <w:ind w:left="426"/>
        <w:jc w:val="both"/>
        <w:rPr>
          <w:rFonts w:asciiTheme="minorHAnsi" w:hAnsiTheme="minorHAnsi" w:cs="Calibri"/>
          <w:sz w:val="18"/>
          <w:szCs w:val="18"/>
        </w:rPr>
      </w:pPr>
    </w:p>
    <w:p w14:paraId="6CC6CBB2" w14:textId="77777777" w:rsidR="009577D9" w:rsidRPr="00057420" w:rsidRDefault="00E27AE1" w:rsidP="00304C81">
      <w:pPr>
        <w:spacing w:after="0" w:line="240" w:lineRule="auto"/>
        <w:ind w:left="426"/>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14:paraId="218163B4" w14:textId="77777777" w:rsidR="00E66457" w:rsidRPr="009D79DE" w:rsidRDefault="00E66457" w:rsidP="005A3323">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7BDAA390"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0DC1CDD7"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14:paraId="5F0274C4"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7C465DDD" w14:textId="77777777" w:rsidR="000508A9" w:rsidRPr="009D79DE" w:rsidRDefault="00B77606" w:rsidP="005A3323">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328BDF3F" w14:textId="77777777" w:rsidR="00683899" w:rsidRPr="00683899" w:rsidRDefault="00683899" w:rsidP="00683899">
      <w:pPr>
        <w:widowControl w:val="0"/>
        <w:tabs>
          <w:tab w:val="left" w:pos="0"/>
        </w:tabs>
        <w:suppressAutoHyphens/>
        <w:autoSpaceDE w:val="0"/>
        <w:spacing w:after="0" w:line="240" w:lineRule="auto"/>
        <w:ind w:left="425"/>
        <w:contextualSpacing/>
        <w:jc w:val="both"/>
        <w:textAlignment w:val="baseline"/>
        <w:rPr>
          <w:rFonts w:asciiTheme="minorHAnsi" w:hAnsiTheme="minorHAnsi" w:cs="Calibri"/>
          <w:sz w:val="18"/>
          <w:szCs w:val="18"/>
        </w:rPr>
      </w:pPr>
      <w:r w:rsidRPr="00683899">
        <w:rPr>
          <w:rFonts w:asciiTheme="minorHAnsi" w:hAnsiTheme="minorHAnsi" w:cs="Calibri"/>
          <w:sz w:val="18"/>
          <w:szCs w:val="18"/>
        </w:rPr>
        <w:t>33140000-3 Materiały medyczne</w:t>
      </w:r>
    </w:p>
    <w:p w14:paraId="3B004662" w14:textId="77777777" w:rsidR="00983CFC" w:rsidRPr="009D79DE" w:rsidRDefault="00983CFC" w:rsidP="005A3323">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1498F6EB"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4B455CA1" w14:textId="77777777"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70315A8C"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bookmarkStart w:id="1" w:name="_Hlk107562982"/>
      <w:r w:rsidRPr="0025686D">
        <w:rPr>
          <w:rFonts w:asciiTheme="minorHAnsi" w:hAnsiTheme="minorHAnsi" w:cstheme="minorHAnsi"/>
          <w:b/>
          <w:sz w:val="18"/>
          <w:szCs w:val="18"/>
        </w:rPr>
        <w:t>Deklaracje zgodności.</w:t>
      </w:r>
    </w:p>
    <w:p w14:paraId="306BA139" w14:textId="77777777" w:rsidR="0025686D" w:rsidRDefault="0025686D" w:rsidP="0025686D">
      <w:pPr>
        <w:pStyle w:val="Akapitzlist"/>
        <w:spacing w:before="120" w:after="120"/>
        <w:ind w:left="714"/>
        <w:jc w:val="both"/>
        <w:rPr>
          <w:rFonts w:asciiTheme="minorHAnsi" w:hAnsiTheme="minorHAnsi" w:cstheme="minorHAnsi"/>
          <w:sz w:val="18"/>
          <w:szCs w:val="18"/>
        </w:rPr>
      </w:pPr>
      <w:bookmarkStart w:id="2" w:name="_Hlk171407820"/>
      <w:r w:rsidRPr="0025686D">
        <w:rPr>
          <w:rFonts w:asciiTheme="minorHAnsi" w:hAnsiTheme="minorHAnsi" w:cstheme="minorHAnsi"/>
          <w:sz w:val="18"/>
          <w:szCs w:val="18"/>
        </w:rPr>
        <w:t>W przypadku, kiedy zaproponowany asortyment nie wymaga ww. dokumentu, należy załączyć oświadczenie wraz z uzasadnieniem.</w:t>
      </w:r>
    </w:p>
    <w:bookmarkEnd w:id="2"/>
    <w:p w14:paraId="28420FC3" w14:textId="77777777" w:rsidR="0025686D" w:rsidRPr="0025686D" w:rsidRDefault="0025686D" w:rsidP="0025686D">
      <w:pPr>
        <w:pStyle w:val="Akapitzlist"/>
        <w:spacing w:before="120" w:after="120"/>
        <w:ind w:left="714"/>
        <w:jc w:val="both"/>
        <w:rPr>
          <w:rFonts w:asciiTheme="minorHAnsi" w:hAnsiTheme="minorHAnsi" w:cstheme="minorHAnsi"/>
          <w:sz w:val="18"/>
          <w:szCs w:val="18"/>
        </w:rPr>
      </w:pPr>
    </w:p>
    <w:p w14:paraId="2C14E4FF" w14:textId="77777777" w:rsidR="0025686D" w:rsidRDefault="0025686D" w:rsidP="0025686D">
      <w:pPr>
        <w:pStyle w:val="Akapitzlist"/>
        <w:numPr>
          <w:ilvl w:val="1"/>
          <w:numId w:val="3"/>
        </w:numPr>
        <w:spacing w:after="0" w:line="240" w:lineRule="auto"/>
        <w:rPr>
          <w:rFonts w:asciiTheme="minorHAnsi" w:hAnsiTheme="minorHAnsi" w:cstheme="minorHAnsi"/>
          <w:b/>
          <w:bCs/>
          <w:sz w:val="18"/>
          <w:szCs w:val="18"/>
          <w:lang w:val="x-none" w:eastAsia="x-none"/>
        </w:rPr>
      </w:pPr>
      <w:r w:rsidRPr="0025686D">
        <w:rPr>
          <w:rFonts w:asciiTheme="minorHAnsi" w:hAnsiTheme="minorHAnsi" w:cstheme="minorHAnsi"/>
          <w:b/>
          <w:bCs/>
          <w:sz w:val="18"/>
          <w:szCs w:val="18"/>
          <w:lang w:val="x-none" w:eastAsia="x-none"/>
        </w:rPr>
        <w:t>Certyfikat EC.</w:t>
      </w:r>
    </w:p>
    <w:p w14:paraId="174516C3" w14:textId="1E933BBE" w:rsidR="003D47C7" w:rsidRPr="003D47C7" w:rsidRDefault="003D47C7" w:rsidP="00320DC4">
      <w:pPr>
        <w:pStyle w:val="Akapitzlist"/>
        <w:spacing w:after="0" w:line="240" w:lineRule="auto"/>
        <w:jc w:val="both"/>
        <w:rPr>
          <w:rFonts w:asciiTheme="minorHAnsi" w:hAnsiTheme="minorHAnsi" w:cstheme="minorHAnsi"/>
          <w:sz w:val="18"/>
          <w:szCs w:val="18"/>
          <w:lang w:val="x-none" w:eastAsia="x-none"/>
        </w:rPr>
      </w:pPr>
      <w:bookmarkStart w:id="3" w:name="_Hlk171407847"/>
      <w:r w:rsidRPr="003D47C7">
        <w:rPr>
          <w:rFonts w:asciiTheme="minorHAnsi" w:hAnsiTheme="minorHAnsi" w:cstheme="minorHAnsi"/>
          <w:sz w:val="18"/>
          <w:szCs w:val="18"/>
          <w:lang w:val="x-none" w:eastAsia="x-none"/>
        </w:rPr>
        <w:t>W przypadku, kiedy zaproponowany asortyment nie wymaga ww. dokumentu, należy załączyć oświadczenie wraz z</w:t>
      </w:r>
      <w:r w:rsidR="00320DC4">
        <w:rPr>
          <w:rFonts w:asciiTheme="minorHAnsi" w:hAnsiTheme="minorHAnsi" w:cstheme="minorHAnsi"/>
          <w:sz w:val="18"/>
          <w:szCs w:val="18"/>
          <w:lang w:val="x-none" w:eastAsia="x-none"/>
        </w:rPr>
        <w:t xml:space="preserve"> </w:t>
      </w:r>
      <w:r w:rsidRPr="003D47C7">
        <w:rPr>
          <w:rFonts w:asciiTheme="minorHAnsi" w:hAnsiTheme="minorHAnsi" w:cstheme="minorHAnsi"/>
          <w:sz w:val="18"/>
          <w:szCs w:val="18"/>
          <w:lang w:val="x-none" w:eastAsia="x-none"/>
        </w:rPr>
        <w:t>uzasadnieniem.</w:t>
      </w:r>
    </w:p>
    <w:bookmarkEnd w:id="3"/>
    <w:p w14:paraId="457D2A64" w14:textId="77777777" w:rsidR="0025686D" w:rsidRPr="0025686D" w:rsidRDefault="0025686D" w:rsidP="0025686D">
      <w:pPr>
        <w:pStyle w:val="Akapitzlist"/>
        <w:spacing w:after="0" w:line="240" w:lineRule="auto"/>
        <w:rPr>
          <w:rFonts w:asciiTheme="minorHAnsi" w:hAnsiTheme="minorHAnsi" w:cstheme="minorHAnsi"/>
          <w:b/>
          <w:bCs/>
          <w:sz w:val="18"/>
          <w:szCs w:val="18"/>
          <w:lang w:val="x-none" w:eastAsia="x-none"/>
        </w:rPr>
      </w:pPr>
    </w:p>
    <w:p w14:paraId="38A1C395" w14:textId="77777777" w:rsidR="0025686D" w:rsidRPr="0025686D" w:rsidRDefault="0025686D" w:rsidP="0025686D">
      <w:pPr>
        <w:pStyle w:val="Akapitzlist"/>
        <w:numPr>
          <w:ilvl w:val="1"/>
          <w:numId w:val="3"/>
        </w:numPr>
        <w:spacing w:after="0" w:line="240" w:lineRule="auto"/>
        <w:rPr>
          <w:rFonts w:asciiTheme="minorHAnsi" w:hAnsiTheme="minorHAnsi" w:cstheme="minorHAnsi"/>
          <w:b/>
          <w:bCs/>
          <w:sz w:val="18"/>
          <w:szCs w:val="18"/>
          <w:lang w:val="x-none" w:eastAsia="x-none"/>
        </w:rPr>
      </w:pPr>
      <w:r w:rsidRPr="0025686D">
        <w:rPr>
          <w:rFonts w:asciiTheme="minorHAnsi" w:hAnsiTheme="minorHAnsi" w:cstheme="minorHAnsi"/>
          <w:b/>
          <w:bCs/>
          <w:sz w:val="18"/>
          <w:szCs w:val="18"/>
        </w:rPr>
        <w:t>Zaświadczenie dopuszczające</w:t>
      </w:r>
      <w:r w:rsidRPr="0025686D">
        <w:rPr>
          <w:rFonts w:asciiTheme="minorHAnsi" w:hAnsiTheme="minorHAnsi" w:cstheme="minorHAnsi"/>
          <w:sz w:val="18"/>
          <w:szCs w:val="18"/>
        </w:rPr>
        <w:t xml:space="preserve"> asortyment do badania MR do 3 Tesli </w:t>
      </w:r>
      <w:proofErr w:type="gramStart"/>
      <w:r w:rsidRPr="0025686D">
        <w:rPr>
          <w:rFonts w:asciiTheme="minorHAnsi" w:hAnsiTheme="minorHAnsi" w:cstheme="minorHAnsi"/>
          <w:sz w:val="18"/>
          <w:szCs w:val="18"/>
        </w:rPr>
        <w:t>( poz.</w:t>
      </w:r>
      <w:proofErr w:type="gramEnd"/>
      <w:r w:rsidRPr="0025686D">
        <w:rPr>
          <w:rFonts w:asciiTheme="minorHAnsi" w:hAnsiTheme="minorHAnsi" w:cstheme="minorHAnsi"/>
          <w:sz w:val="18"/>
          <w:szCs w:val="18"/>
        </w:rPr>
        <w:t xml:space="preserve"> 11,poz.12).</w:t>
      </w:r>
    </w:p>
    <w:p w14:paraId="30D906C4"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5686D">
        <w:rPr>
          <w:rFonts w:asciiTheme="minorHAnsi" w:hAnsiTheme="minorHAnsi" w:cstheme="minorHAnsi"/>
          <w:b/>
          <w:sz w:val="18"/>
          <w:szCs w:val="18"/>
        </w:rPr>
        <w:t>Materiały informacyjne</w:t>
      </w:r>
      <w:r w:rsidRPr="0025686D">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10E56CAA"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5686D">
        <w:rPr>
          <w:rFonts w:asciiTheme="minorHAnsi" w:hAnsiTheme="minorHAnsi" w:cstheme="minorHAnsi"/>
          <w:b/>
          <w:sz w:val="18"/>
          <w:szCs w:val="18"/>
        </w:rPr>
        <w:t>Próbki artykułów wskazanych w poz. 1 i 3 formularza asortymentowo-cenowego – po 1 szt. oraz wykaz próbek</w:t>
      </w:r>
      <w:r w:rsidRPr="0025686D">
        <w:rPr>
          <w:rFonts w:asciiTheme="minorHAnsi" w:hAnsiTheme="minorHAnsi" w:cstheme="minorHAnsi"/>
          <w:b/>
          <w:bCs/>
          <w:sz w:val="18"/>
          <w:szCs w:val="18"/>
        </w:rPr>
        <w:t xml:space="preserve"> </w:t>
      </w:r>
      <w:r w:rsidRPr="0025686D">
        <w:rPr>
          <w:rFonts w:asciiTheme="minorHAnsi" w:hAnsiTheme="minorHAnsi" w:cstheme="minorHAnsi"/>
          <w:bCs/>
          <w:sz w:val="18"/>
          <w:szCs w:val="18"/>
        </w:rPr>
        <w:t xml:space="preserve">– Załącznik nr 4 do SWZ. </w:t>
      </w:r>
    </w:p>
    <w:p w14:paraId="7DC471E7" w14:textId="77777777" w:rsidR="006C6B0D" w:rsidRPr="006C6B0D" w:rsidRDefault="006C6B0D" w:rsidP="006C6B0D">
      <w:pPr>
        <w:pStyle w:val="Akapitzlist"/>
        <w:spacing w:after="0" w:line="240" w:lineRule="auto"/>
        <w:jc w:val="both"/>
        <w:rPr>
          <w:rFonts w:asciiTheme="minorHAnsi" w:hAnsiTheme="minorHAnsi"/>
          <w:b/>
          <w:sz w:val="18"/>
          <w:szCs w:val="18"/>
        </w:rPr>
      </w:pPr>
      <w:r w:rsidRPr="005F1FAC">
        <w:rPr>
          <w:rFonts w:asciiTheme="minorHAnsi" w:hAnsiTheme="minorHAnsi"/>
          <w:sz w:val="18"/>
          <w:szCs w:val="18"/>
        </w:rPr>
        <w:lastRenderedPageBreak/>
        <w:t>Zamawiający wymaga złożenia ww.</w:t>
      </w:r>
      <w:r w:rsidRPr="006C6B0D">
        <w:rPr>
          <w:rFonts w:asciiTheme="minorHAnsi" w:hAnsiTheme="minorHAnsi"/>
          <w:sz w:val="18"/>
          <w:szCs w:val="18"/>
        </w:rPr>
        <w:t xml:space="preserve"> próbek celem przetestowania i potwierdzenia zgodności zaproponowanego asortymentu </w:t>
      </w:r>
      <w:r w:rsidR="005F1FAC">
        <w:rPr>
          <w:rFonts w:asciiTheme="minorHAnsi" w:hAnsiTheme="minorHAnsi"/>
          <w:sz w:val="18"/>
          <w:szCs w:val="18"/>
        </w:rPr>
        <w:br/>
      </w:r>
      <w:r w:rsidRPr="006C6B0D">
        <w:rPr>
          <w:rFonts w:asciiTheme="minorHAnsi" w:hAnsiTheme="minorHAnsi"/>
          <w:sz w:val="18"/>
          <w:szCs w:val="18"/>
        </w:rPr>
        <w:t>z opisem przedmiotu zamówienia zawartego w SWZ.</w:t>
      </w:r>
      <w:r w:rsidR="005F1FAC">
        <w:rPr>
          <w:rFonts w:asciiTheme="minorHAnsi" w:hAnsiTheme="minorHAnsi"/>
          <w:sz w:val="18"/>
          <w:szCs w:val="18"/>
        </w:rPr>
        <w:t xml:space="preserve"> </w:t>
      </w:r>
      <w:r w:rsidRPr="006C6B0D">
        <w:rPr>
          <w:rFonts w:asciiTheme="minorHAnsi" w:hAnsiTheme="minorHAnsi"/>
          <w:sz w:val="18"/>
          <w:szCs w:val="18"/>
        </w:rPr>
        <w:t>Próbka powinna zawierać oryginalne opakowanie, dokładnie opisane</w:t>
      </w:r>
      <w:r w:rsidR="005F1FAC">
        <w:rPr>
          <w:rFonts w:asciiTheme="minorHAnsi" w:hAnsiTheme="minorHAnsi"/>
          <w:sz w:val="18"/>
          <w:szCs w:val="18"/>
        </w:rPr>
        <w:t>.</w:t>
      </w:r>
      <w:r w:rsidRPr="006C6B0D">
        <w:rPr>
          <w:rFonts w:asciiTheme="minorHAnsi" w:hAnsiTheme="minorHAnsi"/>
          <w:sz w:val="18"/>
          <w:szCs w:val="18"/>
        </w:rPr>
        <w:t xml:space="preserve"> </w:t>
      </w:r>
      <w:r w:rsidR="00207FA8">
        <w:rPr>
          <w:rFonts w:asciiTheme="minorHAnsi" w:hAnsiTheme="minorHAnsi"/>
          <w:sz w:val="18"/>
          <w:szCs w:val="18"/>
        </w:rPr>
        <w:br/>
      </w:r>
      <w:r w:rsidR="005F1FAC">
        <w:rPr>
          <w:rFonts w:asciiTheme="minorHAnsi" w:hAnsiTheme="minorHAnsi"/>
          <w:sz w:val="18"/>
          <w:szCs w:val="18"/>
        </w:rPr>
        <w:t xml:space="preserve">W opisie winny się znaleźć </w:t>
      </w:r>
      <w:r w:rsidRPr="006C6B0D">
        <w:rPr>
          <w:rFonts w:asciiTheme="minorHAnsi" w:hAnsiTheme="minorHAnsi"/>
          <w:sz w:val="18"/>
          <w:szCs w:val="18"/>
        </w:rPr>
        <w:t>m.in. nazw</w:t>
      </w:r>
      <w:r w:rsidR="005F1FAC">
        <w:rPr>
          <w:rFonts w:asciiTheme="minorHAnsi" w:hAnsiTheme="minorHAnsi"/>
          <w:sz w:val="18"/>
          <w:szCs w:val="18"/>
        </w:rPr>
        <w:t>a</w:t>
      </w:r>
      <w:r w:rsidRPr="006C6B0D">
        <w:rPr>
          <w:rFonts w:asciiTheme="minorHAnsi" w:hAnsiTheme="minorHAnsi"/>
          <w:sz w:val="18"/>
          <w:szCs w:val="18"/>
        </w:rPr>
        <w:t xml:space="preserve"> artykułu, nr katalogowy, </w:t>
      </w:r>
      <w:r w:rsidR="005F1FAC">
        <w:rPr>
          <w:rFonts w:asciiTheme="minorHAnsi" w:hAnsiTheme="minorHAnsi"/>
          <w:sz w:val="18"/>
          <w:szCs w:val="18"/>
        </w:rPr>
        <w:t xml:space="preserve">nazwa </w:t>
      </w:r>
      <w:r w:rsidRPr="006C6B0D">
        <w:rPr>
          <w:rFonts w:asciiTheme="minorHAnsi" w:hAnsiTheme="minorHAnsi"/>
          <w:sz w:val="18"/>
          <w:szCs w:val="18"/>
        </w:rPr>
        <w:t>producent</w:t>
      </w:r>
      <w:r w:rsidR="005F1FAC">
        <w:rPr>
          <w:rFonts w:asciiTheme="minorHAnsi" w:hAnsiTheme="minorHAnsi"/>
          <w:sz w:val="18"/>
          <w:szCs w:val="18"/>
        </w:rPr>
        <w:t>a</w:t>
      </w:r>
      <w:r w:rsidRPr="006C6B0D">
        <w:rPr>
          <w:rFonts w:asciiTheme="minorHAnsi" w:hAnsiTheme="minorHAnsi"/>
          <w:sz w:val="18"/>
          <w:szCs w:val="18"/>
        </w:rPr>
        <w:t>, dat</w:t>
      </w:r>
      <w:r w:rsidR="005F1FAC">
        <w:rPr>
          <w:rFonts w:asciiTheme="minorHAnsi" w:hAnsiTheme="minorHAnsi"/>
          <w:sz w:val="18"/>
          <w:szCs w:val="18"/>
        </w:rPr>
        <w:t>a</w:t>
      </w:r>
      <w:r w:rsidRPr="006C6B0D">
        <w:rPr>
          <w:rFonts w:asciiTheme="minorHAnsi" w:hAnsiTheme="minorHAnsi"/>
          <w:sz w:val="18"/>
          <w:szCs w:val="18"/>
        </w:rPr>
        <w:t xml:space="preserve"> ważności.</w:t>
      </w:r>
    </w:p>
    <w:p w14:paraId="7452A786" w14:textId="77777777" w:rsidR="006C6B0D" w:rsidRPr="006C6B0D" w:rsidRDefault="006C6B0D" w:rsidP="006C6B0D">
      <w:pPr>
        <w:pStyle w:val="Akapitzlist"/>
        <w:spacing w:after="0" w:line="240" w:lineRule="auto"/>
        <w:jc w:val="both"/>
        <w:rPr>
          <w:rFonts w:asciiTheme="minorHAnsi" w:hAnsiTheme="minorHAnsi"/>
          <w:bCs/>
          <w:sz w:val="18"/>
          <w:szCs w:val="18"/>
        </w:rPr>
      </w:pPr>
    </w:p>
    <w:p w14:paraId="21F1B325" w14:textId="1187A3F8" w:rsidR="006C6B0D" w:rsidRDefault="006C6B0D" w:rsidP="006C6B0D">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sidR="00675575">
        <w:rPr>
          <w:rFonts w:asciiTheme="minorHAnsi" w:hAnsiTheme="minorHAnsi"/>
          <w:b/>
          <w:bCs/>
          <w:sz w:val="18"/>
          <w:szCs w:val="18"/>
        </w:rPr>
        <w:t>należy</w:t>
      </w:r>
      <w:r w:rsidRPr="006C6B0D">
        <w:rPr>
          <w:rFonts w:asciiTheme="minorHAnsi" w:hAnsiTheme="minorHAnsi"/>
          <w:b/>
          <w:bCs/>
          <w:sz w:val="18"/>
          <w:szCs w:val="18"/>
        </w:rPr>
        <w:t xml:space="preserve"> dostarcz</w:t>
      </w:r>
      <w:r w:rsidR="00675575">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25686D">
        <w:rPr>
          <w:rFonts w:asciiTheme="minorHAnsi" w:hAnsiTheme="minorHAnsi"/>
          <w:b/>
          <w:bCs/>
          <w:sz w:val="18"/>
          <w:szCs w:val="18"/>
        </w:rPr>
        <w:t>2</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sidR="0028761F">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Pr="006C6B0D">
        <w:rPr>
          <w:sz w:val="18"/>
          <w:szCs w:val="18"/>
        </w:rPr>
        <w:t xml:space="preserve">Zakup </w:t>
      </w:r>
      <w:r w:rsidR="00675575">
        <w:rPr>
          <w:sz w:val="18"/>
          <w:szCs w:val="18"/>
        </w:rPr>
        <w:t>i</w:t>
      </w:r>
      <w:r w:rsidRPr="006C6B0D">
        <w:rPr>
          <w:sz w:val="18"/>
          <w:szCs w:val="18"/>
        </w:rPr>
        <w:t xml:space="preserve"> dostaw</w:t>
      </w:r>
      <w:r w:rsidR="00675575">
        <w:rPr>
          <w:sz w:val="18"/>
          <w:szCs w:val="18"/>
        </w:rPr>
        <w:t>a</w:t>
      </w:r>
      <w:r w:rsidRPr="006C6B0D">
        <w:rPr>
          <w:sz w:val="18"/>
          <w:szCs w:val="18"/>
        </w:rPr>
        <w:t xml:space="preserve"> </w:t>
      </w:r>
      <w:r w:rsidR="00675575">
        <w:rPr>
          <w:sz w:val="18"/>
          <w:szCs w:val="18"/>
        </w:rPr>
        <w:t>jednorazowych narzędzi do zamykania naczyń</w:t>
      </w:r>
      <w:r w:rsidRPr="006C6B0D">
        <w:rPr>
          <w:sz w:val="18"/>
          <w:szCs w:val="18"/>
        </w:rPr>
        <w:t xml:space="preserve"> dla Świętokrzyskiego Centrum Onkologii w Kielcach</w:t>
      </w:r>
      <w:r w:rsidRPr="006C6B0D">
        <w:rPr>
          <w:rFonts w:asciiTheme="minorHAnsi" w:hAnsiTheme="minorHAnsi"/>
          <w:bCs/>
          <w:sz w:val="18"/>
          <w:szCs w:val="18"/>
        </w:rPr>
        <w:t xml:space="preserve">. </w:t>
      </w:r>
      <w:r w:rsidR="00AD19C1">
        <w:rPr>
          <w:rFonts w:asciiTheme="minorHAnsi" w:hAnsiTheme="minorHAnsi"/>
          <w:bCs/>
          <w:sz w:val="18"/>
          <w:szCs w:val="18"/>
        </w:rPr>
        <w:t>I</w:t>
      </w:r>
      <w:r w:rsidRPr="006C6B0D">
        <w:rPr>
          <w:rFonts w:asciiTheme="minorHAnsi" w:hAnsiTheme="minorHAnsi"/>
          <w:bCs/>
          <w:sz w:val="18"/>
          <w:szCs w:val="18"/>
        </w:rPr>
        <w:t>ZP.2411.</w:t>
      </w:r>
      <w:r>
        <w:rPr>
          <w:rFonts w:asciiTheme="minorHAnsi" w:hAnsiTheme="minorHAnsi"/>
          <w:bCs/>
          <w:sz w:val="18"/>
          <w:szCs w:val="18"/>
        </w:rPr>
        <w:t>1</w:t>
      </w:r>
      <w:r w:rsidR="0025686D">
        <w:rPr>
          <w:rFonts w:asciiTheme="minorHAnsi" w:hAnsiTheme="minorHAnsi"/>
          <w:bCs/>
          <w:sz w:val="18"/>
          <w:szCs w:val="18"/>
        </w:rPr>
        <w:t>68</w:t>
      </w:r>
      <w:r w:rsidRPr="006C6B0D">
        <w:rPr>
          <w:rFonts w:asciiTheme="minorHAnsi" w:hAnsiTheme="minorHAnsi"/>
          <w:bCs/>
          <w:sz w:val="18"/>
          <w:szCs w:val="18"/>
        </w:rPr>
        <w:t>.202</w:t>
      </w:r>
      <w:r w:rsidR="0025686D">
        <w:rPr>
          <w:rFonts w:asciiTheme="minorHAnsi" w:hAnsiTheme="minorHAnsi"/>
          <w:bCs/>
          <w:sz w:val="18"/>
          <w:szCs w:val="18"/>
        </w:rPr>
        <w:t>4</w:t>
      </w:r>
      <w:r w:rsidR="00AD19C1">
        <w:rPr>
          <w:rFonts w:asciiTheme="minorHAnsi" w:hAnsiTheme="minorHAnsi"/>
          <w:bCs/>
          <w:sz w:val="18"/>
          <w:szCs w:val="18"/>
        </w:rPr>
        <w:t>.AM</w:t>
      </w:r>
      <w:r w:rsidRPr="006C6B0D">
        <w:rPr>
          <w:rFonts w:asciiTheme="minorHAnsi" w:hAnsiTheme="minorHAnsi"/>
          <w:bCs/>
          <w:sz w:val="18"/>
          <w:szCs w:val="18"/>
        </w:rPr>
        <w:t>”.</w:t>
      </w:r>
    </w:p>
    <w:p w14:paraId="507268D5" w14:textId="77777777" w:rsidR="0028761F" w:rsidRDefault="0028761F" w:rsidP="002E6A0C">
      <w:pPr>
        <w:pStyle w:val="Akapitzlist"/>
        <w:shd w:val="clear" w:color="auto" w:fill="FFFFFF" w:themeFill="background1"/>
        <w:spacing w:after="0" w:line="240" w:lineRule="auto"/>
        <w:jc w:val="both"/>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t>
      </w:r>
      <w:r w:rsidR="005A3C7E" w:rsidRPr="005474D8">
        <w:rPr>
          <w:rFonts w:asciiTheme="minorHAnsi" w:hAnsiTheme="minorHAnsi"/>
          <w:b/>
          <w:bCs/>
          <w:sz w:val="18"/>
          <w:szCs w:val="18"/>
        </w:rPr>
        <w:t>w</w:t>
      </w:r>
      <w:r w:rsidRPr="005474D8">
        <w:rPr>
          <w:rFonts w:asciiTheme="minorHAnsi" w:hAnsiTheme="minorHAnsi"/>
          <w:b/>
          <w:bCs/>
          <w:sz w:val="18"/>
          <w:szCs w:val="18"/>
        </w:rPr>
        <w:t xml:space="preserve"> </w:t>
      </w:r>
      <w:r w:rsidR="002E6A0C" w:rsidRPr="005474D8">
        <w:rPr>
          <w:rFonts w:asciiTheme="minorHAnsi" w:hAnsiTheme="minorHAnsi" w:cstheme="minorHAnsi"/>
          <w:b/>
          <w:sz w:val="18"/>
          <w:szCs w:val="18"/>
        </w:rPr>
        <w:t>formie elektronicznej</w:t>
      </w:r>
      <w:r w:rsidR="002E6A0C" w:rsidRPr="002E6A0C">
        <w:rPr>
          <w:rFonts w:asciiTheme="minorHAnsi" w:hAnsiTheme="minorHAnsi" w:cstheme="minorHAnsi"/>
          <w:sz w:val="18"/>
          <w:szCs w:val="18"/>
        </w:rPr>
        <w:t xml:space="preserve"> za pośrednictwem </w:t>
      </w:r>
      <w:hyperlink r:id="rId16" w:history="1">
        <w:r w:rsidR="002E6A0C" w:rsidRPr="002E6A0C">
          <w:rPr>
            <w:rStyle w:val="Hipercze"/>
            <w:rFonts w:asciiTheme="minorHAnsi" w:hAnsiTheme="minorHAnsi" w:cstheme="minorHAnsi"/>
            <w:color w:val="auto"/>
            <w:sz w:val="18"/>
            <w:szCs w:val="18"/>
          </w:rPr>
          <w:t>platformazakupowa.pl</w:t>
        </w:r>
      </w:hyperlink>
      <w:r w:rsidR="002E6A0C" w:rsidRPr="002E6A0C">
        <w:t>.</w:t>
      </w:r>
    </w:p>
    <w:p w14:paraId="69849872" w14:textId="77777777" w:rsidR="0025686D" w:rsidRPr="006C6B0D" w:rsidRDefault="0025686D" w:rsidP="002E6A0C">
      <w:pPr>
        <w:pStyle w:val="Akapitzlist"/>
        <w:shd w:val="clear" w:color="auto" w:fill="FFFFFF" w:themeFill="background1"/>
        <w:spacing w:after="0" w:line="240" w:lineRule="auto"/>
        <w:jc w:val="both"/>
        <w:rPr>
          <w:rFonts w:asciiTheme="minorHAnsi" w:hAnsiTheme="minorHAnsi"/>
          <w:bCs/>
          <w:sz w:val="18"/>
          <w:szCs w:val="18"/>
        </w:rPr>
      </w:pPr>
    </w:p>
    <w:p w14:paraId="502C9DC7" w14:textId="77777777" w:rsidR="002C0168" w:rsidRDefault="002C0168" w:rsidP="002C0168">
      <w:pPr>
        <w:spacing w:after="0" w:line="240" w:lineRule="auto"/>
        <w:ind w:left="491"/>
        <w:jc w:val="both"/>
        <w:rPr>
          <w:rFonts w:ascii="Calibri" w:hAnsi="Calibri"/>
          <w:b/>
          <w:sz w:val="18"/>
          <w:szCs w:val="18"/>
        </w:rPr>
      </w:pPr>
    </w:p>
    <w:bookmarkEnd w:id="1"/>
    <w:p w14:paraId="5AADB26F" w14:textId="77777777"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54A32FAE" w14:textId="77777777"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1368FA82"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3D5F0DF7"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02A7942D"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71EC34D9"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0DB45303" w14:textId="77777777"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14:paraId="59E14CF7" w14:textId="77777777"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33528662" w14:textId="77777777" w:rsidR="00BB604E" w:rsidRPr="00BB604E" w:rsidRDefault="00BB604E" w:rsidP="00BB604E">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BB604E">
        <w:rPr>
          <w:rFonts w:asciiTheme="minorHAnsi" w:eastAsia="Times New Roman" w:hAnsiTheme="minorHAnsi"/>
          <w:bCs/>
          <w:sz w:val="18"/>
          <w:szCs w:val="18"/>
          <w:lang w:eastAsia="pl-PL"/>
        </w:rPr>
        <w:t xml:space="preserve">Zamawiający nie dopuszcza składania ofert częściowych. Taki podział skutkowałby </w:t>
      </w:r>
      <w:r w:rsidR="008A5C5C">
        <w:rPr>
          <w:rFonts w:asciiTheme="minorHAnsi" w:eastAsia="Times New Roman" w:hAnsiTheme="minorHAnsi"/>
          <w:bCs/>
          <w:sz w:val="18"/>
          <w:szCs w:val="18"/>
          <w:lang w:eastAsia="pl-PL"/>
        </w:rPr>
        <w:t>koniecznością</w:t>
      </w:r>
      <w:r w:rsidRPr="00BB604E">
        <w:rPr>
          <w:rFonts w:asciiTheme="minorHAnsi" w:eastAsia="Times New Roman" w:hAnsiTheme="minorHAnsi"/>
          <w:bCs/>
          <w:sz w:val="18"/>
          <w:szCs w:val="18"/>
          <w:lang w:eastAsia="pl-PL"/>
        </w:rPr>
        <w:t xml:space="preserve"> skoordynowania działań ró</w:t>
      </w:r>
      <w:r>
        <w:rPr>
          <w:rFonts w:asciiTheme="minorHAnsi" w:eastAsia="Times New Roman" w:hAnsiTheme="minorHAnsi"/>
          <w:bCs/>
          <w:sz w:val="18"/>
          <w:szCs w:val="18"/>
          <w:lang w:eastAsia="pl-PL"/>
        </w:rPr>
        <w:t xml:space="preserve">żnych wykonawców realizujących </w:t>
      </w:r>
      <w:r w:rsidRPr="00BB604E">
        <w:rPr>
          <w:rFonts w:asciiTheme="minorHAnsi" w:eastAsia="Times New Roman" w:hAnsiTheme="minorHAnsi"/>
          <w:bCs/>
          <w:sz w:val="18"/>
          <w:szCs w:val="18"/>
          <w:lang w:eastAsia="pl-PL"/>
        </w:rPr>
        <w:t>poszczególne części zamówienia, co mogłoby zagrozić właściwemu wykonaniu zamówienia. Brak podziału na części nie powoduje ograniczenia zasad uczciwej konkurencji.</w:t>
      </w:r>
    </w:p>
    <w:p w14:paraId="7FFA3198" w14:textId="77777777"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3C4D85D0" w14:textId="77777777"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14:paraId="05133E21" w14:textId="77777777"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816712" w:rsidRPr="00F21A49">
        <w:rPr>
          <w:rFonts w:asciiTheme="minorHAnsi" w:hAnsiTheme="minorHAnsi"/>
          <w:b/>
          <w:sz w:val="18"/>
          <w:szCs w:val="18"/>
        </w:rPr>
        <w:t>12</w:t>
      </w:r>
      <w:r w:rsidR="009439B5" w:rsidRPr="00F21A49">
        <w:rPr>
          <w:rFonts w:asciiTheme="minorHAnsi" w:hAnsiTheme="minorHAnsi"/>
          <w:b/>
          <w:sz w:val="18"/>
          <w:szCs w:val="18"/>
        </w:rPr>
        <w:t xml:space="preserve"> </w:t>
      </w:r>
      <w:r w:rsidR="00BB604E" w:rsidRPr="00F21A49">
        <w:rPr>
          <w:rFonts w:asciiTheme="minorHAnsi" w:hAnsiTheme="minorHAnsi"/>
          <w:b/>
          <w:sz w:val="18"/>
          <w:szCs w:val="18"/>
        </w:rPr>
        <w:t>miesięcy</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14:paraId="4E4328FE" w14:textId="77777777" w:rsidR="00F21A4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sz w:val="18"/>
          <w:szCs w:val="18"/>
        </w:rPr>
      </w:pPr>
      <w:r>
        <w:rPr>
          <w:rFonts w:asciiTheme="minorHAnsi" w:hAnsiTheme="minorHAnsi"/>
          <w:sz w:val="18"/>
          <w:szCs w:val="18"/>
        </w:rPr>
        <w:t xml:space="preserve">Realizacja </w:t>
      </w:r>
      <w:r w:rsidRPr="00F21A49">
        <w:rPr>
          <w:rFonts w:asciiTheme="minorHAnsi" w:hAnsiTheme="minorHAnsi"/>
          <w:sz w:val="18"/>
          <w:szCs w:val="18"/>
        </w:rPr>
        <w:t xml:space="preserve">dostaw: zamówienia częściowe składane będą za pośrednictwem poczty e-mailowej lub faxu sukcesywnie do potrzeb. Dostawy odbywać się będą w terminie do </w:t>
      </w:r>
      <w:r w:rsidRPr="00F21A49">
        <w:rPr>
          <w:rFonts w:asciiTheme="minorHAnsi" w:hAnsiTheme="minorHAnsi"/>
          <w:b/>
          <w:sz w:val="18"/>
          <w:szCs w:val="18"/>
        </w:rPr>
        <w:t>5 dni roboczych</w:t>
      </w:r>
      <w:r w:rsidRPr="00F21A49">
        <w:rPr>
          <w:rFonts w:asciiTheme="minorHAnsi" w:hAnsiTheme="minorHAnsi"/>
          <w:sz w:val="18"/>
          <w:szCs w:val="18"/>
        </w:rPr>
        <w:t xml:space="preserve"> od daty otrzymania zapotrzebowania, w sytuacjach pilnych do </w:t>
      </w:r>
      <w:r w:rsidRPr="00F21A49">
        <w:rPr>
          <w:rFonts w:asciiTheme="minorHAnsi" w:hAnsiTheme="minorHAnsi"/>
          <w:b/>
          <w:sz w:val="18"/>
          <w:szCs w:val="18"/>
        </w:rPr>
        <w:t>2 dni roboczych</w:t>
      </w:r>
      <w:r w:rsidRPr="00F21A49">
        <w:rPr>
          <w:rFonts w:asciiTheme="minorHAnsi" w:hAnsiTheme="minorHAnsi"/>
          <w:sz w:val="18"/>
          <w:szCs w:val="18"/>
        </w:rPr>
        <w:t>, w godz. od 7.00 do 14.00, w piątki do godz. 12.30.</w:t>
      </w:r>
    </w:p>
    <w:p w14:paraId="01886A2D" w14:textId="77777777" w:rsidR="00AE2DEF" w:rsidRPr="009D79DE" w:rsidRDefault="00AE2DEF" w:rsidP="005A3323">
      <w:pPr>
        <w:autoSpaceDE w:val="0"/>
        <w:autoSpaceDN w:val="0"/>
        <w:adjustRightInd w:val="0"/>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III</w:t>
      </w:r>
    </w:p>
    <w:p w14:paraId="695DE1EA" w14:textId="77777777" w:rsidR="00AE2DEF" w:rsidRDefault="00907079"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51B0B63C" w14:textId="77777777"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034BF424" w14:textId="77777777" w:rsidR="00AE2DEF" w:rsidRPr="009D79DE" w:rsidRDefault="00AE2DEF" w:rsidP="005A3323">
      <w:pPr>
        <w:spacing w:before="240" w:afterLines="10" w:after="24" w:line="240" w:lineRule="auto"/>
        <w:jc w:val="both"/>
        <w:rPr>
          <w:rFonts w:asciiTheme="minorHAnsi" w:hAnsiTheme="minorHAnsi" w:cs="Calibri"/>
          <w:b/>
          <w:sz w:val="18"/>
          <w:szCs w:val="18"/>
        </w:rPr>
      </w:pPr>
      <w:bookmarkStart w:id="4" w:name="highlightHit_5"/>
      <w:bookmarkStart w:id="5" w:name="highlightHit_6"/>
      <w:bookmarkStart w:id="6" w:name="highlightHit_7"/>
      <w:bookmarkEnd w:id="4"/>
      <w:bookmarkEnd w:id="5"/>
      <w:bookmarkEnd w:id="6"/>
      <w:r w:rsidRPr="009D79DE">
        <w:rPr>
          <w:rFonts w:asciiTheme="minorHAnsi" w:hAnsiTheme="minorHAnsi" w:cs="Calibri"/>
          <w:b/>
          <w:sz w:val="18"/>
          <w:szCs w:val="18"/>
        </w:rPr>
        <w:t xml:space="preserve">ROZDZIAŁ IV </w:t>
      </w:r>
    </w:p>
    <w:p w14:paraId="13E1C27A" w14:textId="77777777" w:rsidR="00AE2DEF" w:rsidRPr="009D79DE" w:rsidRDefault="007767A6" w:rsidP="005A3323">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56EE7B0B"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15F332BC"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2DEE12B1"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214FD337"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0E66A054"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221649A"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1D1042"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4405832D"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14:paraId="22862EF7"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C47680"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5C02CBE3"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7254B6ED"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36FA9EC7"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AA1BB9"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t>
      </w:r>
      <w:proofErr w:type="gramStart"/>
      <w:r w:rsidRPr="009D79DE">
        <w:rPr>
          <w:rFonts w:eastAsia="Times New Roman"/>
          <w:sz w:val="18"/>
          <w:szCs w:val="18"/>
          <w:lang w:eastAsia="pl-PL"/>
        </w:rPr>
        <w:t>prawomocnie  orzeczono</w:t>
      </w:r>
      <w:proofErr w:type="gramEnd"/>
      <w:r w:rsidRPr="009D79DE">
        <w:rPr>
          <w:rFonts w:eastAsia="Times New Roman"/>
          <w:sz w:val="18"/>
          <w:szCs w:val="18"/>
          <w:lang w:eastAsia="pl-PL"/>
        </w:rPr>
        <w:t xml:space="preserve"> zakaz ubiegania się o zamówienia publiczne;</w:t>
      </w:r>
    </w:p>
    <w:p w14:paraId="63F66378"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w:t>
      </w:r>
      <w:proofErr w:type="gramStart"/>
      <w:r w:rsidRPr="009D79DE">
        <w:rPr>
          <w:rFonts w:eastAsia="Times New Roman"/>
          <w:sz w:val="18"/>
          <w:szCs w:val="18"/>
          <w:lang w:eastAsia="pl-PL"/>
        </w:rPr>
        <w:t>szczególności</w:t>
      </w:r>
      <w:proofErr w:type="gramEnd"/>
      <w:r w:rsidRPr="009D79DE">
        <w:rPr>
          <w:rFonts w:eastAsia="Times New Roman"/>
          <w:sz w:val="18"/>
          <w:szCs w:val="18"/>
          <w:lang w:eastAsia="pl-PL"/>
        </w:rPr>
        <w:t xml:space="preserve">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7E52D592"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4AD84038"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652479AF"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t>
      </w:r>
      <w:proofErr w:type="gramStart"/>
      <w:r w:rsidRPr="009D79DE">
        <w:rPr>
          <w:rFonts w:eastAsia="Times New Roman"/>
          <w:sz w:val="18"/>
          <w:szCs w:val="18"/>
          <w:lang w:eastAsia="pl-PL"/>
        </w:rPr>
        <w:t>Wykonawcę</w:t>
      </w:r>
      <w:proofErr w:type="gramEnd"/>
      <w:r w:rsidRPr="009D79DE">
        <w:rPr>
          <w:rFonts w:eastAsia="Times New Roman"/>
          <w:sz w:val="18"/>
          <w:szCs w:val="18"/>
          <w:lang w:eastAsia="pl-PL"/>
        </w:rPr>
        <w:t xml:space="preserve">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435D2A81"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w:t>
      </w:r>
      <w:proofErr w:type="gramStart"/>
      <w:r w:rsidRPr="009D79DE">
        <w:rPr>
          <w:rFonts w:eastAsia="Times New Roman"/>
          <w:sz w:val="18"/>
          <w:szCs w:val="18"/>
          <w:lang w:eastAsia="pl-PL"/>
        </w:rPr>
        <w:t>stosunku</w:t>
      </w:r>
      <w:proofErr w:type="gramEnd"/>
      <w:r w:rsidRPr="009D79DE">
        <w:rPr>
          <w:rFonts w:eastAsia="Times New Roman"/>
          <w:sz w:val="18"/>
          <w:szCs w:val="18"/>
          <w:lang w:eastAsia="pl-PL"/>
        </w:rPr>
        <w:t xml:space="preserve">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68348156"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41529E5A" w14:textId="77777777"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zm.), zwanej dalej „ustawą Pzp”.</w:t>
      </w:r>
    </w:p>
    <w:p w14:paraId="1991C1EF" w14:textId="77777777"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07C99C22"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778191"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B280DF" w14:textId="77777777"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2E06EC1D" w14:textId="77777777" w:rsidR="003A1D26" w:rsidRDefault="003A1D26" w:rsidP="003A1D26">
      <w:pPr>
        <w:spacing w:after="0" w:line="240" w:lineRule="auto"/>
        <w:ind w:left="709"/>
        <w:jc w:val="both"/>
        <w:rPr>
          <w:rFonts w:ascii="Calibri" w:hAnsi="Calibri" w:cs="Calibri"/>
          <w:sz w:val="18"/>
          <w:szCs w:val="18"/>
        </w:rPr>
      </w:pPr>
    </w:p>
    <w:p w14:paraId="5A9CED2D" w14:textId="77777777"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5143AC9E"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osoby </w:t>
      </w:r>
      <w:proofErr w:type="gramStart"/>
      <w:r w:rsidRPr="00040E4A">
        <w:rPr>
          <w:rFonts w:asciiTheme="minorHAnsi" w:hAnsiTheme="minorHAnsi" w:cs="Calibri"/>
          <w:bCs/>
          <w:sz w:val="18"/>
          <w:szCs w:val="18"/>
        </w:rPr>
        <w:t>fizyczne  lub</w:t>
      </w:r>
      <w:proofErr w:type="gramEnd"/>
      <w:r w:rsidRPr="00040E4A">
        <w:rPr>
          <w:rFonts w:asciiTheme="minorHAnsi" w:hAnsiTheme="minorHAnsi" w:cs="Calibri"/>
          <w:bCs/>
          <w:sz w:val="18"/>
          <w:szCs w:val="18"/>
        </w:rPr>
        <w:t xml:space="preserve"> prawne, podmioty lub organy z siedzibą w Rosji;</w:t>
      </w:r>
    </w:p>
    <w:p w14:paraId="2C41F800"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79D3E03A"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504E152B"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 xml:space="preserve">obywateli rosyjskich lub osób fizycznych lub </w:t>
      </w:r>
      <w:proofErr w:type="gramStart"/>
      <w:r w:rsidRPr="00040E4A">
        <w:rPr>
          <w:rFonts w:asciiTheme="minorHAnsi" w:hAnsiTheme="minorHAnsi" w:cs="Calibri"/>
          <w:bCs/>
          <w:sz w:val="18"/>
          <w:szCs w:val="18"/>
        </w:rPr>
        <w:t>prawnych ,</w:t>
      </w:r>
      <w:proofErr w:type="gramEnd"/>
      <w:r w:rsidRPr="00040E4A">
        <w:rPr>
          <w:rFonts w:asciiTheme="minorHAnsi" w:hAnsiTheme="minorHAnsi" w:cs="Calibri"/>
          <w:bCs/>
          <w:sz w:val="18"/>
          <w:szCs w:val="18"/>
        </w:rPr>
        <w:t xml:space="preserve"> podmiotów lub organów z siedzibą w Rosji lub</w:t>
      </w:r>
    </w:p>
    <w:p w14:paraId="5E8EF573" w14:textId="77777777"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2D6B2D05" w14:textId="77777777"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xml:space="preserve">, w </w:t>
      </w:r>
      <w:proofErr w:type="gramStart"/>
      <w:r w:rsidRPr="00040E4A">
        <w:rPr>
          <w:rFonts w:asciiTheme="minorHAnsi" w:hAnsiTheme="minorHAnsi" w:cs="Calibri"/>
          <w:bCs/>
          <w:sz w:val="18"/>
          <w:szCs w:val="18"/>
        </w:rPr>
        <w:t>przypadku</w:t>
      </w:r>
      <w:proofErr w:type="gramEnd"/>
      <w:r w:rsidRPr="00040E4A">
        <w:rPr>
          <w:rFonts w:asciiTheme="minorHAnsi" w:hAnsiTheme="minorHAnsi" w:cs="Calibri"/>
          <w:bCs/>
          <w:sz w:val="18"/>
          <w:szCs w:val="18"/>
        </w:rPr>
        <w:t xml:space="preserve"> gdy przypada na nich ponad 10% wartości zamówienia lub koncesji, jeżeli taki podwykonawca, dostawca, podmiot, na którego zdolności wykonawca polega, należy do którejkolwiek z kategorii podmiotów wymienionych w punktach 1-3.</w:t>
      </w:r>
    </w:p>
    <w:p w14:paraId="03AAF668" w14:textId="77777777" w:rsidR="00AE2DEF" w:rsidRPr="009D79DE" w:rsidRDefault="00AE2DEF" w:rsidP="005A3323">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50BBA23C" w14:textId="77777777" w:rsidR="00AE2DEF" w:rsidRPr="009D79DE" w:rsidRDefault="007767A6" w:rsidP="005A3323">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14:paraId="494BC950" w14:textId="77777777" w:rsidR="00D02E34" w:rsidRPr="009D79DE" w:rsidRDefault="000F138B" w:rsidP="005A3323">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7B76E304" w14:textId="77777777" w:rsidR="00BA277F" w:rsidRDefault="008305A5" w:rsidP="005A3323">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lastRenderedPageBreak/>
        <w:t>Wraz z formularzem oferty, Wykonawca zobowiązany jest złożyć:</w:t>
      </w:r>
    </w:p>
    <w:p w14:paraId="1AF0124E" w14:textId="77777777" w:rsidR="006246A9" w:rsidRDefault="006246A9"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14:paraId="06FB0BF0" w14:textId="77777777" w:rsidR="00773820" w:rsidRDefault="002B761A"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6805A23E" w14:textId="77777777" w:rsidR="002755BE" w:rsidRPr="00322E22" w:rsidRDefault="002755BE"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3B2E1D3C" w14:textId="77777777" w:rsidR="00CB1012" w:rsidRDefault="00C740C1" w:rsidP="005A3323">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7324522C" w14:textId="77777777" w:rsidR="00453C71" w:rsidRPr="00453C71" w:rsidRDefault="00C740C1" w:rsidP="005A3323">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537157D9" w14:textId="77777777" w:rsidR="00CB1012" w:rsidRPr="00322E22" w:rsidRDefault="000B2421" w:rsidP="005A3323">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14:paraId="3E43EF08" w14:textId="77777777" w:rsidR="00453C71" w:rsidRPr="00453C71" w:rsidRDefault="00C740C1" w:rsidP="005A3323">
      <w:pPr>
        <w:pStyle w:val="Akapitzlist"/>
        <w:numPr>
          <w:ilvl w:val="1"/>
          <w:numId w:val="47"/>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4F35DF85" w14:textId="77777777" w:rsidR="00FF5BCB" w:rsidRPr="00322E22" w:rsidRDefault="00FF5BCB" w:rsidP="005A3323">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1ED947ED"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bookmarkStart w:id="7" w:name="mip57178930"/>
      <w:bookmarkEnd w:id="7"/>
      <w:r w:rsidRPr="0025686D">
        <w:rPr>
          <w:rFonts w:asciiTheme="minorHAnsi" w:hAnsiTheme="minorHAnsi" w:cstheme="minorHAnsi"/>
          <w:b/>
          <w:sz w:val="18"/>
          <w:szCs w:val="18"/>
        </w:rPr>
        <w:t>Deklaracje zgodności.</w:t>
      </w:r>
    </w:p>
    <w:p w14:paraId="10A901E7" w14:textId="77777777" w:rsidR="0025686D" w:rsidRDefault="0025686D" w:rsidP="0025686D">
      <w:pPr>
        <w:pStyle w:val="Akapitzlist"/>
        <w:spacing w:before="120" w:after="120"/>
        <w:ind w:left="714"/>
        <w:jc w:val="both"/>
        <w:rPr>
          <w:rFonts w:asciiTheme="minorHAnsi" w:hAnsiTheme="minorHAnsi" w:cstheme="minorHAnsi"/>
          <w:sz w:val="18"/>
          <w:szCs w:val="18"/>
        </w:rPr>
      </w:pPr>
      <w:r w:rsidRPr="0025686D">
        <w:rPr>
          <w:rFonts w:asciiTheme="minorHAnsi" w:hAnsiTheme="minorHAnsi" w:cstheme="minorHAnsi"/>
          <w:sz w:val="18"/>
          <w:szCs w:val="18"/>
        </w:rPr>
        <w:t>W przypadku, kiedy zaproponowany asortyment nie wymaga ww. dokumentu, należy załączyć oświadczenie wraz z uzasadnieniem.</w:t>
      </w:r>
    </w:p>
    <w:p w14:paraId="60F195AC" w14:textId="77777777" w:rsidR="0025686D" w:rsidRPr="0025686D" w:rsidRDefault="0025686D" w:rsidP="0025686D">
      <w:pPr>
        <w:pStyle w:val="Akapitzlist"/>
        <w:spacing w:before="120" w:after="120"/>
        <w:ind w:left="714"/>
        <w:jc w:val="both"/>
        <w:rPr>
          <w:rFonts w:asciiTheme="minorHAnsi" w:hAnsiTheme="minorHAnsi" w:cstheme="minorHAnsi"/>
          <w:sz w:val="18"/>
          <w:szCs w:val="18"/>
        </w:rPr>
      </w:pPr>
    </w:p>
    <w:p w14:paraId="3EBAB43D" w14:textId="77777777" w:rsidR="0025686D" w:rsidRDefault="0025686D" w:rsidP="0025686D">
      <w:pPr>
        <w:pStyle w:val="Akapitzlist"/>
        <w:numPr>
          <w:ilvl w:val="1"/>
          <w:numId w:val="3"/>
        </w:numPr>
        <w:spacing w:after="0" w:line="240" w:lineRule="auto"/>
        <w:rPr>
          <w:rFonts w:asciiTheme="minorHAnsi" w:hAnsiTheme="minorHAnsi" w:cstheme="minorHAnsi"/>
          <w:b/>
          <w:bCs/>
          <w:sz w:val="18"/>
          <w:szCs w:val="18"/>
          <w:lang w:val="x-none" w:eastAsia="x-none"/>
        </w:rPr>
      </w:pPr>
      <w:r w:rsidRPr="0025686D">
        <w:rPr>
          <w:rFonts w:asciiTheme="minorHAnsi" w:hAnsiTheme="minorHAnsi" w:cstheme="minorHAnsi"/>
          <w:b/>
          <w:bCs/>
          <w:sz w:val="18"/>
          <w:szCs w:val="18"/>
          <w:lang w:val="x-none" w:eastAsia="x-none"/>
        </w:rPr>
        <w:t>Certyfikat EC.</w:t>
      </w:r>
    </w:p>
    <w:p w14:paraId="1D81E499" w14:textId="596A1C52" w:rsidR="00320DC4" w:rsidRPr="00320DC4" w:rsidRDefault="00320DC4" w:rsidP="00320DC4">
      <w:pPr>
        <w:pStyle w:val="Akapitzlist"/>
        <w:spacing w:after="0" w:line="240" w:lineRule="auto"/>
        <w:jc w:val="both"/>
        <w:rPr>
          <w:rFonts w:asciiTheme="minorHAnsi" w:hAnsiTheme="minorHAnsi" w:cstheme="minorHAnsi"/>
          <w:sz w:val="18"/>
          <w:szCs w:val="18"/>
          <w:lang w:val="x-none" w:eastAsia="x-none"/>
        </w:rPr>
      </w:pPr>
      <w:r w:rsidRPr="003D47C7">
        <w:rPr>
          <w:rFonts w:asciiTheme="minorHAnsi" w:hAnsiTheme="minorHAnsi" w:cstheme="minorHAnsi"/>
          <w:sz w:val="18"/>
          <w:szCs w:val="18"/>
          <w:lang w:val="x-none" w:eastAsia="x-none"/>
        </w:rPr>
        <w:t>W przypadku, kiedy zaproponowany asortyment nie wymaga ww. dokumentu, należy załączyć oświadczenie wraz z uzasadnieniem.</w:t>
      </w:r>
    </w:p>
    <w:p w14:paraId="5CC622D1" w14:textId="77777777" w:rsidR="0025686D" w:rsidRPr="0025686D" w:rsidRDefault="0025686D" w:rsidP="0025686D">
      <w:pPr>
        <w:pStyle w:val="Akapitzlist"/>
        <w:spacing w:after="0" w:line="240" w:lineRule="auto"/>
        <w:rPr>
          <w:rFonts w:asciiTheme="minorHAnsi" w:hAnsiTheme="minorHAnsi" w:cstheme="minorHAnsi"/>
          <w:b/>
          <w:bCs/>
          <w:sz w:val="18"/>
          <w:szCs w:val="18"/>
          <w:lang w:val="x-none" w:eastAsia="x-none"/>
        </w:rPr>
      </w:pPr>
    </w:p>
    <w:p w14:paraId="1BA16047" w14:textId="77777777" w:rsidR="0025686D" w:rsidRPr="0025686D" w:rsidRDefault="0025686D" w:rsidP="0025686D">
      <w:pPr>
        <w:pStyle w:val="Akapitzlist"/>
        <w:numPr>
          <w:ilvl w:val="1"/>
          <w:numId w:val="3"/>
        </w:numPr>
        <w:spacing w:after="0" w:line="240" w:lineRule="auto"/>
        <w:rPr>
          <w:rFonts w:asciiTheme="minorHAnsi" w:hAnsiTheme="minorHAnsi" w:cstheme="minorHAnsi"/>
          <w:b/>
          <w:bCs/>
          <w:sz w:val="18"/>
          <w:szCs w:val="18"/>
          <w:lang w:val="x-none" w:eastAsia="x-none"/>
        </w:rPr>
      </w:pPr>
      <w:r w:rsidRPr="0025686D">
        <w:rPr>
          <w:rFonts w:asciiTheme="minorHAnsi" w:hAnsiTheme="minorHAnsi" w:cstheme="minorHAnsi"/>
          <w:b/>
          <w:bCs/>
          <w:sz w:val="18"/>
          <w:szCs w:val="18"/>
        </w:rPr>
        <w:t>Zaświadczenie dopuszczające</w:t>
      </w:r>
      <w:r w:rsidRPr="0025686D">
        <w:rPr>
          <w:rFonts w:asciiTheme="minorHAnsi" w:hAnsiTheme="minorHAnsi" w:cstheme="minorHAnsi"/>
          <w:sz w:val="18"/>
          <w:szCs w:val="18"/>
        </w:rPr>
        <w:t xml:space="preserve"> asortyment do badania MR do 3 Tesli </w:t>
      </w:r>
      <w:proofErr w:type="gramStart"/>
      <w:r w:rsidRPr="0025686D">
        <w:rPr>
          <w:rFonts w:asciiTheme="minorHAnsi" w:hAnsiTheme="minorHAnsi" w:cstheme="minorHAnsi"/>
          <w:sz w:val="18"/>
          <w:szCs w:val="18"/>
        </w:rPr>
        <w:t>( poz.</w:t>
      </w:r>
      <w:proofErr w:type="gramEnd"/>
      <w:r w:rsidRPr="0025686D">
        <w:rPr>
          <w:rFonts w:asciiTheme="minorHAnsi" w:hAnsiTheme="minorHAnsi" w:cstheme="minorHAnsi"/>
          <w:sz w:val="18"/>
          <w:szCs w:val="18"/>
        </w:rPr>
        <w:t xml:space="preserve"> 11,poz.12).</w:t>
      </w:r>
    </w:p>
    <w:p w14:paraId="18F74EA6"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5686D">
        <w:rPr>
          <w:rFonts w:asciiTheme="minorHAnsi" w:hAnsiTheme="minorHAnsi" w:cstheme="minorHAnsi"/>
          <w:b/>
          <w:sz w:val="18"/>
          <w:szCs w:val="18"/>
        </w:rPr>
        <w:t>Materiały informacyjne</w:t>
      </w:r>
      <w:r w:rsidRPr="0025686D">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14:paraId="6290FB63" w14:textId="77777777" w:rsidR="0025686D" w:rsidRPr="0025686D" w:rsidRDefault="0025686D" w:rsidP="0025686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5686D">
        <w:rPr>
          <w:rFonts w:asciiTheme="minorHAnsi" w:hAnsiTheme="minorHAnsi" w:cstheme="minorHAnsi"/>
          <w:b/>
          <w:sz w:val="18"/>
          <w:szCs w:val="18"/>
        </w:rPr>
        <w:t>Próbki artykułów wskazanych w poz. 1 i 3 formularza asortymentowo-cenowego – po 1 szt. oraz wykaz próbek</w:t>
      </w:r>
      <w:r w:rsidRPr="0025686D">
        <w:rPr>
          <w:rFonts w:asciiTheme="minorHAnsi" w:hAnsiTheme="minorHAnsi" w:cstheme="minorHAnsi"/>
          <w:b/>
          <w:bCs/>
          <w:sz w:val="18"/>
          <w:szCs w:val="18"/>
        </w:rPr>
        <w:t xml:space="preserve"> </w:t>
      </w:r>
      <w:r w:rsidRPr="0025686D">
        <w:rPr>
          <w:rFonts w:asciiTheme="minorHAnsi" w:hAnsiTheme="minorHAnsi" w:cstheme="minorHAnsi"/>
          <w:bCs/>
          <w:sz w:val="18"/>
          <w:szCs w:val="18"/>
        </w:rPr>
        <w:t xml:space="preserve">– Załącznik nr 4 do SWZ. </w:t>
      </w:r>
    </w:p>
    <w:p w14:paraId="0EB87275" w14:textId="64AA2311" w:rsidR="005474D8" w:rsidRDefault="005474D8" w:rsidP="005474D8">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Pr>
          <w:rFonts w:asciiTheme="minorHAnsi" w:hAnsiTheme="minorHAnsi"/>
          <w:b/>
          <w:bCs/>
          <w:sz w:val="18"/>
          <w:szCs w:val="18"/>
        </w:rPr>
        <w:t>należy</w:t>
      </w:r>
      <w:r w:rsidRPr="006C6B0D">
        <w:rPr>
          <w:rFonts w:asciiTheme="minorHAnsi" w:hAnsiTheme="minorHAnsi"/>
          <w:b/>
          <w:bCs/>
          <w:sz w:val="18"/>
          <w:szCs w:val="18"/>
        </w:rPr>
        <w:t xml:space="preserve"> dostarcz</w:t>
      </w:r>
      <w:r>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25686D">
        <w:rPr>
          <w:rFonts w:asciiTheme="minorHAnsi" w:hAnsiTheme="minorHAnsi"/>
          <w:b/>
          <w:bCs/>
          <w:sz w:val="18"/>
          <w:szCs w:val="18"/>
        </w:rPr>
        <w:t>2</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Pr="006C6B0D">
        <w:rPr>
          <w:sz w:val="18"/>
          <w:szCs w:val="18"/>
        </w:rPr>
        <w:t xml:space="preserve">Zakup </w:t>
      </w:r>
      <w:r>
        <w:rPr>
          <w:sz w:val="18"/>
          <w:szCs w:val="18"/>
        </w:rPr>
        <w:t>i</w:t>
      </w:r>
      <w:r w:rsidRPr="006C6B0D">
        <w:rPr>
          <w:sz w:val="18"/>
          <w:szCs w:val="18"/>
        </w:rPr>
        <w:t xml:space="preserve"> dostaw</w:t>
      </w:r>
      <w:r>
        <w:rPr>
          <w:sz w:val="18"/>
          <w:szCs w:val="18"/>
        </w:rPr>
        <w:t>a</w:t>
      </w:r>
      <w:r w:rsidRPr="006C6B0D">
        <w:rPr>
          <w:sz w:val="18"/>
          <w:szCs w:val="18"/>
        </w:rPr>
        <w:t xml:space="preserve"> </w:t>
      </w:r>
      <w:r>
        <w:rPr>
          <w:sz w:val="18"/>
          <w:szCs w:val="18"/>
        </w:rPr>
        <w:t>jednorazowych narzędzi do zamykania naczyń</w:t>
      </w:r>
      <w:r w:rsidRPr="006C6B0D">
        <w:rPr>
          <w:sz w:val="18"/>
          <w:szCs w:val="18"/>
        </w:rPr>
        <w:t xml:space="preserve"> dla Świętokrzyskiego Centrum Onkologii w Kielcach</w:t>
      </w:r>
      <w:r w:rsidRPr="006C6B0D">
        <w:rPr>
          <w:rFonts w:asciiTheme="minorHAnsi" w:hAnsiTheme="minorHAnsi"/>
          <w:bCs/>
          <w:sz w:val="18"/>
          <w:szCs w:val="18"/>
        </w:rPr>
        <w:t xml:space="preserve">. </w:t>
      </w:r>
      <w:r w:rsidR="00AD19C1">
        <w:rPr>
          <w:rFonts w:asciiTheme="minorHAnsi" w:hAnsiTheme="minorHAnsi"/>
          <w:bCs/>
          <w:sz w:val="18"/>
          <w:szCs w:val="18"/>
        </w:rPr>
        <w:t>I</w:t>
      </w:r>
      <w:r w:rsidRPr="006C6B0D">
        <w:rPr>
          <w:rFonts w:asciiTheme="minorHAnsi" w:hAnsiTheme="minorHAnsi"/>
          <w:bCs/>
          <w:sz w:val="18"/>
          <w:szCs w:val="18"/>
        </w:rPr>
        <w:t>ZP.2411.</w:t>
      </w:r>
      <w:r>
        <w:rPr>
          <w:rFonts w:asciiTheme="minorHAnsi" w:hAnsiTheme="minorHAnsi"/>
          <w:bCs/>
          <w:sz w:val="18"/>
          <w:szCs w:val="18"/>
        </w:rPr>
        <w:t>1</w:t>
      </w:r>
      <w:r w:rsidR="0025686D">
        <w:rPr>
          <w:rFonts w:asciiTheme="minorHAnsi" w:hAnsiTheme="minorHAnsi"/>
          <w:bCs/>
          <w:sz w:val="18"/>
          <w:szCs w:val="18"/>
        </w:rPr>
        <w:t>68</w:t>
      </w:r>
      <w:r w:rsidRPr="006C6B0D">
        <w:rPr>
          <w:rFonts w:asciiTheme="minorHAnsi" w:hAnsiTheme="minorHAnsi"/>
          <w:bCs/>
          <w:sz w:val="18"/>
          <w:szCs w:val="18"/>
        </w:rPr>
        <w:t>.202</w:t>
      </w:r>
      <w:r w:rsidR="0025686D">
        <w:rPr>
          <w:rFonts w:asciiTheme="minorHAnsi" w:hAnsiTheme="minorHAnsi"/>
          <w:bCs/>
          <w:sz w:val="18"/>
          <w:szCs w:val="18"/>
        </w:rPr>
        <w:t>4</w:t>
      </w:r>
      <w:r w:rsidRPr="006C6B0D">
        <w:rPr>
          <w:rFonts w:asciiTheme="minorHAnsi" w:hAnsiTheme="minorHAnsi"/>
          <w:bCs/>
          <w:sz w:val="18"/>
          <w:szCs w:val="18"/>
        </w:rPr>
        <w:t>.A</w:t>
      </w:r>
      <w:r w:rsidR="00AD19C1">
        <w:rPr>
          <w:rFonts w:asciiTheme="minorHAnsi" w:hAnsiTheme="minorHAnsi"/>
          <w:bCs/>
          <w:sz w:val="18"/>
          <w:szCs w:val="18"/>
        </w:rPr>
        <w:t>M</w:t>
      </w:r>
      <w:r w:rsidRPr="006C6B0D">
        <w:rPr>
          <w:rFonts w:asciiTheme="minorHAnsi" w:hAnsiTheme="minorHAnsi"/>
          <w:bCs/>
          <w:sz w:val="18"/>
          <w:szCs w:val="18"/>
        </w:rPr>
        <w:t>”.</w:t>
      </w:r>
    </w:p>
    <w:p w14:paraId="550BB1E4" w14:textId="77777777" w:rsidR="005474D8" w:rsidRPr="006C6B0D" w:rsidRDefault="005474D8" w:rsidP="005474D8">
      <w:pPr>
        <w:pStyle w:val="Akapitzlist"/>
        <w:shd w:val="clear" w:color="auto" w:fill="FFFFFF" w:themeFill="background1"/>
        <w:spacing w:after="0" w:line="240" w:lineRule="auto"/>
        <w:jc w:val="both"/>
        <w:rPr>
          <w:rFonts w:asciiTheme="minorHAnsi" w:hAnsiTheme="minorHAnsi"/>
          <w:bCs/>
          <w:sz w:val="18"/>
          <w:szCs w:val="18"/>
        </w:rPr>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 </w:t>
      </w:r>
      <w:r w:rsidRPr="005474D8">
        <w:rPr>
          <w:rFonts w:asciiTheme="minorHAnsi" w:hAnsiTheme="minorHAnsi" w:cstheme="minorHAnsi"/>
          <w:b/>
          <w:sz w:val="18"/>
          <w:szCs w:val="18"/>
        </w:rPr>
        <w:t>formie elektronicznej</w:t>
      </w:r>
      <w:r w:rsidRPr="002E6A0C">
        <w:rPr>
          <w:rFonts w:asciiTheme="minorHAnsi" w:hAnsiTheme="minorHAnsi" w:cstheme="minorHAnsi"/>
          <w:sz w:val="18"/>
          <w:szCs w:val="18"/>
        </w:rPr>
        <w:t xml:space="preserve"> za pośrednictwem </w:t>
      </w:r>
      <w:hyperlink r:id="rId17" w:history="1">
        <w:r w:rsidRPr="002E6A0C">
          <w:rPr>
            <w:rStyle w:val="Hipercze"/>
            <w:rFonts w:asciiTheme="minorHAnsi" w:hAnsiTheme="minorHAnsi" w:cstheme="minorHAnsi"/>
            <w:color w:val="auto"/>
            <w:sz w:val="18"/>
            <w:szCs w:val="18"/>
          </w:rPr>
          <w:t>platformazakupowa.pl</w:t>
        </w:r>
      </w:hyperlink>
      <w:r w:rsidRPr="002E6A0C">
        <w:t>.</w:t>
      </w:r>
    </w:p>
    <w:p w14:paraId="3CB46B4B" w14:textId="77777777" w:rsidR="00C91971" w:rsidRPr="00C91971" w:rsidRDefault="00C91971" w:rsidP="005A3323">
      <w:pPr>
        <w:autoSpaceDE w:val="0"/>
        <w:autoSpaceDN w:val="0"/>
        <w:adjustRightInd w:val="0"/>
        <w:spacing w:before="240" w:afterLines="10" w:after="24"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14:paraId="7084F290" w14:textId="77777777" w:rsidR="00C91971" w:rsidRPr="00C91971" w:rsidRDefault="00C91971" w:rsidP="005A3323">
      <w:pPr>
        <w:autoSpaceDE w:val="0"/>
        <w:autoSpaceDN w:val="0"/>
        <w:adjustRightInd w:val="0"/>
        <w:spacing w:afterLines="10" w:after="24"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14:paraId="375A61BE" w14:textId="77777777" w:rsidR="00A14393" w:rsidRPr="009D79DE" w:rsidRDefault="00A14393" w:rsidP="005A3323">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2164915D" w14:textId="77777777"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2A29605F" w14:textId="77777777"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8"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(Dz.U. z 2020 r. </w:t>
      </w:r>
      <w:hyperlink r:id="rId19"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20"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14:paraId="1062F036" w14:textId="77777777"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lastRenderedPageBreak/>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21"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14:paraId="3EA5F6F9" w14:textId="77777777"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00008082" w14:textId="77777777" w:rsidR="009303E8" w:rsidRPr="009D79DE" w:rsidRDefault="00C73C0D" w:rsidP="005A3323">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8" w:name="mip35795044"/>
      <w:bookmarkEnd w:id="8"/>
      <w:r w:rsidRPr="009D79DE">
        <w:rPr>
          <w:rFonts w:asciiTheme="minorHAnsi" w:hAnsiTheme="minorHAnsi"/>
          <w:b/>
          <w:sz w:val="18"/>
          <w:szCs w:val="18"/>
        </w:rPr>
        <w:t>UWAGI</w:t>
      </w:r>
      <w:r w:rsidR="0026748B" w:rsidRPr="009D79DE">
        <w:rPr>
          <w:rFonts w:asciiTheme="minorHAnsi" w:hAnsiTheme="minorHAnsi"/>
          <w:b/>
          <w:sz w:val="18"/>
          <w:szCs w:val="18"/>
        </w:rPr>
        <w:t>:</w:t>
      </w:r>
    </w:p>
    <w:p w14:paraId="2E4EAABC" w14:textId="77777777" w:rsidR="004916AA" w:rsidRPr="009D79DE" w:rsidRDefault="004916AA" w:rsidP="005A3323">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584030E0" w14:textId="7844E3D0" w:rsidR="0025686D" w:rsidRPr="0025686D" w:rsidRDefault="004916AA" w:rsidP="0025686D">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504EBDC8" w14:textId="77777777" w:rsidR="009D0C42" w:rsidRPr="009D79DE" w:rsidRDefault="009D0C42" w:rsidP="005A3323">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77D39292" w14:textId="77777777" w:rsidR="009D0C42" w:rsidRPr="002629BC" w:rsidRDefault="009D0C42" w:rsidP="005A3323">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9" w:name="mip55915165"/>
      <w:bookmarkEnd w:id="9"/>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14:paraId="0AAAE0FB" w14:textId="77777777" w:rsidR="00D02EFE" w:rsidRPr="009D79DE" w:rsidRDefault="005A4185" w:rsidP="005A3323">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5885AD10" w14:textId="77777777" w:rsidR="006009A7" w:rsidRPr="002629BC" w:rsidRDefault="006009A7" w:rsidP="005A3323">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1B4D1B47" w14:textId="77777777" w:rsidR="005233AC" w:rsidRPr="009D79DE" w:rsidRDefault="006009A7" w:rsidP="005A3323">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781C2BCF" w14:textId="77777777" w:rsidR="007C68FD" w:rsidRPr="009D79DE" w:rsidRDefault="006009A7"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10" w:name="mip57178918"/>
      <w:bookmarkStart w:id="11" w:name="_Hlk62208478"/>
      <w:bookmarkEnd w:id="10"/>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6BC9AD2A" w14:textId="77777777" w:rsidR="006009A7" w:rsidRPr="009D79DE" w:rsidRDefault="006009A7" w:rsidP="005A3323">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330525F6" w14:textId="77777777" w:rsidR="006009A7" w:rsidRPr="009D79DE" w:rsidRDefault="006009A7" w:rsidP="005A3323">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1"/>
    <w:p w14:paraId="678E1206" w14:textId="77777777" w:rsidR="005233AC" w:rsidRPr="009D79DE" w:rsidRDefault="00841BE4" w:rsidP="005A3323">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50567135" w14:textId="77777777" w:rsidR="005233AC" w:rsidRPr="002D1FCC" w:rsidRDefault="00841BE4" w:rsidP="005A3323">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1F41CFDA" w14:textId="77777777" w:rsidR="004B45FE" w:rsidRPr="009D79DE" w:rsidRDefault="00184166" w:rsidP="005A3323">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2" w:name="mip57178926"/>
      <w:bookmarkEnd w:id="12"/>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3ACFB09E" w14:textId="77777777" w:rsidR="004B45FE" w:rsidRPr="009D79DE" w:rsidRDefault="004B45FE"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13" w:name="mip57178928"/>
      <w:bookmarkEnd w:id="13"/>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4CB76FBF" w14:textId="77777777" w:rsidR="004B45FE" w:rsidRPr="009D79DE" w:rsidRDefault="004B45FE" w:rsidP="005A3323">
      <w:pPr>
        <w:pStyle w:val="Akapitzlist"/>
        <w:numPr>
          <w:ilvl w:val="0"/>
          <w:numId w:val="19"/>
        </w:numPr>
        <w:spacing w:afterLines="10" w:after="24" w:line="240" w:lineRule="auto"/>
        <w:contextualSpacing w:val="0"/>
        <w:jc w:val="both"/>
        <w:rPr>
          <w:rFonts w:asciiTheme="minorHAnsi" w:hAnsiTheme="minorHAnsi"/>
          <w:sz w:val="18"/>
          <w:szCs w:val="18"/>
        </w:rPr>
      </w:pPr>
      <w:bookmarkStart w:id="14" w:name="mip57178929"/>
      <w:bookmarkEnd w:id="14"/>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14:paraId="3446BDC4" w14:textId="77777777" w:rsidR="004B45FE" w:rsidRPr="009D79DE" w:rsidRDefault="004B45FE" w:rsidP="005A3323">
      <w:pPr>
        <w:spacing w:before="240" w:afterLines="10" w:after="24" w:line="240" w:lineRule="auto"/>
        <w:ind w:left="1276"/>
        <w:jc w:val="both"/>
        <w:rPr>
          <w:rFonts w:asciiTheme="minorHAnsi" w:eastAsia="Calibri" w:hAnsiTheme="minorHAnsi"/>
          <w:sz w:val="18"/>
          <w:szCs w:val="18"/>
        </w:rPr>
      </w:pPr>
      <w:bookmarkStart w:id="15" w:name="mip57178931"/>
      <w:bookmarkEnd w:id="15"/>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14:paraId="18EAD7B4" w14:textId="77777777" w:rsidR="00A37DE9" w:rsidRPr="009D79DE" w:rsidRDefault="00F35B96" w:rsidP="005A3323">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461E385" w14:textId="77777777" w:rsidR="00C81FAC" w:rsidRPr="002629BC" w:rsidRDefault="00A82FE0" w:rsidP="005A3323">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6" w:name="mip51080253"/>
      <w:bookmarkEnd w:id="16"/>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3A62119A" w14:textId="77777777" w:rsidR="002A1C33" w:rsidRPr="009D79DE" w:rsidRDefault="002A1C33" w:rsidP="005A3323">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7" w:name="mip57154176"/>
      <w:bookmarkEnd w:id="17"/>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5F4A01D5" w14:textId="77777777" w:rsidR="00873DDC" w:rsidRPr="009D79DE" w:rsidRDefault="008225B7" w:rsidP="005A3323">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8" w:name="mip57154178"/>
      <w:bookmarkEnd w:id="18"/>
      <w:r w:rsidR="002A1C33" w:rsidRPr="009D79DE">
        <w:rPr>
          <w:rFonts w:asciiTheme="minorHAnsi" w:hAnsiTheme="minorHAnsi"/>
          <w:sz w:val="18"/>
          <w:szCs w:val="18"/>
        </w:rPr>
        <w:t xml:space="preserve">składa informację z odpowiedniego rejestru, takiego jak rejestr sądowy, </w:t>
      </w:r>
      <w:proofErr w:type="gramStart"/>
      <w:r w:rsidR="002A1C33" w:rsidRPr="009D79DE">
        <w:rPr>
          <w:rFonts w:asciiTheme="minorHAnsi" w:hAnsiTheme="minorHAnsi"/>
          <w:sz w:val="18"/>
          <w:szCs w:val="18"/>
        </w:rPr>
        <w:t>albo,</w:t>
      </w:r>
      <w:proofErr w:type="gramEnd"/>
      <w:r w:rsidR="002A1C33" w:rsidRPr="009D79DE">
        <w:rPr>
          <w:rFonts w:asciiTheme="minorHAnsi" w:hAnsiTheme="minorHAnsi"/>
          <w:sz w:val="18"/>
          <w:szCs w:val="18"/>
        </w:rPr>
        <w:t xml:space="preserve">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35352DC2" w14:textId="77777777" w:rsidR="008225B7" w:rsidRPr="009D79DE" w:rsidRDefault="008225B7" w:rsidP="005A3323">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xml:space="preserve"> składa dokument lub dokumenty wystawione w kraju, w którym Wykonawca ma siedzibę lub miejsce zamieszkania, potwierdzające, że nie otwarto jego likwidacji, nie ogłoszono upadłości, jego </w:t>
      </w:r>
      <w:r w:rsidR="00873DDC" w:rsidRPr="009D79DE">
        <w:rPr>
          <w:rFonts w:asciiTheme="minorHAnsi" w:hAnsiTheme="minorHAnsi"/>
          <w:sz w:val="18"/>
          <w:szCs w:val="18"/>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14:paraId="5DE8B04C" w14:textId="58BAEB03" w:rsidR="0025686D" w:rsidRPr="0025686D" w:rsidRDefault="008225B7" w:rsidP="0025686D">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2"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4CF37601" w14:textId="77777777" w:rsidR="00090DD6" w:rsidRPr="009D79DE" w:rsidRDefault="00090DD6" w:rsidP="005A3323">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3302E5EC" w14:textId="77777777" w:rsidR="00873DDC" w:rsidRPr="009D79DE" w:rsidRDefault="00090DD6" w:rsidP="005A3323">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113B553F" w14:textId="77777777" w:rsidR="00F94961" w:rsidRPr="009D79DE" w:rsidRDefault="00F90E5F"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2C420271" w14:textId="77777777" w:rsidR="00431481" w:rsidRPr="009D79DE" w:rsidRDefault="00431481"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7B64777F" w14:textId="77777777" w:rsidR="00D04CF1" w:rsidRPr="009D79DE" w:rsidRDefault="00D04CF1" w:rsidP="005A3323">
      <w:pPr>
        <w:spacing w:afterLines="10" w:after="24" w:line="240" w:lineRule="auto"/>
        <w:jc w:val="both"/>
        <w:rPr>
          <w:rFonts w:asciiTheme="minorHAnsi" w:hAnsiTheme="minorHAnsi"/>
          <w:b/>
          <w:sz w:val="18"/>
          <w:szCs w:val="18"/>
        </w:rPr>
      </w:pPr>
    </w:p>
    <w:p w14:paraId="58494A28"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3"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4" w:tooltip="blocked::http://platformazakupowa.pl/pn/onkol_kielce" w:history="1">
        <w:r w:rsidRPr="009D79DE">
          <w:rPr>
            <w:rStyle w:val="Hipercze"/>
            <w:rFonts w:asciiTheme="minorHAnsi" w:hAnsiTheme="minorHAnsi"/>
            <w:color w:val="auto"/>
            <w:sz w:val="18"/>
            <w:szCs w:val="18"/>
          </w:rPr>
          <w:t>platformazakupowa.pl/pn/onkol_kielce</w:t>
        </w:r>
      </w:hyperlink>
    </w:p>
    <w:p w14:paraId="0EAEC6A9"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62080AF9" w14:textId="77777777"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6999DA88"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w:t>
      </w:r>
      <w:proofErr w:type="gramStart"/>
      <w:r w:rsidRPr="009D79DE">
        <w:rPr>
          <w:rFonts w:asciiTheme="minorHAnsi" w:hAnsiTheme="minorHAnsi" w:cstheme="minorHAnsi"/>
          <w:sz w:val="18"/>
          <w:szCs w:val="18"/>
        </w:rPr>
        <w:t>przycisku  „</w:t>
      </w:r>
      <w:proofErr w:type="gramEnd"/>
      <w:r w:rsidRPr="009D79DE">
        <w:rPr>
          <w:rFonts w:asciiTheme="minorHAnsi" w:hAnsiTheme="minorHAnsi" w:cstheme="minorHAnsi"/>
          <w:sz w:val="18"/>
          <w:szCs w:val="18"/>
        </w:rPr>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4E6178B5" w14:textId="77777777"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14:paraId="0C60A7C6"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73111F9B"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F684DA" w14:textId="77777777" w:rsidR="007318A0" w:rsidRPr="009D79DE" w:rsidRDefault="007318A0" w:rsidP="005A3323">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9"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76538FA9"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7EBB38F5"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6F8504DD"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5D1887D9"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11206986"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237CFD6B" w14:textId="77777777" w:rsidR="007318A0" w:rsidRPr="009D79DE" w:rsidRDefault="004A772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0D12AD25" w14:textId="77777777" w:rsidR="007318A0" w:rsidRPr="009D79DE" w:rsidRDefault="004A772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w:t>
      </w:r>
      <w:proofErr w:type="gramStart"/>
      <w:r w:rsidR="007318A0" w:rsidRPr="009D79DE">
        <w:rPr>
          <w:rFonts w:asciiTheme="minorHAnsi" w:hAnsiTheme="minorHAnsi" w:cstheme="minorHAnsi"/>
          <w:sz w:val="18"/>
          <w:szCs w:val="18"/>
        </w:rPr>
        <w:t>mm:ss</w:t>
      </w:r>
      <w:proofErr w:type="spellEnd"/>
      <w:proofErr w:type="gram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20890B8E"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448D1962" w14:textId="77777777" w:rsidR="007318A0"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30"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1"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7413936C" w14:textId="77777777" w:rsidR="009A7A31" w:rsidRPr="009D79DE" w:rsidRDefault="007318A0" w:rsidP="005A3323">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2"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2E0B99BC"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3"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6"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0E1592BF" w14:textId="77777777" w:rsidR="007318A0" w:rsidRPr="009D79DE" w:rsidRDefault="007318A0" w:rsidP="005A3323">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6CAB6DDE" w14:textId="77777777"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4605F">
        <w:rPr>
          <w:rFonts w:asciiTheme="minorHAnsi" w:hAnsiTheme="minorHAnsi"/>
          <w:sz w:val="18"/>
          <w:szCs w:val="18"/>
        </w:rPr>
        <w:t>Anna Mokosiej</w:t>
      </w:r>
    </w:p>
    <w:p w14:paraId="07A2DE9B" w14:textId="77777777" w:rsidR="00EF40B0" w:rsidRPr="009D79DE" w:rsidRDefault="00EF40B0" w:rsidP="005A3323">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0E4284A7" w14:textId="77777777"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sprawie Krajowych </w:t>
      </w:r>
      <w:r w:rsidRPr="009D79DE">
        <w:rPr>
          <w:rFonts w:asciiTheme="minorHAnsi" w:hAnsiTheme="minorHAnsi"/>
          <w:sz w:val="18"/>
          <w:szCs w:val="18"/>
          <w:shd w:val="clear" w:color="auto" w:fill="FFFFFF"/>
        </w:rPr>
        <w:lastRenderedPageBreak/>
        <w:t>Ram Interoperacyjności, minimalnych wymagań dla rejestrów publicznych i wymiany informacji w postaci elektronicznej oraz minimalnych wymagań dla systemów teleinformatycznych (t.j. Dz.U. z 2017 r. poz. 2247).</w:t>
      </w:r>
    </w:p>
    <w:p w14:paraId="28E7B1D1"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w:t>
      </w:r>
      <w:proofErr w:type="gramStart"/>
      <w:r w:rsidR="000A019F" w:rsidRPr="009D79DE">
        <w:rPr>
          <w:rFonts w:asciiTheme="minorHAnsi" w:hAnsiTheme="minorHAnsi"/>
          <w:sz w:val="18"/>
          <w:szCs w:val="18"/>
          <w:shd w:val="clear" w:color="auto" w:fill="FFFFFF"/>
        </w:rPr>
        <w:t xml:space="preserve">1 </w:t>
      </w:r>
      <w:r w:rsidRPr="009D79DE">
        <w:rPr>
          <w:rFonts w:asciiTheme="minorHAnsi" w:hAnsiTheme="minorHAnsi"/>
          <w:sz w:val="18"/>
          <w:szCs w:val="18"/>
          <w:shd w:val="clear" w:color="auto" w:fill="FFFFFF"/>
        </w:rPr>
        <w:t> lub</w:t>
      </w:r>
      <w:proofErr w:type="gramEnd"/>
      <w:r w:rsidRPr="009D79DE">
        <w:rPr>
          <w:rFonts w:asciiTheme="minorHAnsi" w:hAnsiTheme="minorHAnsi"/>
          <w:sz w:val="18"/>
          <w:szCs w:val="18"/>
          <w:shd w:val="clear" w:color="auto" w:fill="FFFFFF"/>
        </w:rPr>
        <w:t xml:space="preserve">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5B9D6CC6"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4162DD91"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1"/>
      <w:bookmarkEnd w:id="19"/>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08DAE443"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2"/>
      <w:bookmarkEnd w:id="20"/>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507396FC"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3"/>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7D7427AC"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2" w:name="mip57178954"/>
      <w:bookmarkEnd w:id="22"/>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6C22E16D"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7" w:history="1">
        <w:r w:rsidR="00DB7DD3" w:rsidRPr="009D79DE">
          <w:rPr>
            <w:rStyle w:val="Hipercze"/>
            <w:rFonts w:asciiTheme="minorHAnsi" w:hAnsiTheme="minorHAnsi"/>
            <w:sz w:val="18"/>
            <w:szCs w:val="18"/>
          </w:rPr>
          <w:t>cwk@platformazakupowa.pl</w:t>
        </w:r>
      </w:hyperlink>
    </w:p>
    <w:p w14:paraId="112EFAD3" w14:textId="77777777" w:rsidR="00DB7DD3" w:rsidRPr="009D79DE" w:rsidRDefault="00DB7DD3" w:rsidP="005A3323">
      <w:pPr>
        <w:pStyle w:val="Akapitzlist"/>
        <w:spacing w:beforeLines="240" w:before="576" w:after="0" w:line="240" w:lineRule="auto"/>
        <w:jc w:val="both"/>
        <w:textAlignment w:val="baseline"/>
        <w:rPr>
          <w:rFonts w:asciiTheme="minorHAnsi" w:hAnsiTheme="minorHAnsi" w:cs="Calibri"/>
          <w:b/>
          <w:sz w:val="18"/>
          <w:szCs w:val="18"/>
        </w:rPr>
      </w:pPr>
    </w:p>
    <w:p w14:paraId="52593D9A" w14:textId="77777777" w:rsidR="00AE2DEF"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449D2BB0" w14:textId="77777777" w:rsidR="006B041D" w:rsidRPr="009D79DE" w:rsidRDefault="00F97234"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5CA1EA9C" w14:textId="77777777" w:rsidR="00757EF4" w:rsidRPr="009D79DE" w:rsidRDefault="006900DE"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4AB23D2F" w14:textId="77777777" w:rsidR="000F64FC"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32E21E19" w14:textId="77777777" w:rsidR="000F64FC"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27A97FBF" w14:textId="77777777" w:rsidR="003010B7" w:rsidRPr="009D79DE" w:rsidRDefault="003010B7" w:rsidP="005A3323">
      <w:pPr>
        <w:spacing w:afterLines="10" w:after="24" w:line="240" w:lineRule="auto"/>
        <w:jc w:val="both"/>
        <w:rPr>
          <w:rFonts w:asciiTheme="minorHAnsi" w:hAnsiTheme="minorHAnsi"/>
          <w:b/>
          <w:sz w:val="18"/>
          <w:szCs w:val="18"/>
        </w:rPr>
      </w:pPr>
    </w:p>
    <w:p w14:paraId="2C9693FC" w14:textId="00A00711" w:rsidR="000F64FC" w:rsidRPr="009D79DE" w:rsidRDefault="000F64FC" w:rsidP="005A3323">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BA1DBA">
        <w:rPr>
          <w:rFonts w:asciiTheme="minorHAnsi" w:hAnsiTheme="minorHAnsi"/>
          <w:b/>
          <w:sz w:val="18"/>
          <w:szCs w:val="18"/>
        </w:rPr>
        <w:t>17</w:t>
      </w:r>
      <w:r w:rsidR="0025686D">
        <w:rPr>
          <w:rFonts w:asciiTheme="minorHAnsi" w:hAnsiTheme="minorHAnsi"/>
          <w:b/>
          <w:sz w:val="18"/>
          <w:szCs w:val="18"/>
        </w:rPr>
        <w:t>.11.2024</w:t>
      </w:r>
      <w:r w:rsidR="00554CEA" w:rsidRPr="00CE4D10">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27B7FCF8" w14:textId="77777777" w:rsidR="007D64AE" w:rsidRPr="009D79DE" w:rsidRDefault="00173457" w:rsidP="005A3323">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3" w:name="_Hlk2093157"/>
    </w:p>
    <w:p w14:paraId="58708870" w14:textId="77777777" w:rsidR="000F64FC"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702F226D" w14:textId="77777777" w:rsidR="000F64FC" w:rsidRPr="009D79DE" w:rsidRDefault="007767A6"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5B48A575" w14:textId="77777777" w:rsidR="003010B7" w:rsidRPr="009D79DE" w:rsidRDefault="003010B7" w:rsidP="005A3323">
      <w:pPr>
        <w:spacing w:afterLines="10" w:after="24" w:line="240" w:lineRule="auto"/>
        <w:jc w:val="both"/>
        <w:rPr>
          <w:rFonts w:asciiTheme="minorHAnsi" w:hAnsiTheme="minorHAnsi"/>
          <w:b/>
          <w:sz w:val="18"/>
          <w:szCs w:val="18"/>
        </w:rPr>
      </w:pPr>
    </w:p>
    <w:p w14:paraId="0D006F12" w14:textId="56CD5685"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8"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64B1B8CA"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10B0084"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6E1F8757" w14:textId="77777777"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4A980812"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457A70EE"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40"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054B44DD"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339D8311"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3CB9E02B"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41D9A5EA"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1"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55BEE91C" w14:textId="77777777" w:rsidR="00347347" w:rsidRPr="009D79DE" w:rsidRDefault="00000000" w:rsidP="00304C81">
      <w:pPr>
        <w:spacing w:after="120" w:line="240" w:lineRule="auto"/>
        <w:ind w:left="363"/>
        <w:jc w:val="both"/>
        <w:rPr>
          <w:rFonts w:asciiTheme="minorHAnsi" w:hAnsiTheme="minorHAnsi" w:cstheme="minorHAnsi"/>
          <w:sz w:val="18"/>
          <w:szCs w:val="18"/>
        </w:rPr>
      </w:pPr>
      <w:hyperlink r:id="rId42"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1801AE9E"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139495E7"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Ceny oferty muszą zawierać wszystkie koszty, jakie musi ponieść Wykonawca, aby zrealizować zamówienie z najwyższą starannością oraz ewentualne rabaty.</w:t>
      </w:r>
    </w:p>
    <w:p w14:paraId="464782BA" w14:textId="1E7D1944"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06F022C"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DB31B56" w14:textId="77777777"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3"/>
    </w:p>
    <w:p w14:paraId="5B2CABC6" w14:textId="77777777" w:rsidR="008B05F5" w:rsidRPr="009D79DE" w:rsidRDefault="007767A6"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5BC6BCBF" w14:textId="77777777" w:rsidR="000F64FC" w:rsidRPr="009D79DE" w:rsidRDefault="007767A6" w:rsidP="005A3323">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7243C1DA" w14:textId="77777777" w:rsidR="003010B7" w:rsidRPr="009D79DE" w:rsidRDefault="003010B7" w:rsidP="005A3323">
      <w:pPr>
        <w:spacing w:afterLines="10" w:after="24" w:line="240" w:lineRule="auto"/>
        <w:jc w:val="both"/>
        <w:rPr>
          <w:rFonts w:asciiTheme="minorHAnsi" w:hAnsiTheme="minorHAnsi"/>
          <w:b/>
          <w:sz w:val="18"/>
          <w:szCs w:val="18"/>
        </w:rPr>
      </w:pPr>
    </w:p>
    <w:p w14:paraId="2C70B990" w14:textId="66A5AA58" w:rsidR="000F64FC" w:rsidRPr="009D79DE" w:rsidRDefault="000F64FC" w:rsidP="005A3323">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BA1DBA">
        <w:rPr>
          <w:rFonts w:asciiTheme="minorHAnsi" w:hAnsiTheme="minorHAnsi"/>
          <w:b/>
          <w:bCs/>
          <w:sz w:val="18"/>
          <w:szCs w:val="18"/>
        </w:rPr>
        <w:t>20</w:t>
      </w:r>
      <w:r w:rsidR="0025686D">
        <w:rPr>
          <w:rFonts w:asciiTheme="minorHAnsi" w:hAnsiTheme="minorHAnsi"/>
          <w:b/>
          <w:bCs/>
          <w:sz w:val="18"/>
          <w:szCs w:val="18"/>
        </w:rPr>
        <w:t>.08.2024</w:t>
      </w:r>
      <w:r w:rsidR="009F016C" w:rsidRPr="009D79DE">
        <w:rPr>
          <w:rFonts w:asciiTheme="minorHAnsi" w:hAnsiTheme="minorHAnsi"/>
          <w:b/>
          <w:bCs/>
          <w:sz w:val="18"/>
          <w:szCs w:val="18"/>
        </w:rPr>
        <w:t>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w:t>
      </w:r>
      <w:r w:rsidR="0025686D">
        <w:rPr>
          <w:rFonts w:asciiTheme="minorHAnsi" w:hAnsiTheme="minorHAnsi"/>
          <w:b/>
          <w:sz w:val="18"/>
          <w:szCs w:val="18"/>
        </w:rPr>
        <w:t>8</w:t>
      </w:r>
      <w:r w:rsidR="0003176B" w:rsidRPr="009D79DE">
        <w:rPr>
          <w:rFonts w:asciiTheme="minorHAnsi" w:hAnsiTheme="minorHAnsi"/>
          <w:b/>
          <w:sz w:val="18"/>
          <w:szCs w:val="18"/>
        </w:rPr>
        <w:t>:00</w:t>
      </w:r>
      <w:r w:rsidR="00790B63" w:rsidRPr="009D79DE">
        <w:rPr>
          <w:rFonts w:asciiTheme="minorHAnsi" w:hAnsiTheme="minorHAnsi"/>
          <w:b/>
          <w:sz w:val="18"/>
          <w:szCs w:val="18"/>
        </w:rPr>
        <w:t>.</w:t>
      </w:r>
    </w:p>
    <w:p w14:paraId="7B8B9C68" w14:textId="2C9B3F6C" w:rsidR="007D64AE" w:rsidRPr="009D79DE" w:rsidRDefault="000F3220" w:rsidP="005A3323">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BA1DBA">
        <w:rPr>
          <w:rFonts w:asciiTheme="minorHAnsi" w:hAnsiTheme="minorHAnsi"/>
          <w:b/>
          <w:bCs/>
          <w:sz w:val="18"/>
          <w:szCs w:val="18"/>
        </w:rPr>
        <w:t>20</w:t>
      </w:r>
      <w:r w:rsidR="0025686D">
        <w:rPr>
          <w:rFonts w:asciiTheme="minorHAnsi" w:hAnsiTheme="minorHAnsi"/>
          <w:b/>
          <w:bCs/>
          <w:sz w:val="18"/>
          <w:szCs w:val="18"/>
        </w:rPr>
        <w:t>.08.2024</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 xml:space="preserve">o godz. </w:t>
      </w:r>
      <w:r w:rsidR="0025686D">
        <w:rPr>
          <w:rFonts w:asciiTheme="minorHAnsi" w:hAnsiTheme="minorHAnsi"/>
          <w:b/>
          <w:sz w:val="18"/>
          <w:szCs w:val="18"/>
        </w:rPr>
        <w:t>09</w:t>
      </w:r>
      <w:r w:rsidR="003010B7" w:rsidRPr="009D79DE">
        <w:rPr>
          <w:rFonts w:asciiTheme="minorHAnsi" w:hAnsiTheme="minorHAnsi"/>
          <w:b/>
          <w:sz w:val="18"/>
          <w:szCs w:val="18"/>
        </w:rPr>
        <w:t>:00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14:paraId="35FC2C7B" w14:textId="77777777" w:rsidR="007767A6" w:rsidRPr="009D79DE" w:rsidRDefault="007767A6" w:rsidP="005A3323">
      <w:pPr>
        <w:pStyle w:val="Akapitzlist"/>
        <w:spacing w:before="240" w:afterLines="10" w:after="24"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14:paraId="26433756" w14:textId="77777777" w:rsidR="007767A6" w:rsidRPr="009D79DE" w:rsidRDefault="007767A6" w:rsidP="005A3323">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7BAEB11C"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77CD7B53"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21011E9C"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42FFF919"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71041749" w14:textId="77777777"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44FE383E"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67C06B94"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5BEBEA6D"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048D3364"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37F923FF"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6BE6CEF7" w14:textId="77777777"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109ED810" w14:textId="77777777"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38D39AE1" w14:textId="77777777"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28E98501"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14:paraId="21A033FC" w14:textId="77777777" w:rsidR="00EA5050" w:rsidRPr="00BA1DBA"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4" w:name="mip51081278"/>
      <w:bookmarkEnd w:id="24"/>
    </w:p>
    <w:p w14:paraId="63434128" w14:textId="77777777" w:rsidR="00BA1DBA" w:rsidRDefault="00BA1DBA" w:rsidP="00BA1DBA">
      <w:pPr>
        <w:spacing w:before="120" w:after="0" w:line="240" w:lineRule="auto"/>
        <w:ind w:right="34"/>
        <w:jc w:val="both"/>
        <w:rPr>
          <w:rFonts w:asciiTheme="minorHAnsi" w:hAnsiTheme="minorHAnsi" w:cs="Arial"/>
          <w:sz w:val="18"/>
          <w:szCs w:val="18"/>
        </w:rPr>
      </w:pPr>
    </w:p>
    <w:p w14:paraId="2549B342" w14:textId="77777777" w:rsidR="00BA1DBA" w:rsidRDefault="00BA1DBA" w:rsidP="00BA1DBA">
      <w:pPr>
        <w:spacing w:before="120" w:after="0" w:line="240" w:lineRule="auto"/>
        <w:ind w:right="34"/>
        <w:jc w:val="both"/>
        <w:rPr>
          <w:rFonts w:asciiTheme="minorHAnsi" w:hAnsiTheme="minorHAnsi" w:cs="Arial"/>
          <w:sz w:val="18"/>
          <w:szCs w:val="18"/>
        </w:rPr>
      </w:pPr>
    </w:p>
    <w:p w14:paraId="50274689" w14:textId="77777777" w:rsidR="00BA1DBA" w:rsidRDefault="00BA1DBA" w:rsidP="00BA1DBA">
      <w:pPr>
        <w:spacing w:before="120" w:after="0" w:line="240" w:lineRule="auto"/>
        <w:ind w:right="34"/>
        <w:jc w:val="both"/>
        <w:rPr>
          <w:rFonts w:asciiTheme="minorHAnsi" w:hAnsiTheme="minorHAnsi" w:cs="Arial"/>
          <w:sz w:val="18"/>
          <w:szCs w:val="18"/>
        </w:rPr>
      </w:pPr>
    </w:p>
    <w:p w14:paraId="13B833A1" w14:textId="77777777" w:rsidR="00BA1DBA" w:rsidRPr="00BA1DBA" w:rsidRDefault="00BA1DBA" w:rsidP="00BA1DBA">
      <w:pPr>
        <w:spacing w:before="120" w:after="0" w:line="240" w:lineRule="auto"/>
        <w:ind w:right="34"/>
        <w:jc w:val="both"/>
        <w:rPr>
          <w:rFonts w:asciiTheme="minorHAnsi" w:hAnsiTheme="minorHAnsi" w:cs="Arial"/>
          <w:sz w:val="18"/>
          <w:szCs w:val="18"/>
        </w:rPr>
      </w:pPr>
    </w:p>
    <w:p w14:paraId="19F6FC01" w14:textId="77777777" w:rsidR="00AE2DEF" w:rsidRPr="009D79DE" w:rsidRDefault="007875D9"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w:t>
      </w:r>
      <w:r w:rsidR="00444FA0" w:rsidRPr="009D79DE">
        <w:rPr>
          <w:rFonts w:asciiTheme="minorHAnsi" w:hAnsiTheme="minorHAnsi"/>
          <w:sz w:val="18"/>
          <w:szCs w:val="18"/>
          <w:u w:val="none"/>
        </w:rPr>
        <w:t>II</w:t>
      </w:r>
    </w:p>
    <w:p w14:paraId="332E6158" w14:textId="77777777" w:rsidR="00AE2DEF" w:rsidRPr="009D79DE" w:rsidRDefault="007875D9"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1559428A" w14:textId="77777777"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1C5A6C3F"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41EFA0F9" w14:textId="77777777" w:rsidTr="004C0A4C">
        <w:trPr>
          <w:trHeight w:val="303"/>
        </w:trPr>
        <w:tc>
          <w:tcPr>
            <w:tcW w:w="709" w:type="dxa"/>
            <w:shd w:val="pct15" w:color="000000" w:fill="FFFFFF"/>
          </w:tcPr>
          <w:p w14:paraId="53F764A2"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54DC7A16"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294472AA"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5DF548CD" w14:textId="77777777" w:rsidTr="00633E42">
        <w:trPr>
          <w:trHeight w:val="306"/>
        </w:trPr>
        <w:tc>
          <w:tcPr>
            <w:tcW w:w="709" w:type="dxa"/>
            <w:vAlign w:val="center"/>
          </w:tcPr>
          <w:p w14:paraId="20FF59A9"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7F1F5CC4"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7136CA21"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54EA31D1" w14:textId="77777777" w:rsidTr="00633E42">
        <w:trPr>
          <w:trHeight w:val="306"/>
        </w:trPr>
        <w:tc>
          <w:tcPr>
            <w:tcW w:w="709" w:type="dxa"/>
            <w:vAlign w:val="center"/>
          </w:tcPr>
          <w:p w14:paraId="25F6C135"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065ED4D7" w14:textId="77777777"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14:paraId="7F17F3A0"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3785FFF5" w14:textId="77777777" w:rsidR="00836CFD" w:rsidRPr="009D79DE" w:rsidRDefault="00836CFD" w:rsidP="00304C81">
      <w:pPr>
        <w:spacing w:after="0" w:line="240" w:lineRule="auto"/>
        <w:rPr>
          <w:rFonts w:asciiTheme="minorHAnsi" w:hAnsiTheme="minorHAnsi"/>
          <w:b/>
          <w:sz w:val="18"/>
          <w:szCs w:val="18"/>
        </w:rPr>
      </w:pPr>
    </w:p>
    <w:p w14:paraId="2AB93C76"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1F514845" w14:textId="77777777"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0C4E4AE6" w14:textId="77777777" w:rsidR="00836CFD" w:rsidRPr="009D79DE" w:rsidRDefault="00836CFD" w:rsidP="005A3323">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329C0623" w14:textId="77777777" w:rsidR="00836CFD" w:rsidRPr="009D79DE" w:rsidRDefault="00836CFD" w:rsidP="005A3323">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26A4497A" w14:textId="77777777" w:rsidR="00836CFD" w:rsidRPr="009D79DE" w:rsidRDefault="00836CFD" w:rsidP="005A3323">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07A3A238" w14:textId="77777777"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14:paraId="2B92EA1A" w14:textId="77777777"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14:paraId="3E2BC448" w14:textId="77777777" w:rsidR="00841482" w:rsidRPr="00841482" w:rsidRDefault="00841482" w:rsidP="005A3323">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14:paraId="3015DA05" w14:textId="77777777" w:rsidR="00841482" w:rsidRPr="00CD61AA" w:rsidRDefault="00841482" w:rsidP="005A3323">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 xml:space="preserve">Termin </w:t>
      </w:r>
      <w:proofErr w:type="gramStart"/>
      <w:r w:rsidRPr="00841482">
        <w:rPr>
          <w:rFonts w:asciiTheme="minorHAnsi" w:hAnsiTheme="minorHAnsi" w:cs="Calibri"/>
          <w:b/>
          <w:bCs/>
          <w:sz w:val="18"/>
          <w:szCs w:val="18"/>
        </w:rPr>
        <w:t>płatności</w:t>
      </w:r>
      <w:r w:rsidRPr="00CD61AA">
        <w:rPr>
          <w:rFonts w:asciiTheme="minorHAnsi" w:hAnsiTheme="minorHAnsi" w:cs="Calibri"/>
          <w:b/>
          <w:bCs/>
          <w:sz w:val="20"/>
          <w:szCs w:val="20"/>
        </w:rPr>
        <w:t xml:space="preserve">  =</w:t>
      </w:r>
      <w:proofErr w:type="gramEnd"/>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14:paraId="5159BFD1" w14:textId="77777777" w:rsidR="00841482" w:rsidRPr="00841482" w:rsidRDefault="00841482" w:rsidP="005A3323">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14:paraId="7B209222" w14:textId="77777777" w:rsidR="00D3750F" w:rsidRDefault="00D3750F" w:rsidP="00D3750F">
      <w:pPr>
        <w:pStyle w:val="Akapitzlist"/>
        <w:spacing w:after="120" w:line="240" w:lineRule="auto"/>
        <w:ind w:left="709"/>
        <w:contextualSpacing w:val="0"/>
        <w:jc w:val="both"/>
        <w:rPr>
          <w:rFonts w:asciiTheme="minorHAnsi" w:hAnsiTheme="minorHAnsi"/>
          <w:sz w:val="18"/>
          <w:szCs w:val="18"/>
        </w:rPr>
      </w:pPr>
    </w:p>
    <w:p w14:paraId="2B93210F" w14:textId="77777777"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14:paraId="4667F5EB" w14:textId="77777777"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 xml:space="preserve">Uchybienie wymogom sporządzenia oferty polegające na braku wskazania terminu </w:t>
      </w:r>
      <w:proofErr w:type="gramStart"/>
      <w:r w:rsidRPr="00D3750F">
        <w:rPr>
          <w:rFonts w:asciiTheme="minorHAnsi" w:hAnsiTheme="minorHAnsi"/>
          <w:b/>
          <w:sz w:val="18"/>
          <w:szCs w:val="18"/>
        </w:rPr>
        <w:t>płatności  uznane</w:t>
      </w:r>
      <w:proofErr w:type="gramEnd"/>
      <w:r w:rsidRPr="00D3750F">
        <w:rPr>
          <w:rFonts w:asciiTheme="minorHAnsi" w:hAnsiTheme="minorHAnsi"/>
          <w:b/>
          <w:sz w:val="18"/>
          <w:szCs w:val="18"/>
        </w:rPr>
        <w:t xml:space="preserve"> będzie przez Zamawiającego jako zaoferowanie przez Wykonawcę najkrótszego możliwego terminu do zaoferowania.</w:t>
      </w:r>
    </w:p>
    <w:p w14:paraId="1D521E6D"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7265FE35" w14:textId="77777777"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4DD62373"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2B1AD7B5"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3FD207EE"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778712BE" w14:textId="77777777"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13E708B3" w14:textId="77777777"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2145704E" w14:textId="77777777" w:rsidR="007875D9" w:rsidRPr="009D79DE" w:rsidRDefault="007875D9"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7FF2196D" w14:textId="77777777" w:rsidR="007875D9" w:rsidRPr="009D79DE" w:rsidRDefault="007875D9"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05C67A8A" w14:textId="77777777" w:rsidR="00AC4A22" w:rsidRPr="009D79DE" w:rsidRDefault="00AC4A22" w:rsidP="005A3323">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2A57B110" w14:textId="77777777" w:rsidR="005C5E6A" w:rsidRPr="009D79DE" w:rsidRDefault="005C5E6A"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01307DBF" w14:textId="77777777" w:rsidR="005C5E6A" w:rsidRPr="009D79DE" w:rsidRDefault="004B0270" w:rsidP="005A3323">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3C54AE14" w14:textId="77777777" w:rsidR="008C36F1" w:rsidRPr="009D79DE" w:rsidRDefault="008C36F1"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17A6F6C2" w14:textId="77777777" w:rsidR="003B5E24" w:rsidRPr="009D79DE" w:rsidRDefault="003B5E24" w:rsidP="005A3323">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7B5525F9" w14:textId="77777777" w:rsidR="007875D9" w:rsidRPr="009D79DE" w:rsidRDefault="007875D9" w:rsidP="005A3323">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0C9EB5D3" w14:textId="77777777" w:rsidR="008124F4" w:rsidRPr="009D79DE" w:rsidRDefault="007875D9" w:rsidP="005A3323">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17606D">
        <w:rPr>
          <w:rFonts w:asciiTheme="minorHAnsi" w:hAnsiTheme="minorHAnsi"/>
          <w:b/>
          <w:sz w:val="18"/>
          <w:szCs w:val="18"/>
        </w:rPr>
        <w:t>7</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14:paraId="3FB21693" w14:textId="77777777" w:rsidR="00AE2DEF" w:rsidRPr="009D79DE" w:rsidRDefault="001F3BBF"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2E18E4B6" w14:textId="77777777" w:rsidR="00AE2DEF" w:rsidRPr="009D79DE" w:rsidRDefault="003B5E24"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0C0AF5C2" w14:textId="77777777" w:rsidR="003E0048" w:rsidRPr="009D79DE" w:rsidRDefault="003E0048" w:rsidP="005A3323">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lastRenderedPageBreak/>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B82CC93" w14:textId="77777777" w:rsidR="00352A73" w:rsidRPr="009D79DE" w:rsidRDefault="00352A73" w:rsidP="005A3323">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03EEE69E"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7F11EC40"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6DA13D92"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5DC400A6"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4359CED3"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67604B6B"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743A2EBF" w14:textId="77777777" w:rsidR="003E0048" w:rsidRPr="009D79DE" w:rsidRDefault="003E0048"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77203E49" w14:textId="77777777" w:rsidR="0085197D" w:rsidRPr="009D79DE" w:rsidRDefault="0085197D"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14:paraId="2B025BC0" w14:textId="77777777" w:rsidR="001902C1" w:rsidRPr="009D79DE" w:rsidRDefault="00B71C76" w:rsidP="005A3323">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14869784" w14:textId="77777777" w:rsidR="00863602" w:rsidRPr="009D79DE" w:rsidRDefault="00863602" w:rsidP="00304C81">
      <w:pPr>
        <w:spacing w:after="0" w:line="240" w:lineRule="auto"/>
        <w:rPr>
          <w:rFonts w:asciiTheme="minorHAnsi" w:hAnsiTheme="minorHAnsi"/>
          <w:b/>
          <w:sz w:val="18"/>
          <w:szCs w:val="18"/>
        </w:rPr>
      </w:pPr>
    </w:p>
    <w:p w14:paraId="0A6F505D"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6B6AB61B" w14:textId="77777777" w:rsidR="00863602" w:rsidRPr="009D79DE" w:rsidRDefault="00EF1828"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77D91E18" w14:textId="77777777" w:rsidR="00863602" w:rsidRPr="009D79DE" w:rsidRDefault="00863602" w:rsidP="005A3323">
      <w:pPr>
        <w:spacing w:afterLines="10" w:after="24" w:line="240" w:lineRule="auto"/>
        <w:jc w:val="both"/>
        <w:rPr>
          <w:rFonts w:asciiTheme="minorHAnsi" w:hAnsiTheme="minorHAnsi"/>
          <w:b/>
          <w:sz w:val="18"/>
          <w:szCs w:val="18"/>
        </w:rPr>
      </w:pPr>
    </w:p>
    <w:p w14:paraId="5F647B53" w14:textId="77777777" w:rsidR="00196011" w:rsidRPr="009D79DE" w:rsidRDefault="00196011" w:rsidP="005A3323">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CDBFBB1"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0E53754B"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32C7765E"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2914CFDD"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14:paraId="1E77115A"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8E168C9"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7DBE9C"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25064D7A"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7DD6FCE3"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3BB079D1"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C3E0962"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72FAF939"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2137ED08"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798CFFFA"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3145233D"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4465BA18"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0DA109E2" w14:textId="77777777" w:rsidR="00AE2DEF" w:rsidRPr="009D79DE" w:rsidRDefault="006F732D" w:rsidP="005A3323">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7604CA70" w14:textId="77777777" w:rsidR="00AE2DEF" w:rsidRPr="009D79DE" w:rsidRDefault="006F732D"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30D71264" w14:textId="77777777" w:rsidR="008C36F1" w:rsidRPr="009D79DE" w:rsidRDefault="008C36F1" w:rsidP="005A3323">
      <w:pPr>
        <w:spacing w:afterLines="10" w:after="24" w:line="240" w:lineRule="auto"/>
        <w:jc w:val="both"/>
        <w:rPr>
          <w:rFonts w:asciiTheme="minorHAnsi" w:hAnsiTheme="minorHAnsi"/>
          <w:b/>
          <w:sz w:val="18"/>
          <w:szCs w:val="18"/>
        </w:rPr>
      </w:pPr>
    </w:p>
    <w:p w14:paraId="45E948CA" w14:textId="77777777" w:rsidR="00D45AE2" w:rsidRPr="009D79DE" w:rsidRDefault="00AE2DEF" w:rsidP="005A3323">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219A4BA5" w14:textId="77777777" w:rsidR="00E00196" w:rsidRPr="009D79DE" w:rsidRDefault="00D45AE2" w:rsidP="005A3323">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14:paraId="3754BFC0" w14:textId="77777777" w:rsidR="00E8333B" w:rsidRDefault="00AE2DEF"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494CF52D" w14:textId="77777777" w:rsidR="00651A2A" w:rsidRDefault="00651A2A"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lastRenderedPageBreak/>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14:paraId="2866A3AE" w14:textId="77777777" w:rsidR="0008075D" w:rsidRDefault="00B44043"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w:t>
      </w:r>
      <w:r w:rsidR="0008075D">
        <w:rPr>
          <w:rFonts w:asciiTheme="minorHAnsi" w:hAnsiTheme="minorHAnsi"/>
          <w:sz w:val="18"/>
          <w:szCs w:val="18"/>
        </w:rPr>
        <w:t xml:space="preserve"> Wykaz próbek</w:t>
      </w:r>
    </w:p>
    <w:p w14:paraId="04A20602" w14:textId="77777777" w:rsidR="0099726E" w:rsidRPr="0008075D" w:rsidRDefault="0008075D" w:rsidP="005A3323">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14:paraId="56CD2C41" w14:textId="77777777" w:rsidR="002071C6" w:rsidRPr="009D79DE" w:rsidRDefault="0008075D" w:rsidP="005A3323">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182795ED" w14:textId="77777777" w:rsidR="00DD48F1" w:rsidRPr="009D79DE" w:rsidRDefault="0008075D" w:rsidP="00510F91">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sectPr w:rsidR="00DD48F1" w:rsidRPr="009D79DE" w:rsidSect="00D04CF1">
      <w:footerReference w:type="even" r:id="rId43"/>
      <w:footerReference w:type="default" r:id="rId44"/>
      <w:footerReference w:type="first" r:id="rId45"/>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32496" w14:textId="77777777" w:rsidR="00445D0A" w:rsidRDefault="00445D0A" w:rsidP="00AE2DEF">
      <w:pPr>
        <w:spacing w:after="24"/>
      </w:pPr>
      <w:r>
        <w:separator/>
      </w:r>
    </w:p>
  </w:endnote>
  <w:endnote w:type="continuationSeparator" w:id="0">
    <w:p w14:paraId="17BDAA87" w14:textId="77777777" w:rsidR="00445D0A" w:rsidRDefault="00445D0A" w:rsidP="00AE2DEF">
      <w:pPr>
        <w:spacing w:after="24"/>
      </w:pPr>
      <w:r>
        <w:continuationSeparator/>
      </w:r>
    </w:p>
  </w:endnote>
  <w:endnote w:type="continuationNotice" w:id="1">
    <w:p w14:paraId="59D7AFFD" w14:textId="77777777" w:rsidR="00445D0A" w:rsidRDefault="00445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47CD0" w14:textId="77777777" w:rsidR="006C6B0D" w:rsidRDefault="00510F91">
    <w:pPr>
      <w:pStyle w:val="Stopka"/>
      <w:framePr w:wrap="around" w:vAnchor="text" w:hAnchor="margin" w:xAlign="center" w:y="1"/>
      <w:spacing w:after="24"/>
      <w:rPr>
        <w:rStyle w:val="Numerstrony"/>
      </w:rPr>
    </w:pPr>
    <w:r>
      <w:rPr>
        <w:rStyle w:val="Numerstrony"/>
      </w:rPr>
      <w:fldChar w:fldCharType="begin"/>
    </w:r>
    <w:r w:rsidR="006C6B0D">
      <w:rPr>
        <w:rStyle w:val="Numerstrony"/>
      </w:rPr>
      <w:instrText xml:space="preserve">PAGE  </w:instrText>
    </w:r>
    <w:r>
      <w:rPr>
        <w:rStyle w:val="Numerstrony"/>
      </w:rPr>
      <w:fldChar w:fldCharType="separate"/>
    </w:r>
    <w:r w:rsidR="006C6B0D">
      <w:rPr>
        <w:rStyle w:val="Numerstrony"/>
        <w:noProof/>
      </w:rPr>
      <w:t>15</w:t>
    </w:r>
    <w:r>
      <w:rPr>
        <w:rStyle w:val="Numerstrony"/>
      </w:rPr>
      <w:fldChar w:fldCharType="end"/>
    </w:r>
  </w:p>
  <w:p w14:paraId="1194FC0D" w14:textId="77777777" w:rsidR="006C6B0D" w:rsidRDefault="006C6B0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D5EE7" w14:textId="77777777" w:rsidR="006C6B0D" w:rsidRPr="000B5290" w:rsidRDefault="00510F9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6C6B0D"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5A3323">
      <w:rPr>
        <w:rStyle w:val="Numerstrony"/>
        <w:rFonts w:ascii="Calibri" w:hAnsi="Calibri"/>
        <w:noProof/>
        <w:sz w:val="16"/>
        <w:szCs w:val="16"/>
      </w:rPr>
      <w:t>3</w:t>
    </w:r>
    <w:r w:rsidRPr="000B5290">
      <w:rPr>
        <w:rStyle w:val="Numerstrony"/>
        <w:rFonts w:ascii="Calibri" w:hAnsi="Calibri"/>
        <w:sz w:val="16"/>
        <w:szCs w:val="16"/>
      </w:rPr>
      <w:fldChar w:fldCharType="end"/>
    </w:r>
  </w:p>
  <w:p w14:paraId="239EC0D3" w14:textId="77777777" w:rsidR="006C6B0D" w:rsidRPr="00B908DC" w:rsidRDefault="006C6B0D">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382303"/>
      <w:docPartObj>
        <w:docPartGallery w:val="Page Numbers (Bottom of Page)"/>
        <w:docPartUnique/>
      </w:docPartObj>
    </w:sdtPr>
    <w:sdtContent>
      <w:p w14:paraId="7E5118E4" w14:textId="77777777" w:rsidR="006C6B0D" w:rsidRDefault="00000000">
        <w:pPr>
          <w:pStyle w:val="Stopka"/>
          <w:spacing w:after="24"/>
          <w:jc w:val="right"/>
        </w:pPr>
        <w:r>
          <w:fldChar w:fldCharType="begin"/>
        </w:r>
        <w:r>
          <w:instrText>PAGE   \* MERGEFORMAT</w:instrText>
        </w:r>
        <w:r>
          <w:fldChar w:fldCharType="separate"/>
        </w:r>
        <w:r w:rsidR="006C6B0D">
          <w:rPr>
            <w:noProof/>
          </w:rPr>
          <w:t>1</w:t>
        </w:r>
        <w:r>
          <w:rPr>
            <w:noProof/>
          </w:rPr>
          <w:fldChar w:fldCharType="end"/>
        </w:r>
      </w:p>
    </w:sdtContent>
  </w:sdt>
  <w:p w14:paraId="0834E92E" w14:textId="77777777" w:rsidR="006C6B0D" w:rsidRDefault="006C6B0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21110" w14:textId="77777777" w:rsidR="00445D0A" w:rsidRDefault="00445D0A" w:rsidP="00AE2DEF">
      <w:pPr>
        <w:spacing w:after="24"/>
      </w:pPr>
      <w:r>
        <w:separator/>
      </w:r>
    </w:p>
  </w:footnote>
  <w:footnote w:type="continuationSeparator" w:id="0">
    <w:p w14:paraId="7745AEAA" w14:textId="77777777" w:rsidR="00445D0A" w:rsidRDefault="00445D0A" w:rsidP="00AE2DEF">
      <w:pPr>
        <w:spacing w:after="24"/>
      </w:pPr>
      <w:r>
        <w:continuationSeparator/>
      </w:r>
    </w:p>
  </w:footnote>
  <w:footnote w:type="continuationNotice" w:id="1">
    <w:p w14:paraId="140E8791" w14:textId="77777777" w:rsidR="00445D0A" w:rsidRDefault="00445D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3"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7"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1F1BC9"/>
    <w:multiLevelType w:val="hybridMultilevel"/>
    <w:tmpl w:val="AB56AC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4"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0" w15:restartNumberingAfterBreak="0">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8954973">
    <w:abstractNumId w:val="23"/>
  </w:num>
  <w:num w:numId="2" w16cid:durableId="455292933">
    <w:abstractNumId w:val="19"/>
  </w:num>
  <w:num w:numId="3" w16cid:durableId="1805077306">
    <w:abstractNumId w:val="29"/>
  </w:num>
  <w:num w:numId="4" w16cid:durableId="1146627418">
    <w:abstractNumId w:val="42"/>
  </w:num>
  <w:num w:numId="5" w16cid:durableId="1259482908">
    <w:abstractNumId w:val="13"/>
  </w:num>
  <w:num w:numId="6" w16cid:durableId="122432229">
    <w:abstractNumId w:val="11"/>
  </w:num>
  <w:num w:numId="7" w16cid:durableId="508444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4422831">
    <w:abstractNumId w:val="10"/>
  </w:num>
  <w:num w:numId="9" w16cid:durableId="631792945">
    <w:abstractNumId w:val="14"/>
  </w:num>
  <w:num w:numId="10" w16cid:durableId="553083478">
    <w:abstractNumId w:val="8"/>
  </w:num>
  <w:num w:numId="11" w16cid:durableId="1543903219">
    <w:abstractNumId w:val="1"/>
  </w:num>
  <w:num w:numId="12" w16cid:durableId="1734691054">
    <w:abstractNumId w:val="41"/>
  </w:num>
  <w:num w:numId="13" w16cid:durableId="537737189">
    <w:abstractNumId w:val="40"/>
  </w:num>
  <w:num w:numId="14" w16cid:durableId="1858696875">
    <w:abstractNumId w:val="7"/>
  </w:num>
  <w:num w:numId="15" w16cid:durableId="740904722">
    <w:abstractNumId w:val="9"/>
  </w:num>
  <w:num w:numId="16" w16cid:durableId="1431467404">
    <w:abstractNumId w:val="6"/>
  </w:num>
  <w:num w:numId="17" w16cid:durableId="1571037751">
    <w:abstractNumId w:val="17"/>
  </w:num>
  <w:num w:numId="18" w16cid:durableId="1902445372">
    <w:abstractNumId w:val="24"/>
  </w:num>
  <w:num w:numId="19" w16cid:durableId="1930431474">
    <w:abstractNumId w:val="36"/>
  </w:num>
  <w:num w:numId="20" w16cid:durableId="321662387">
    <w:abstractNumId w:val="15"/>
  </w:num>
  <w:num w:numId="21" w16cid:durableId="1807745067">
    <w:abstractNumId w:val="16"/>
  </w:num>
  <w:num w:numId="22" w16cid:durableId="113327978">
    <w:abstractNumId w:val="31"/>
  </w:num>
  <w:num w:numId="23" w16cid:durableId="745035860">
    <w:abstractNumId w:val="21"/>
  </w:num>
  <w:num w:numId="24" w16cid:durableId="1882668347">
    <w:abstractNumId w:val="5"/>
  </w:num>
  <w:num w:numId="25" w16cid:durableId="1251309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8810581">
    <w:abstractNumId w:val="34"/>
  </w:num>
  <w:num w:numId="27" w16cid:durableId="487936677">
    <w:abstractNumId w:val="37"/>
  </w:num>
  <w:num w:numId="28" w16cid:durableId="404378360">
    <w:abstractNumId w:val="38"/>
  </w:num>
  <w:num w:numId="29" w16cid:durableId="911819359">
    <w:abstractNumId w:val="45"/>
  </w:num>
  <w:num w:numId="30" w16cid:durableId="1546260507">
    <w:abstractNumId w:val="35"/>
  </w:num>
  <w:num w:numId="31" w16cid:durableId="2023506534">
    <w:abstractNumId w:val="28"/>
  </w:num>
  <w:num w:numId="32" w16cid:durableId="1147238589">
    <w:abstractNumId w:val="33"/>
  </w:num>
  <w:num w:numId="33" w16cid:durableId="516623031">
    <w:abstractNumId w:val="2"/>
  </w:num>
  <w:num w:numId="34" w16cid:durableId="412897521">
    <w:abstractNumId w:val="18"/>
  </w:num>
  <w:num w:numId="35" w16cid:durableId="1868132976">
    <w:abstractNumId w:val="44"/>
  </w:num>
  <w:num w:numId="36" w16cid:durableId="781875028">
    <w:abstractNumId w:val="26"/>
  </w:num>
  <w:num w:numId="37" w16cid:durableId="567349125">
    <w:abstractNumId w:val="30"/>
  </w:num>
  <w:num w:numId="38" w16cid:durableId="1760056924">
    <w:abstractNumId w:val="32"/>
  </w:num>
  <w:num w:numId="39" w16cid:durableId="1939175844">
    <w:abstractNumId w:val="25"/>
  </w:num>
  <w:num w:numId="40" w16cid:durableId="2022078842">
    <w:abstractNumId w:val="20"/>
  </w:num>
  <w:num w:numId="41" w16cid:durableId="1318262342">
    <w:abstractNumId w:val="3"/>
  </w:num>
  <w:num w:numId="42" w16cid:durableId="780953957">
    <w:abstractNumId w:val="0"/>
  </w:num>
  <w:num w:numId="43" w16cid:durableId="355927526">
    <w:abstractNumId w:val="12"/>
  </w:num>
  <w:num w:numId="44" w16cid:durableId="1585455734">
    <w:abstractNumId w:val="39"/>
  </w:num>
  <w:num w:numId="45" w16cid:durableId="779450284">
    <w:abstractNumId w:val="4"/>
  </w:num>
  <w:num w:numId="46" w16cid:durableId="1803687357">
    <w:abstractNumId w:val="43"/>
  </w:num>
  <w:num w:numId="47" w16cid:durableId="41609679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86D"/>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842"/>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0DC4"/>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3B03"/>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47C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D0A"/>
    <w:rsid w:val="00445E39"/>
    <w:rsid w:val="0044605F"/>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6965"/>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2F6"/>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643"/>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4E7A"/>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1DD2"/>
    <w:rsid w:val="00503737"/>
    <w:rsid w:val="005037E7"/>
    <w:rsid w:val="0050428D"/>
    <w:rsid w:val="00505C2D"/>
    <w:rsid w:val="00506190"/>
    <w:rsid w:val="00506277"/>
    <w:rsid w:val="00507F8D"/>
    <w:rsid w:val="00510947"/>
    <w:rsid w:val="00510F91"/>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0EEE"/>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323"/>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0AA"/>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5F5"/>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1D27"/>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0C50"/>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44CD"/>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19C1"/>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07CF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DBA"/>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076E4"/>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7C3"/>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362"/>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17"/>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B2CB0"/>
  <w15:docId w15:val="{341F0434-2BB5-429E-A570-8A979546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65142004">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95576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49765681">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43557813">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cwk@platformazakupowa.pl" TargetMode="External"/><Relationship Id="rId40" Type="http://schemas.openxmlformats.org/officeDocument/2006/relationships/hyperlink" Target="https://www.nccert.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ED32D-80C8-4ED4-BA7E-971318D21528}">
  <ds:schemaRefs>
    <ds:schemaRef ds:uri="http://schemas.openxmlformats.org/officeDocument/2006/bibliography"/>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7558</Words>
  <Characters>45351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52804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81</cp:revision>
  <cp:lastPrinted>2023-08-17T06:18:00Z</cp:lastPrinted>
  <dcterms:created xsi:type="dcterms:W3CDTF">2022-07-28T08:47:00Z</dcterms:created>
  <dcterms:modified xsi:type="dcterms:W3CDTF">2024-07-11T06:45:00Z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