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4BC7" w14:textId="7F8496E7" w:rsidR="0051590D" w:rsidRPr="002F7620" w:rsidRDefault="0051590D" w:rsidP="0051590D">
      <w:pPr>
        <w:pStyle w:val="Nagwek"/>
        <w:jc w:val="right"/>
        <w:rPr>
          <w:sz w:val="16"/>
        </w:rPr>
      </w:pPr>
      <w:r>
        <w:t>Załącznik nr 3 do postępowania</w:t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704FE9D" wp14:editId="55A8A779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KA-CZL-DZP.261.1.21.2023</w:t>
      </w:r>
    </w:p>
    <w:p w14:paraId="76D27CAF" w14:textId="77777777" w:rsidR="0051590D" w:rsidRDefault="0051590D" w:rsidP="008A0A2F">
      <w:pPr>
        <w:spacing w:after="0" w:line="312" w:lineRule="auto"/>
        <w:jc w:val="center"/>
        <w:rPr>
          <w:b/>
          <w:bCs/>
        </w:rPr>
      </w:pPr>
    </w:p>
    <w:p w14:paraId="45399A92" w14:textId="77777777" w:rsidR="0051590D" w:rsidRDefault="0051590D" w:rsidP="008A0A2F">
      <w:pPr>
        <w:spacing w:after="0" w:line="312" w:lineRule="auto"/>
        <w:jc w:val="center"/>
        <w:rPr>
          <w:b/>
          <w:bCs/>
        </w:rPr>
      </w:pPr>
    </w:p>
    <w:p w14:paraId="1BF1D932" w14:textId="507F785E" w:rsidR="007E0285" w:rsidRPr="008A0A2F" w:rsidRDefault="0051590D" w:rsidP="008A0A2F">
      <w:pPr>
        <w:spacing w:after="0" w:line="312" w:lineRule="auto"/>
        <w:jc w:val="center"/>
        <w:rPr>
          <w:b/>
          <w:bCs/>
        </w:rPr>
      </w:pPr>
      <w:r w:rsidRPr="008A0A2F">
        <w:rPr>
          <w:b/>
          <w:bCs/>
        </w:rPr>
        <w:t>OPIS PRZEDMIOTU ZAMÓWIENIA</w:t>
      </w:r>
    </w:p>
    <w:p w14:paraId="28261268" w14:textId="77777777" w:rsidR="007E0285" w:rsidRPr="008A0A2F" w:rsidRDefault="007E0285" w:rsidP="008A0A2F">
      <w:pPr>
        <w:spacing w:after="0" w:line="312" w:lineRule="auto"/>
      </w:pPr>
    </w:p>
    <w:p w14:paraId="579CDEF2" w14:textId="23411B91" w:rsidR="007E0285" w:rsidRPr="008A0A2F" w:rsidRDefault="007E0285" w:rsidP="009F4C75">
      <w:pPr>
        <w:spacing w:after="0" w:line="312" w:lineRule="auto"/>
        <w:jc w:val="both"/>
      </w:pPr>
      <w:r w:rsidRPr="008A0A2F">
        <w:t xml:space="preserve">Przedmiotem zamówienia jest wdrożenie systemu SIEM </w:t>
      </w:r>
      <w:proofErr w:type="spellStart"/>
      <w:r w:rsidRPr="008A0A2F">
        <w:t>SecureVisio</w:t>
      </w:r>
      <w:proofErr w:type="spellEnd"/>
    </w:p>
    <w:p w14:paraId="3821C879" w14:textId="08BE2BAA" w:rsidR="007E0285" w:rsidRDefault="007E0285" w:rsidP="009F4C75">
      <w:pPr>
        <w:spacing w:after="0" w:line="312" w:lineRule="auto"/>
        <w:jc w:val="both"/>
      </w:pPr>
      <w:r w:rsidRPr="008A0A2F">
        <w:t xml:space="preserve">Zamawiający posiada obecnie licencje </w:t>
      </w:r>
      <w:proofErr w:type="spellStart"/>
      <w:r w:rsidRPr="008A0A2F">
        <w:t>SecureVisio</w:t>
      </w:r>
      <w:proofErr w:type="spellEnd"/>
      <w:r w:rsidRPr="008A0A2F">
        <w:t xml:space="preserve"> SIEM dla 1000 obiektów chronionych.  W ramach zamówienia należy wykonać produkcyjne wdrożenie systemu zgodnie z poniższymi zapisami oraz przedłużyć wsparcie producenta systemu o kolejny rok, przeprowadzić warsztaty dla administratorów oraz zapewnić opiekę powdrożeniową. </w:t>
      </w:r>
      <w:r w:rsidR="00FB0E56">
        <w:rPr>
          <w:rFonts w:ascii="Calibri" w:hAnsi="Calibri" w:cs="Calibri"/>
        </w:rPr>
        <w:t>Dotychczasowe licencje wygasają z dniem 31.12.2023 r.</w:t>
      </w:r>
    </w:p>
    <w:p w14:paraId="495371AD" w14:textId="77777777" w:rsidR="0046773F" w:rsidRPr="008A0A2F" w:rsidRDefault="0046773F" w:rsidP="009F4C75">
      <w:pPr>
        <w:spacing w:after="0" w:line="312" w:lineRule="auto"/>
        <w:jc w:val="both"/>
      </w:pPr>
    </w:p>
    <w:p w14:paraId="0314ACA4" w14:textId="4CC9C485" w:rsidR="007E0285" w:rsidRPr="00F90B56" w:rsidRDefault="007E0285" w:rsidP="0046773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b/>
          <w:bCs/>
        </w:rPr>
      </w:pPr>
      <w:r w:rsidRPr="00F90B56">
        <w:rPr>
          <w:b/>
          <w:bCs/>
        </w:rPr>
        <w:t>Licencje</w:t>
      </w:r>
      <w:r w:rsidR="0046773F">
        <w:rPr>
          <w:b/>
          <w:bCs/>
        </w:rPr>
        <w:t xml:space="preserve"> (wykaz licencji i wsparcia, którą należy dostarczyć):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80"/>
        <w:gridCol w:w="3686"/>
        <w:gridCol w:w="3396"/>
      </w:tblGrid>
      <w:tr w:rsidR="0046773F" w:rsidRPr="008A0A2F" w14:paraId="16FD87A6" w14:textId="77777777" w:rsidTr="0046773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DD84" w14:textId="77777777" w:rsidR="0046773F" w:rsidRPr="008A0A2F" w:rsidRDefault="0046773F" w:rsidP="008A0A2F">
            <w:pPr>
              <w:spacing w:line="240" w:lineRule="auto"/>
            </w:pPr>
            <w:r w:rsidRPr="008A0A2F">
              <w:t>Oznaczenie producenta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DA16" w14:textId="77777777" w:rsidR="0046773F" w:rsidRPr="008A0A2F" w:rsidRDefault="0046773F" w:rsidP="008A0A2F">
            <w:pPr>
              <w:spacing w:line="240" w:lineRule="auto"/>
            </w:pPr>
            <w:r w:rsidRPr="008A0A2F">
              <w:t>Nazwa licencji producenta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3C43" w14:textId="77777777" w:rsidR="0046773F" w:rsidRPr="008A0A2F" w:rsidRDefault="0046773F" w:rsidP="008A0A2F">
            <w:pPr>
              <w:spacing w:line="240" w:lineRule="auto"/>
            </w:pPr>
            <w:r w:rsidRPr="008A0A2F">
              <w:t>Kategoria</w:t>
            </w:r>
          </w:p>
        </w:tc>
      </w:tr>
      <w:tr w:rsidR="0046773F" w:rsidRPr="008A0A2F" w14:paraId="53AA793A" w14:textId="77777777" w:rsidTr="0046773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870" w14:textId="77777777" w:rsidR="0046773F" w:rsidRPr="008A0A2F" w:rsidRDefault="0046773F" w:rsidP="008A0A2F">
            <w:pPr>
              <w:spacing w:line="312" w:lineRule="auto"/>
            </w:pPr>
            <w:r w:rsidRPr="008A0A2F">
              <w:t>SVM-1Y-1000A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1B3D" w14:textId="77777777" w:rsidR="0046773F" w:rsidRPr="008A0A2F" w:rsidRDefault="0046773F" w:rsidP="008A0A2F">
            <w:pPr>
              <w:spacing w:line="312" w:lineRule="auto"/>
              <w:rPr>
                <w:lang w:val="en-US"/>
              </w:rPr>
            </w:pPr>
            <w:proofErr w:type="spellStart"/>
            <w:r w:rsidRPr="008A0A2F">
              <w:rPr>
                <w:lang w:val="en-US"/>
              </w:rPr>
              <w:t>SecureVisio</w:t>
            </w:r>
            <w:proofErr w:type="spellEnd"/>
            <w:r w:rsidRPr="008A0A2F">
              <w:rPr>
                <w:lang w:val="en-US"/>
              </w:rPr>
              <w:t xml:space="preserve"> 1 Year maintenance for 1000 Assets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B206" w14:textId="77777777" w:rsidR="0046773F" w:rsidRPr="008A0A2F" w:rsidRDefault="0046773F" w:rsidP="008A0A2F">
            <w:pPr>
              <w:spacing w:line="312" w:lineRule="auto"/>
              <w:rPr>
                <w:lang w:val="en-US"/>
              </w:rPr>
            </w:pPr>
            <w:proofErr w:type="spellStart"/>
            <w:r w:rsidRPr="008A0A2F">
              <w:rPr>
                <w:lang w:val="en-US"/>
              </w:rPr>
              <w:t>Licencja</w:t>
            </w:r>
            <w:proofErr w:type="spellEnd"/>
            <w:r w:rsidRPr="008A0A2F">
              <w:rPr>
                <w:lang w:val="en-US"/>
              </w:rPr>
              <w:t xml:space="preserve"> </w:t>
            </w:r>
            <w:proofErr w:type="spellStart"/>
            <w:r w:rsidRPr="008A0A2F">
              <w:rPr>
                <w:lang w:val="en-US"/>
              </w:rPr>
              <w:t>na</w:t>
            </w:r>
            <w:proofErr w:type="spellEnd"/>
            <w:r w:rsidRPr="008A0A2F">
              <w:rPr>
                <w:lang w:val="en-US"/>
              </w:rPr>
              <w:t xml:space="preserve"> </w:t>
            </w:r>
            <w:proofErr w:type="spellStart"/>
            <w:r w:rsidRPr="008A0A2F">
              <w:rPr>
                <w:lang w:val="en-US"/>
              </w:rPr>
              <w:t>wsparcie</w:t>
            </w:r>
            <w:proofErr w:type="spellEnd"/>
            <w:r w:rsidRPr="008A0A2F">
              <w:rPr>
                <w:lang w:val="en-US"/>
              </w:rPr>
              <w:t xml:space="preserve"> </w:t>
            </w:r>
            <w:proofErr w:type="spellStart"/>
            <w:r w:rsidRPr="008A0A2F">
              <w:rPr>
                <w:lang w:val="en-US"/>
              </w:rPr>
              <w:t>producenta</w:t>
            </w:r>
            <w:proofErr w:type="spellEnd"/>
          </w:p>
        </w:tc>
      </w:tr>
    </w:tbl>
    <w:p w14:paraId="4DF9993C" w14:textId="77777777" w:rsidR="007E0285" w:rsidRPr="008A0A2F" w:rsidRDefault="007E0285" w:rsidP="008A0A2F">
      <w:pPr>
        <w:spacing w:after="0" w:line="312" w:lineRule="auto"/>
      </w:pPr>
    </w:p>
    <w:p w14:paraId="5708082D" w14:textId="77777777" w:rsidR="00F67746" w:rsidRDefault="00F67746" w:rsidP="00F67746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Wdrożenie</w:t>
      </w:r>
    </w:p>
    <w:p w14:paraId="6A2E9564" w14:textId="77777777" w:rsidR="00F67746" w:rsidRDefault="00F67746" w:rsidP="00F67746">
      <w:r>
        <w:t>Szczegółowy zakres i wytyczne procesu wdrożenia systemu zawarto poniżej.</w:t>
      </w:r>
    </w:p>
    <w:p w14:paraId="1825FE83" w14:textId="77777777" w:rsidR="00F67746" w:rsidRDefault="00F67746" w:rsidP="00F67746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Warsztaty</w:t>
      </w:r>
    </w:p>
    <w:p w14:paraId="04A1B19F" w14:textId="77777777" w:rsidR="00F67746" w:rsidRDefault="00F67746" w:rsidP="00F67746">
      <w:r>
        <w:t xml:space="preserve">Warsztaty stacjonarne dla administratorów (8 osób) zamawiającego w formacie 3x8h w siedzibie Zamawiającego i 2x8h zdalnie poprzez platformą MS </w:t>
      </w:r>
      <w:proofErr w:type="spellStart"/>
      <w:r>
        <w:t>Teams</w:t>
      </w:r>
      <w:proofErr w:type="spellEnd"/>
      <w:r>
        <w:t>. Warsztaty należy zorganizować w ustalonym z Zamawiającym terminie. Sala szkoleniowa wraz z wyposażeniem (rzutnik) zostanie udostępniona w siedzibie Zamawiającego.</w:t>
      </w:r>
    </w:p>
    <w:p w14:paraId="4A27E5EC" w14:textId="77777777" w:rsidR="00F67746" w:rsidRDefault="00F67746" w:rsidP="00F67746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Wsparcie powdrożeniowe</w:t>
      </w:r>
    </w:p>
    <w:p w14:paraId="77AC5B4F" w14:textId="77777777" w:rsidR="00F67746" w:rsidRDefault="00F67746" w:rsidP="00F67746">
      <w:r>
        <w:t xml:space="preserve">Zamawiający wymaga zapewnienia wsparcia powdrożeniowego w formule </w:t>
      </w:r>
      <w:proofErr w:type="spellStart"/>
      <w:r>
        <w:t>hypercare</w:t>
      </w:r>
      <w:proofErr w:type="spellEnd"/>
      <w:r>
        <w:t xml:space="preserve"> przez 7 dni 24/7 po zakończeniu wdrożenia i 40 godzin roboczych do wykorzystania w ciągu roku (w godzinach 8-17 w dni robocze).</w:t>
      </w:r>
    </w:p>
    <w:p w14:paraId="2A37D7F7" w14:textId="77777777" w:rsidR="00F67746" w:rsidRDefault="00F67746" w:rsidP="00F67746">
      <w:pPr>
        <w:jc w:val="center"/>
        <w:rPr>
          <w:b/>
          <w:bCs/>
          <w:color w:val="FF0000"/>
        </w:rPr>
      </w:pPr>
    </w:p>
    <w:p w14:paraId="3B64F8B8" w14:textId="77777777" w:rsidR="00F67746" w:rsidRDefault="00F67746" w:rsidP="00F67746">
      <w:pPr>
        <w:rPr>
          <w:b/>
          <w:bCs/>
        </w:rPr>
      </w:pPr>
      <w:r>
        <w:rPr>
          <w:b/>
          <w:bCs/>
        </w:rPr>
        <w:br w:type="page"/>
      </w:r>
    </w:p>
    <w:p w14:paraId="2BA68A74" w14:textId="77777777" w:rsidR="00F67746" w:rsidRDefault="00F67746" w:rsidP="00F6774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Szczegółowy zakres i wytyczne procesu wdrożenia systemu </w:t>
      </w:r>
    </w:p>
    <w:p w14:paraId="2F1A554A" w14:textId="77777777" w:rsidR="00F67746" w:rsidRDefault="00F67746" w:rsidP="00F67746">
      <w:pPr>
        <w:pStyle w:val="Bezodstpw"/>
      </w:pPr>
    </w:p>
    <w:p w14:paraId="5647AAA1" w14:textId="77777777" w:rsidR="00F67746" w:rsidRDefault="00F67746" w:rsidP="00F67746">
      <w:pPr>
        <w:pStyle w:val="Bezodstpw"/>
      </w:pPr>
    </w:p>
    <w:p w14:paraId="1669D1FC" w14:textId="6A2C2B3C" w:rsidR="00F67746" w:rsidRDefault="00F67746" w:rsidP="00F67746">
      <w:pPr>
        <w:pStyle w:val="Bezodstpw"/>
        <w:numPr>
          <w:ilvl w:val="0"/>
          <w:numId w:val="4"/>
        </w:numPr>
        <w:spacing w:line="312" w:lineRule="auto"/>
        <w:ind w:left="284" w:hanging="284"/>
        <w:jc w:val="both"/>
      </w:pPr>
      <w:r>
        <w:t>Proces wdrożenia systemu powinien zostać zrealizowany zgodnie z opisanymi niżej wytycznymi, umożliwiając efektywne wdrożenie rozwiązania w okresie min. 130 dni i maks. 150 dnia od podpisania umowy.</w:t>
      </w:r>
    </w:p>
    <w:p w14:paraId="230CF93B" w14:textId="2557D842" w:rsidR="00F67746" w:rsidRDefault="00F67746" w:rsidP="00F67746">
      <w:pPr>
        <w:pStyle w:val="Bezodstpw"/>
        <w:numPr>
          <w:ilvl w:val="0"/>
          <w:numId w:val="4"/>
        </w:numPr>
        <w:spacing w:line="312" w:lineRule="auto"/>
        <w:ind w:left="284" w:hanging="284"/>
        <w:jc w:val="both"/>
      </w:pPr>
      <w:r>
        <w:t>Proces wdrożeniowy podzielony zostanie na 4 obszary:</w:t>
      </w:r>
    </w:p>
    <w:p w14:paraId="0785BCA9" w14:textId="6F99BD45" w:rsidR="00F67746" w:rsidRDefault="00F67746" w:rsidP="00F67746">
      <w:pPr>
        <w:pStyle w:val="Bezodstpw"/>
        <w:numPr>
          <w:ilvl w:val="0"/>
          <w:numId w:val="5"/>
        </w:numPr>
        <w:spacing w:line="312" w:lineRule="auto"/>
        <w:jc w:val="both"/>
      </w:pPr>
      <w:r>
        <w:t>Obszar Analizy, zakładający stworzenie elektronicznej dokumentacji organizacji wraz z podłączeniem i skonfigurowaniem mechanizmów szacowania ryzyka pod kątem kluczowych zasobów IT i procesów organizacji (budowa kontekstu organizacji);</w:t>
      </w:r>
    </w:p>
    <w:p w14:paraId="05D4397F" w14:textId="450EED06" w:rsidR="00F67746" w:rsidRDefault="00F67746" w:rsidP="00F67746">
      <w:pPr>
        <w:pStyle w:val="Bezodstpw"/>
        <w:numPr>
          <w:ilvl w:val="0"/>
          <w:numId w:val="5"/>
        </w:numPr>
        <w:spacing w:line="312" w:lineRule="auto"/>
        <w:jc w:val="both"/>
      </w:pPr>
      <w:r>
        <w:t>Obszar Detekcji, zakładający podłączenie i konfigurację narzędzi odpowiedzialnych za wykrywanie zdarzeń i incydentów bezpieczeństwa w ramach zainstalowania modułu SIEM;</w:t>
      </w:r>
    </w:p>
    <w:p w14:paraId="63787F64" w14:textId="3B52BF33" w:rsidR="00F67746" w:rsidRDefault="00F67746" w:rsidP="00F67746">
      <w:pPr>
        <w:pStyle w:val="Bezodstpw"/>
        <w:numPr>
          <w:ilvl w:val="0"/>
          <w:numId w:val="4"/>
        </w:numPr>
        <w:spacing w:line="312" w:lineRule="auto"/>
        <w:ind w:left="284" w:hanging="284"/>
        <w:jc w:val="both"/>
      </w:pPr>
      <w:r>
        <w:t xml:space="preserve">Obszar Analizy ma na celu identyfikację potencjalnych </w:t>
      </w:r>
      <w:proofErr w:type="spellStart"/>
      <w:r>
        <w:t>cyberzagrożeń</w:t>
      </w:r>
      <w:proofErr w:type="spellEnd"/>
      <w:r>
        <w:t xml:space="preserve"> oraz możliwych konsekwencji na jakie narażona jest organizacja. Zakres prac powinien uwzględniać kolejno:</w:t>
      </w:r>
    </w:p>
    <w:p w14:paraId="6B3DBFA5" w14:textId="35696C37" w:rsidR="00F67746" w:rsidRDefault="00F67746" w:rsidP="00F67746">
      <w:pPr>
        <w:pStyle w:val="Bezodstpw"/>
        <w:numPr>
          <w:ilvl w:val="0"/>
          <w:numId w:val="6"/>
        </w:numPr>
        <w:spacing w:line="312" w:lineRule="auto"/>
        <w:jc w:val="both"/>
      </w:pPr>
      <w:r>
        <w:t>Pracę z konsultantem (w zakresie m.in. wprowadzenia do metodyki oraz uzupełnienia ankiety przedwdrożeniowej);</w:t>
      </w:r>
    </w:p>
    <w:p w14:paraId="5B84EA53" w14:textId="2606F1E7" w:rsidR="00F67746" w:rsidRDefault="00F67746" w:rsidP="00F67746">
      <w:pPr>
        <w:pStyle w:val="Bezodstpw"/>
        <w:numPr>
          <w:ilvl w:val="0"/>
          <w:numId w:val="6"/>
        </w:numPr>
        <w:spacing w:line="312" w:lineRule="auto"/>
        <w:jc w:val="both"/>
      </w:pPr>
      <w:r>
        <w:t>Uruchomienie systemu w infrastrukturze zamawiającego, w tym:</w:t>
      </w:r>
    </w:p>
    <w:p w14:paraId="49D418BA" w14:textId="19886B87" w:rsidR="00F67746" w:rsidRDefault="00F67746" w:rsidP="00F67746">
      <w:pPr>
        <w:pStyle w:val="Bezodstpw"/>
        <w:numPr>
          <w:ilvl w:val="0"/>
          <w:numId w:val="9"/>
        </w:numPr>
        <w:spacing w:line="312" w:lineRule="auto"/>
      </w:pPr>
      <w:r>
        <w:t>konsultacje w przygotowaniu infrastruktury zamawiającego do instalacji systemu,</w:t>
      </w:r>
    </w:p>
    <w:p w14:paraId="68C5614C" w14:textId="5C3936B0" w:rsidR="00F67746" w:rsidRDefault="00F67746" w:rsidP="00F67746">
      <w:pPr>
        <w:pStyle w:val="Bezodstpw"/>
        <w:numPr>
          <w:ilvl w:val="0"/>
          <w:numId w:val="9"/>
        </w:numPr>
        <w:spacing w:line="312" w:lineRule="auto"/>
      </w:pPr>
      <w:r>
        <w:t xml:space="preserve">instalację lub import maszyny wirtualnej typu „software </w:t>
      </w:r>
      <w:proofErr w:type="spellStart"/>
      <w:r>
        <w:t>appliance</w:t>
      </w:r>
      <w:proofErr w:type="spellEnd"/>
      <w:r>
        <w:t>”,</w:t>
      </w:r>
    </w:p>
    <w:p w14:paraId="7732969E" w14:textId="5C33B490" w:rsidR="00F67746" w:rsidRDefault="00F67746" w:rsidP="00F67746">
      <w:pPr>
        <w:pStyle w:val="Bezodstpw"/>
        <w:numPr>
          <w:ilvl w:val="0"/>
          <w:numId w:val="9"/>
        </w:numPr>
        <w:spacing w:line="312" w:lineRule="auto"/>
      </w:pPr>
      <w:r>
        <w:t>zestawienie połączenia zdalnego,</w:t>
      </w:r>
    </w:p>
    <w:p w14:paraId="6AC92ED2" w14:textId="01FFA820" w:rsidR="00F67746" w:rsidRDefault="00F67746" w:rsidP="00F67746">
      <w:pPr>
        <w:pStyle w:val="Bezodstpw"/>
        <w:numPr>
          <w:ilvl w:val="0"/>
          <w:numId w:val="9"/>
        </w:numPr>
        <w:spacing w:line="312" w:lineRule="auto"/>
      </w:pPr>
      <w:r>
        <w:t>aktywację licencji,</w:t>
      </w:r>
    </w:p>
    <w:p w14:paraId="43161F35" w14:textId="0626275F" w:rsidR="00F67746" w:rsidRDefault="00F67746" w:rsidP="00F67746">
      <w:pPr>
        <w:pStyle w:val="Bezodstpw"/>
        <w:numPr>
          <w:ilvl w:val="0"/>
          <w:numId w:val="9"/>
        </w:numPr>
        <w:spacing w:line="312" w:lineRule="auto"/>
      </w:pPr>
      <w:r>
        <w:t>wstępną konfigurację,</w:t>
      </w:r>
    </w:p>
    <w:p w14:paraId="42B803E7" w14:textId="63D6EC6E" w:rsidR="00F67746" w:rsidRDefault="00F67746" w:rsidP="00F67746">
      <w:pPr>
        <w:pStyle w:val="Bezodstpw"/>
        <w:numPr>
          <w:ilvl w:val="0"/>
          <w:numId w:val="9"/>
        </w:numPr>
        <w:spacing w:line="312" w:lineRule="auto"/>
      </w:pPr>
      <w:r>
        <w:t>import/wprowadzenie tabeli adresacji znaczących stref bezpieczeństwa, wymaganych przez mechanizmy wykrywania (np.: sieci serwerów, sieci DMZ, sieci LAN);</w:t>
      </w:r>
    </w:p>
    <w:p w14:paraId="013F1497" w14:textId="559D20D7" w:rsidR="00F67746" w:rsidRDefault="00F67746" w:rsidP="00F67746">
      <w:pPr>
        <w:pStyle w:val="Bezodstpw"/>
        <w:numPr>
          <w:ilvl w:val="0"/>
          <w:numId w:val="6"/>
        </w:numPr>
        <w:spacing w:line="312" w:lineRule="auto"/>
      </w:pPr>
      <w:r>
        <w:t>Podłączenie głównego źródła zdarzeń opisującego komunikację sieciową, w tym:</w:t>
      </w:r>
    </w:p>
    <w:p w14:paraId="2FD10E1C" w14:textId="6EB9DC68" w:rsidR="00F67746" w:rsidRDefault="00F67746" w:rsidP="00F67746">
      <w:pPr>
        <w:pStyle w:val="Bezodstpw"/>
        <w:numPr>
          <w:ilvl w:val="0"/>
          <w:numId w:val="11"/>
        </w:numPr>
        <w:spacing w:line="312" w:lineRule="auto"/>
        <w:ind w:left="1701" w:hanging="425"/>
      </w:pPr>
      <w:r>
        <w:t>przekierowanie logów opisujących transmisje sieciową (</w:t>
      </w:r>
      <w:proofErr w:type="spellStart"/>
      <w:r>
        <w:t>traffic</w:t>
      </w:r>
      <w:proofErr w:type="spellEnd"/>
      <w:r>
        <w:t>) z zapór sieciowych (Firewall), przełączników i bezprzewodowych punktów dostępowych WLAN na kolektor systemu,</w:t>
      </w:r>
    </w:p>
    <w:p w14:paraId="02172191" w14:textId="1F80B3A9" w:rsidR="00F67746" w:rsidRDefault="00F67746" w:rsidP="00F67746">
      <w:pPr>
        <w:pStyle w:val="Bezodstpw"/>
        <w:numPr>
          <w:ilvl w:val="0"/>
          <w:numId w:val="11"/>
        </w:numPr>
        <w:spacing w:line="312" w:lineRule="auto"/>
        <w:ind w:left="1701" w:hanging="425"/>
      </w:pPr>
      <w:r>
        <w:t>uruchomienie reguł wykrywania;</w:t>
      </w:r>
    </w:p>
    <w:p w14:paraId="67B0FCE3" w14:textId="4CDEF43B" w:rsidR="00F67746" w:rsidRDefault="00F67746" w:rsidP="00F67746">
      <w:pPr>
        <w:pStyle w:val="Bezodstpw"/>
        <w:numPr>
          <w:ilvl w:val="0"/>
          <w:numId w:val="6"/>
        </w:numPr>
        <w:spacing w:line="312" w:lineRule="auto"/>
      </w:pPr>
      <w:r>
        <w:t>Prace audytowe, w tym:</w:t>
      </w:r>
    </w:p>
    <w:p w14:paraId="0973B43C" w14:textId="475612F4" w:rsidR="00F67746" w:rsidRDefault="00F67746" w:rsidP="00F67746">
      <w:pPr>
        <w:pStyle w:val="Bezodstpw"/>
        <w:numPr>
          <w:ilvl w:val="0"/>
          <w:numId w:val="12"/>
        </w:numPr>
        <w:spacing w:line="312" w:lineRule="auto"/>
        <w:ind w:left="1843" w:hanging="567"/>
      </w:pPr>
      <w:r>
        <w:t>pasywną analizę transmisji sieciowej:</w:t>
      </w:r>
    </w:p>
    <w:p w14:paraId="4D4E77DC" w14:textId="77777777" w:rsidR="00F67746" w:rsidRDefault="00F67746" w:rsidP="00F67746">
      <w:pPr>
        <w:pStyle w:val="Bezodstpw"/>
        <w:spacing w:line="312" w:lineRule="auto"/>
      </w:pPr>
      <w:r>
        <w:t xml:space="preserve">                            o ruch z/do serwerów webowych i aplikacyjnych,</w:t>
      </w:r>
    </w:p>
    <w:p w14:paraId="56591D65" w14:textId="77777777" w:rsidR="00F67746" w:rsidRDefault="00F67746" w:rsidP="00F67746">
      <w:pPr>
        <w:pStyle w:val="Bezodstpw"/>
        <w:spacing w:line="312" w:lineRule="auto"/>
      </w:pPr>
      <w:r>
        <w:t xml:space="preserve">                            o ruch z/do serwerów baz danych,</w:t>
      </w:r>
    </w:p>
    <w:p w14:paraId="33C989CD" w14:textId="77777777" w:rsidR="00F67746" w:rsidRDefault="00F67746" w:rsidP="00F67746">
      <w:pPr>
        <w:pStyle w:val="Bezodstpw"/>
        <w:spacing w:line="312" w:lineRule="auto"/>
      </w:pPr>
      <w:r>
        <w:t xml:space="preserve">                            o ruch z/do serwerów pocztowych,</w:t>
      </w:r>
    </w:p>
    <w:p w14:paraId="55B85CB5" w14:textId="77777777" w:rsidR="00F67746" w:rsidRDefault="00F67746" w:rsidP="00F67746">
      <w:pPr>
        <w:pStyle w:val="Bezodstpw"/>
        <w:spacing w:line="312" w:lineRule="auto"/>
      </w:pPr>
      <w:r>
        <w:t xml:space="preserve">                            o ruch z/do kontrolerów domenowych,</w:t>
      </w:r>
    </w:p>
    <w:p w14:paraId="1CC9606D" w14:textId="77777777" w:rsidR="00F67746" w:rsidRDefault="00F67746" w:rsidP="00F67746">
      <w:pPr>
        <w:pStyle w:val="Bezodstpw"/>
        <w:spacing w:line="312" w:lineRule="auto"/>
      </w:pPr>
      <w:r>
        <w:t xml:space="preserve">                            o ruch z/do serwerów usług podstawowych (m.in. DNS/NTP),</w:t>
      </w:r>
    </w:p>
    <w:p w14:paraId="7484F2D0" w14:textId="77777777" w:rsidR="00F67746" w:rsidRDefault="00F67746" w:rsidP="00F67746">
      <w:pPr>
        <w:pStyle w:val="Bezodstpw"/>
        <w:spacing w:line="312" w:lineRule="auto"/>
        <w:ind w:left="1418" w:hanging="1418"/>
      </w:pPr>
      <w:r>
        <w:t xml:space="preserve">                            o ruch z/do zasobów zidentyfikowanych na bazie charakterystyki i wolumenu ruchu oraz możliwości identyfikacji aplikacji,</w:t>
      </w:r>
    </w:p>
    <w:p w14:paraId="36315994" w14:textId="32A693A7" w:rsidR="00F67746" w:rsidRDefault="00F67746" w:rsidP="00BD2373">
      <w:pPr>
        <w:pStyle w:val="Bezodstpw"/>
        <w:numPr>
          <w:ilvl w:val="1"/>
          <w:numId w:val="13"/>
        </w:numPr>
        <w:spacing w:line="312" w:lineRule="auto"/>
        <w:ind w:left="1843" w:hanging="567"/>
      </w:pPr>
      <w:r>
        <w:t>konsultacje w ramach otrzymanych wyników;</w:t>
      </w:r>
    </w:p>
    <w:p w14:paraId="1E465B55" w14:textId="0FF87D61" w:rsidR="00F67746" w:rsidRDefault="00F67746" w:rsidP="00BD2373">
      <w:pPr>
        <w:pStyle w:val="Bezodstpw"/>
        <w:numPr>
          <w:ilvl w:val="1"/>
          <w:numId w:val="13"/>
        </w:numPr>
        <w:spacing w:line="312" w:lineRule="auto"/>
        <w:ind w:left="1843" w:hanging="567"/>
      </w:pPr>
      <w:r>
        <w:lastRenderedPageBreak/>
        <w:t>zebranie danych audytowych wymaganych do sporządzenia raportu;</w:t>
      </w:r>
    </w:p>
    <w:p w14:paraId="5969A96E" w14:textId="35C8D5DD" w:rsidR="00F67746" w:rsidRDefault="00F67746" w:rsidP="00F67746">
      <w:pPr>
        <w:pStyle w:val="Bezodstpw"/>
        <w:numPr>
          <w:ilvl w:val="0"/>
          <w:numId w:val="6"/>
        </w:numPr>
        <w:spacing w:line="312" w:lineRule="auto"/>
      </w:pPr>
      <w:r>
        <w:t xml:space="preserve"> Analizę podatności, w zakresie:</w:t>
      </w:r>
    </w:p>
    <w:p w14:paraId="1F39F8F8" w14:textId="256FE2EC" w:rsidR="00F67746" w:rsidRDefault="00F67746" w:rsidP="00BD2373">
      <w:pPr>
        <w:pStyle w:val="Bezodstpw"/>
        <w:numPr>
          <w:ilvl w:val="1"/>
          <w:numId w:val="14"/>
        </w:numPr>
        <w:spacing w:line="312" w:lineRule="auto"/>
        <w:ind w:left="1985" w:hanging="567"/>
      </w:pPr>
      <w:r>
        <w:t xml:space="preserve">integracji po API ze wskazanym przez Zamawiającego komercyjnym skanerem </w:t>
      </w:r>
      <w:proofErr w:type="spellStart"/>
      <w:r>
        <w:t>Nessus</w:t>
      </w:r>
      <w:proofErr w:type="spellEnd"/>
      <w:r>
        <w:t xml:space="preserve"> Pro;</w:t>
      </w:r>
    </w:p>
    <w:p w14:paraId="0E111318" w14:textId="6B4436D6" w:rsidR="00F67746" w:rsidRDefault="00F67746" w:rsidP="00BD2373">
      <w:pPr>
        <w:pStyle w:val="Bezodstpw"/>
        <w:numPr>
          <w:ilvl w:val="1"/>
          <w:numId w:val="14"/>
        </w:numPr>
        <w:spacing w:line="312" w:lineRule="auto"/>
        <w:ind w:left="1985" w:hanging="567"/>
      </w:pPr>
      <w:r>
        <w:t>przygotowanie reguł priorytetów i importu krytycznych podatności;</w:t>
      </w:r>
    </w:p>
    <w:p w14:paraId="30BF1F6E" w14:textId="5B2B04DA" w:rsidR="00F67746" w:rsidRDefault="00F67746" w:rsidP="00F67746">
      <w:pPr>
        <w:pStyle w:val="Bezodstpw"/>
        <w:numPr>
          <w:ilvl w:val="0"/>
          <w:numId w:val="6"/>
        </w:numPr>
        <w:spacing w:line="312" w:lineRule="auto"/>
      </w:pPr>
      <w:r>
        <w:t xml:space="preserve"> Przygotowanie dynamicznego raportu audytowego w oparciu o dostępne w systemie narzędzia elektronicznej dokumentacji i szacowania ryzyka obejmującego analizę prawdopodobieństwa przełamania zabezpieczeń organizacji. Raport powinien zawierać:</w:t>
      </w:r>
    </w:p>
    <w:p w14:paraId="4DC60047" w14:textId="12F93088" w:rsidR="00F67746" w:rsidRDefault="00F67746" w:rsidP="00BD2373">
      <w:pPr>
        <w:pStyle w:val="Bezodstpw"/>
        <w:numPr>
          <w:ilvl w:val="1"/>
          <w:numId w:val="15"/>
        </w:numPr>
        <w:spacing w:line="312" w:lineRule="auto"/>
        <w:ind w:left="1985" w:hanging="567"/>
      </w:pPr>
      <w:r>
        <w:t>zidentyfikowane zagrożenia oraz prawdopodobieństwo ich wystąpienia;</w:t>
      </w:r>
    </w:p>
    <w:p w14:paraId="40057E4F" w14:textId="673E2C0C" w:rsidR="00F67746" w:rsidRDefault="00F67746" w:rsidP="00BD2373">
      <w:pPr>
        <w:pStyle w:val="Bezodstpw"/>
        <w:numPr>
          <w:ilvl w:val="1"/>
          <w:numId w:val="15"/>
        </w:numPr>
        <w:spacing w:line="312" w:lineRule="auto"/>
        <w:ind w:left="1985" w:hanging="567"/>
      </w:pPr>
      <w:r>
        <w:t>potencjalne wektory ataków dla wykrytych zagrożeń;</w:t>
      </w:r>
    </w:p>
    <w:p w14:paraId="2DCB605C" w14:textId="4A8CF6D8" w:rsidR="00F67746" w:rsidRDefault="00F67746" w:rsidP="00BD2373">
      <w:pPr>
        <w:pStyle w:val="Bezodstpw"/>
        <w:numPr>
          <w:ilvl w:val="1"/>
          <w:numId w:val="15"/>
        </w:numPr>
        <w:spacing w:line="312" w:lineRule="auto"/>
        <w:ind w:left="1985" w:hanging="567"/>
      </w:pPr>
      <w:r>
        <w:t>wizualizacja graficzna wykrytych źródeł zagrożeń oraz wektorów ataków;</w:t>
      </w:r>
    </w:p>
    <w:p w14:paraId="6E3C8415" w14:textId="4A824A9F" w:rsidR="00F67746" w:rsidRDefault="00F67746" w:rsidP="00BD2373">
      <w:pPr>
        <w:pStyle w:val="Bezodstpw"/>
        <w:numPr>
          <w:ilvl w:val="1"/>
          <w:numId w:val="15"/>
        </w:numPr>
        <w:spacing w:line="312" w:lineRule="auto"/>
        <w:ind w:left="1985" w:hanging="567"/>
      </w:pPr>
      <w:r>
        <w:t>rekomendacja zabezpieczeń;</w:t>
      </w:r>
    </w:p>
    <w:p w14:paraId="22A41197" w14:textId="2DCA4F33" w:rsidR="00F67746" w:rsidRDefault="00F67746" w:rsidP="00BD2373">
      <w:pPr>
        <w:pStyle w:val="Bezodstpw"/>
        <w:numPr>
          <w:ilvl w:val="1"/>
          <w:numId w:val="15"/>
        </w:numPr>
        <w:spacing w:line="312" w:lineRule="auto"/>
        <w:ind w:left="1985" w:hanging="567"/>
      </w:pPr>
      <w:r>
        <w:t>zidentyfikowane zagrożenia związane z podatnościami oraz prawdopodobieństwo wykorzystania ich do przełamania zabezpieczeń;</w:t>
      </w:r>
    </w:p>
    <w:p w14:paraId="3C6B7603" w14:textId="5AAA8001" w:rsidR="00F67746" w:rsidRDefault="00F67746" w:rsidP="00F67746">
      <w:pPr>
        <w:pStyle w:val="Bezodstpw"/>
        <w:numPr>
          <w:ilvl w:val="0"/>
          <w:numId w:val="6"/>
        </w:numPr>
        <w:spacing w:line="312" w:lineRule="auto"/>
      </w:pPr>
      <w:r>
        <w:t xml:space="preserve"> Transfer wiedzy w formie spotkania podsumowującego, obejmujący interpretację przez analityka wyników analizy ujętej w raporcie z systemu;</w:t>
      </w:r>
    </w:p>
    <w:p w14:paraId="3601DE35" w14:textId="6E0AC709" w:rsidR="00F67746" w:rsidRDefault="00F67746" w:rsidP="00F67746">
      <w:pPr>
        <w:pStyle w:val="Bezodstpw"/>
        <w:numPr>
          <w:ilvl w:val="0"/>
          <w:numId w:val="4"/>
        </w:numPr>
        <w:spacing w:line="312" w:lineRule="auto"/>
        <w:ind w:left="284" w:hanging="284"/>
      </w:pPr>
      <w:r>
        <w:t xml:space="preserve"> Obszar Detekcji ma na celu uruchomienie i dostrojenie mechanizmów wykrywania zagrożeń. Zakres prac powinien uwzględniać kolejno:</w:t>
      </w:r>
    </w:p>
    <w:p w14:paraId="6FFB5B6D" w14:textId="6F9E4E0B" w:rsidR="00F67746" w:rsidRDefault="00F67746" w:rsidP="00F67746">
      <w:pPr>
        <w:pStyle w:val="Bezodstpw"/>
        <w:numPr>
          <w:ilvl w:val="0"/>
          <w:numId w:val="16"/>
        </w:numPr>
        <w:spacing w:line="312" w:lineRule="auto"/>
      </w:pPr>
      <w:r>
        <w:t xml:space="preserve"> Podłączenie (przekierowanie do systemu) źródeł zdarzeń i ich dalszą konfigurację. Kluczowe źródła zdarzeń obejmują:</w:t>
      </w:r>
    </w:p>
    <w:p w14:paraId="2E51FF5B" w14:textId="328CA995" w:rsidR="00F67746" w:rsidRDefault="00F67746" w:rsidP="00BD2373">
      <w:pPr>
        <w:pStyle w:val="Bezodstpw"/>
        <w:numPr>
          <w:ilvl w:val="1"/>
          <w:numId w:val="17"/>
        </w:numPr>
        <w:spacing w:line="312" w:lineRule="auto"/>
        <w:ind w:left="2127" w:hanging="709"/>
      </w:pPr>
      <w:r>
        <w:t>zapory sieciowe w punkach styku z siecią Internet (Firewall brzegowy);</w:t>
      </w:r>
    </w:p>
    <w:p w14:paraId="1ABE0E4B" w14:textId="59E0D732" w:rsidR="00F67746" w:rsidRDefault="00F67746" w:rsidP="00BD2373">
      <w:pPr>
        <w:pStyle w:val="Bezodstpw"/>
        <w:numPr>
          <w:ilvl w:val="1"/>
          <w:numId w:val="17"/>
        </w:numPr>
        <w:spacing w:line="312" w:lineRule="auto"/>
        <w:ind w:left="2127" w:hanging="709"/>
      </w:pPr>
      <w:r>
        <w:t xml:space="preserve">przełączniki warstwy </w:t>
      </w:r>
      <w:proofErr w:type="spellStart"/>
      <w:r>
        <w:t>core</w:t>
      </w:r>
      <w:proofErr w:type="spellEnd"/>
      <w:r>
        <w:t>;</w:t>
      </w:r>
    </w:p>
    <w:p w14:paraId="08370A9F" w14:textId="55180F4D" w:rsidR="00F67746" w:rsidRDefault="00F67746" w:rsidP="00BD2373">
      <w:pPr>
        <w:pStyle w:val="Bezodstpw"/>
        <w:numPr>
          <w:ilvl w:val="1"/>
          <w:numId w:val="17"/>
        </w:numPr>
        <w:spacing w:line="312" w:lineRule="auto"/>
        <w:ind w:left="2127" w:hanging="709"/>
      </w:pPr>
      <w:r>
        <w:t xml:space="preserve">sieciowe systemy bezpieczeństwa dedykowane do wykrywania incydentów bezpieczeństwa (np.: </w:t>
      </w:r>
      <w:proofErr w:type="spellStart"/>
      <w:r>
        <w:t>Sandbox</w:t>
      </w:r>
      <w:proofErr w:type="spellEnd"/>
      <w:r>
        <w:t xml:space="preserve">, IDP/IPS, </w:t>
      </w:r>
      <w:proofErr w:type="spellStart"/>
      <w:r>
        <w:t>AntySpam</w:t>
      </w:r>
      <w:proofErr w:type="spellEnd"/>
      <w:r>
        <w:t>);</w:t>
      </w:r>
    </w:p>
    <w:p w14:paraId="429F3227" w14:textId="28EE4BF6" w:rsidR="00F67746" w:rsidRDefault="00F67746" w:rsidP="00BD2373">
      <w:pPr>
        <w:pStyle w:val="Bezodstpw"/>
        <w:numPr>
          <w:ilvl w:val="1"/>
          <w:numId w:val="17"/>
        </w:numPr>
        <w:spacing w:line="312" w:lineRule="auto"/>
        <w:ind w:left="2127" w:hanging="709"/>
      </w:pPr>
      <w:r>
        <w:t xml:space="preserve">centralne systemy, dedykowane do kontroli złośliwego oprogramowania na stacjach końcowych/Serwerach, umożliwiające wykrywanie aktywności złośliwego oprogramowania (np.: </w:t>
      </w:r>
      <w:proofErr w:type="spellStart"/>
      <w:r>
        <w:t>AntyWirus</w:t>
      </w:r>
      <w:proofErr w:type="spellEnd"/>
      <w:r>
        <w:t>, EDR);</w:t>
      </w:r>
    </w:p>
    <w:p w14:paraId="7053EB71" w14:textId="3A70AA92" w:rsidR="00F67746" w:rsidRDefault="00F67746" w:rsidP="00BD2373">
      <w:pPr>
        <w:pStyle w:val="Bezodstpw"/>
        <w:numPr>
          <w:ilvl w:val="1"/>
          <w:numId w:val="18"/>
        </w:numPr>
        <w:spacing w:line="312" w:lineRule="auto"/>
        <w:ind w:left="2127" w:hanging="709"/>
      </w:pPr>
      <w:r>
        <w:t>kontroler domenowy oraz system zarządzania dostępem uprzywilejowanym;</w:t>
      </w:r>
    </w:p>
    <w:p w14:paraId="5E7C2FC1" w14:textId="52234CCC" w:rsidR="00F67746" w:rsidRDefault="00F67746" w:rsidP="00BD2373">
      <w:pPr>
        <w:pStyle w:val="Bezodstpw"/>
        <w:numPr>
          <w:ilvl w:val="1"/>
          <w:numId w:val="18"/>
        </w:numPr>
        <w:spacing w:line="312" w:lineRule="auto"/>
        <w:ind w:left="2127" w:hanging="709"/>
      </w:pPr>
      <w:r>
        <w:t>systemy detekcji anomalii w przepływach lub zdarzeniach (np.: NBA);</w:t>
      </w:r>
    </w:p>
    <w:p w14:paraId="5D40F9EB" w14:textId="31F62F4E" w:rsidR="00F67746" w:rsidRDefault="00F67746" w:rsidP="00BD2373">
      <w:pPr>
        <w:pStyle w:val="Bezodstpw"/>
        <w:numPr>
          <w:ilvl w:val="1"/>
          <w:numId w:val="18"/>
        </w:numPr>
        <w:spacing w:line="312" w:lineRule="auto"/>
        <w:ind w:left="2127" w:hanging="709"/>
      </w:pPr>
      <w:r>
        <w:t>system SIEM;</w:t>
      </w:r>
    </w:p>
    <w:p w14:paraId="20C0A169" w14:textId="253E5F2A" w:rsidR="00F67746" w:rsidRDefault="00F67746" w:rsidP="00BD2373">
      <w:pPr>
        <w:pStyle w:val="Bezodstpw"/>
        <w:numPr>
          <w:ilvl w:val="1"/>
          <w:numId w:val="18"/>
        </w:numPr>
        <w:spacing w:line="312" w:lineRule="auto"/>
        <w:ind w:left="2127" w:hanging="709"/>
      </w:pPr>
      <w:r>
        <w:t xml:space="preserve">w przypadku niestandardowych źródeł, muszą zostać przygotowane odpowiednie </w:t>
      </w:r>
      <w:proofErr w:type="spellStart"/>
      <w:r>
        <w:t>parsery</w:t>
      </w:r>
      <w:proofErr w:type="spellEnd"/>
      <w:r>
        <w:t>, pozwalające na detekcję zgodną z wbudowanymi w system regułami korelacji;</w:t>
      </w:r>
    </w:p>
    <w:p w14:paraId="18FD0859" w14:textId="5E77C8FF" w:rsidR="00F67746" w:rsidRPr="00F67746" w:rsidRDefault="00F67746" w:rsidP="00BD2373">
      <w:pPr>
        <w:pStyle w:val="Bezodstpw"/>
        <w:numPr>
          <w:ilvl w:val="1"/>
          <w:numId w:val="18"/>
        </w:numPr>
        <w:spacing w:line="312" w:lineRule="auto"/>
        <w:ind w:left="2127" w:hanging="709"/>
      </w:pPr>
      <w:r w:rsidRPr="00F67746">
        <w:rPr>
          <w:lang w:val="en-US"/>
        </w:rPr>
        <w:t xml:space="preserve">Tenant Microsoft 365 </w:t>
      </w:r>
      <w:proofErr w:type="spellStart"/>
      <w:r w:rsidRPr="00F67746">
        <w:rPr>
          <w:lang w:val="en-US"/>
        </w:rPr>
        <w:t>wraz</w:t>
      </w:r>
      <w:proofErr w:type="spellEnd"/>
      <w:r w:rsidRPr="00F67746">
        <w:rPr>
          <w:lang w:val="en-US"/>
        </w:rPr>
        <w:t xml:space="preserve"> z Azure Active Directory.</w:t>
      </w:r>
    </w:p>
    <w:p w14:paraId="3681C443" w14:textId="154079AC" w:rsidR="00F67746" w:rsidRDefault="00F67746" w:rsidP="00F67746">
      <w:pPr>
        <w:pStyle w:val="Bezodstpw"/>
        <w:numPr>
          <w:ilvl w:val="0"/>
          <w:numId w:val="16"/>
        </w:numPr>
        <w:spacing w:line="312" w:lineRule="auto"/>
      </w:pPr>
      <w:r>
        <w:t>Adaptację reguł profilowych, pozwalających na dostosowanie zdarzeń do zasobów, których dotyczą;</w:t>
      </w:r>
    </w:p>
    <w:p w14:paraId="29DCBC09" w14:textId="320F055C" w:rsidR="00F67746" w:rsidRDefault="00F67746" w:rsidP="00F67746">
      <w:pPr>
        <w:pStyle w:val="Bezodstpw"/>
        <w:numPr>
          <w:ilvl w:val="0"/>
          <w:numId w:val="16"/>
        </w:numPr>
        <w:spacing w:line="312" w:lineRule="auto"/>
      </w:pPr>
      <w:r>
        <w:t>Podłączenie reguł detekcji;</w:t>
      </w:r>
    </w:p>
    <w:p w14:paraId="23600CED" w14:textId="160A862C" w:rsidR="00F67746" w:rsidRDefault="00F67746" w:rsidP="00F67746">
      <w:pPr>
        <w:pStyle w:val="Bezodstpw"/>
        <w:numPr>
          <w:ilvl w:val="0"/>
          <w:numId w:val="16"/>
        </w:numPr>
        <w:spacing w:line="312" w:lineRule="auto"/>
      </w:pPr>
      <w:r>
        <w:t>Podłączenie i konfiguracja mechanizmów UEBA:</w:t>
      </w:r>
    </w:p>
    <w:p w14:paraId="474CDD9E" w14:textId="5D067109" w:rsidR="00F67746" w:rsidRDefault="00F67746" w:rsidP="00BD2373">
      <w:pPr>
        <w:pStyle w:val="Bezodstpw"/>
        <w:numPr>
          <w:ilvl w:val="1"/>
          <w:numId w:val="19"/>
        </w:numPr>
        <w:spacing w:line="312" w:lineRule="auto"/>
        <w:ind w:left="2127" w:hanging="709"/>
      </w:pPr>
      <w:r>
        <w:t>integracja z Active Directory;</w:t>
      </w:r>
    </w:p>
    <w:p w14:paraId="6ADECE36" w14:textId="7FB5AC87" w:rsidR="00F67746" w:rsidRDefault="00F67746" w:rsidP="00BD2373">
      <w:pPr>
        <w:pStyle w:val="Bezodstpw"/>
        <w:numPr>
          <w:ilvl w:val="1"/>
          <w:numId w:val="19"/>
        </w:numPr>
        <w:spacing w:line="312" w:lineRule="auto"/>
        <w:ind w:left="2268" w:hanging="992"/>
      </w:pPr>
      <w:r>
        <w:lastRenderedPageBreak/>
        <w:t>utworzenie profili użytkowników UBA;</w:t>
      </w:r>
    </w:p>
    <w:p w14:paraId="0099E954" w14:textId="0C82EDF2" w:rsidR="00F67746" w:rsidRDefault="00F67746" w:rsidP="00BD2373">
      <w:pPr>
        <w:pStyle w:val="Bezodstpw"/>
        <w:numPr>
          <w:ilvl w:val="1"/>
          <w:numId w:val="19"/>
        </w:numPr>
        <w:spacing w:line="312" w:lineRule="auto"/>
        <w:ind w:left="2268" w:hanging="992"/>
      </w:pPr>
      <w:r>
        <w:t>utworzenie profili hostów EBA;</w:t>
      </w:r>
    </w:p>
    <w:p w14:paraId="2B98EACC" w14:textId="6D2DD7C9" w:rsidR="00F67746" w:rsidRDefault="00F67746" w:rsidP="00BD2373">
      <w:pPr>
        <w:pStyle w:val="Bezodstpw"/>
        <w:numPr>
          <w:ilvl w:val="1"/>
          <w:numId w:val="19"/>
        </w:numPr>
        <w:spacing w:line="312" w:lineRule="auto"/>
        <w:ind w:left="2268" w:hanging="992"/>
      </w:pPr>
      <w:r>
        <w:t xml:space="preserve">import reguł bezpieczeństwa UEBA, utworzenie </w:t>
      </w:r>
      <w:proofErr w:type="spellStart"/>
      <w:r>
        <w:t>customowych</w:t>
      </w:r>
      <w:proofErr w:type="spellEnd"/>
      <w:r>
        <w:t xml:space="preserve"> reguł bezpieczeństwa UEBA, uruchomienie procesu uczenia;</w:t>
      </w:r>
    </w:p>
    <w:p w14:paraId="24745F31" w14:textId="14B0DDEE" w:rsidR="00F67746" w:rsidRDefault="00F67746" w:rsidP="00BD2373">
      <w:pPr>
        <w:pStyle w:val="Bezodstpw"/>
        <w:numPr>
          <w:ilvl w:val="1"/>
          <w:numId w:val="19"/>
        </w:numPr>
        <w:spacing w:line="312" w:lineRule="auto"/>
        <w:ind w:left="2268" w:hanging="992"/>
      </w:pPr>
      <w:r>
        <w:t>obserwacja i doprecyzowanie postępu uczenia maszynowego, wykluczenie/ dodanie nowych reguł zdarzeń użytkowników/ hostów;</w:t>
      </w:r>
    </w:p>
    <w:p w14:paraId="5742075B" w14:textId="53AD7C05" w:rsidR="00F67746" w:rsidRDefault="00F67746" w:rsidP="00F67746">
      <w:pPr>
        <w:pStyle w:val="Bezodstpw"/>
        <w:numPr>
          <w:ilvl w:val="0"/>
          <w:numId w:val="16"/>
        </w:numPr>
        <w:spacing w:line="312" w:lineRule="auto"/>
      </w:pPr>
      <w:r>
        <w:t xml:space="preserve"> Dostrojenie systemu, w tym reguł </w:t>
      </w:r>
      <w:proofErr w:type="spellStart"/>
      <w:r>
        <w:t>priorytetyzacji</w:t>
      </w:r>
      <w:proofErr w:type="spellEnd"/>
      <w:r>
        <w:t xml:space="preserve"> zdarzeń i incydentów, mające na celu dopasowanie czułości systemu do możliwości operacyjnych organizacji.</w:t>
      </w:r>
    </w:p>
    <w:p w14:paraId="1B20FF9F" w14:textId="77777777" w:rsidR="00F67746" w:rsidRDefault="00F67746" w:rsidP="00F67746">
      <w:pPr>
        <w:spacing w:after="0" w:line="312" w:lineRule="auto"/>
        <w:jc w:val="center"/>
        <w:rPr>
          <w:b/>
          <w:bCs/>
          <w:color w:val="FF0000"/>
        </w:rPr>
      </w:pPr>
    </w:p>
    <w:p w14:paraId="62EEF21F" w14:textId="3232843E" w:rsidR="001D413B" w:rsidRPr="008A0A2F" w:rsidRDefault="001D413B" w:rsidP="00F67746">
      <w:pPr>
        <w:pStyle w:val="Akapitzlist"/>
        <w:spacing w:after="0" w:line="312" w:lineRule="auto"/>
        <w:ind w:left="426"/>
      </w:pPr>
    </w:p>
    <w:sectPr w:rsidR="001D413B" w:rsidRPr="008A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58"/>
    <w:multiLevelType w:val="hybridMultilevel"/>
    <w:tmpl w:val="DB04AEF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FC17F65"/>
    <w:multiLevelType w:val="hybridMultilevel"/>
    <w:tmpl w:val="E2FA3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42CE"/>
    <w:multiLevelType w:val="hybridMultilevel"/>
    <w:tmpl w:val="C59C6CAE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7B96DB5"/>
    <w:multiLevelType w:val="hybridMultilevel"/>
    <w:tmpl w:val="7DDC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10D2C"/>
    <w:multiLevelType w:val="hybridMultilevel"/>
    <w:tmpl w:val="11D44F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554EBE"/>
    <w:multiLevelType w:val="hybridMultilevel"/>
    <w:tmpl w:val="32A8B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FA81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5A1D"/>
    <w:multiLevelType w:val="hybridMultilevel"/>
    <w:tmpl w:val="8418EAD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5B104240"/>
    <w:multiLevelType w:val="hybridMultilevel"/>
    <w:tmpl w:val="19E47EBC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5F046B97"/>
    <w:multiLevelType w:val="hybridMultilevel"/>
    <w:tmpl w:val="FB383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5BA6"/>
    <w:multiLevelType w:val="hybridMultilevel"/>
    <w:tmpl w:val="A54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41899"/>
    <w:multiLevelType w:val="hybridMultilevel"/>
    <w:tmpl w:val="CD663A06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1" w15:restartNumberingAfterBreak="0">
    <w:nsid w:val="67D1168F"/>
    <w:multiLevelType w:val="hybridMultilevel"/>
    <w:tmpl w:val="1D10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52F5D"/>
    <w:multiLevelType w:val="hybridMultilevel"/>
    <w:tmpl w:val="C282A0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71132659"/>
    <w:multiLevelType w:val="hybridMultilevel"/>
    <w:tmpl w:val="FC284CC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790744B3"/>
    <w:multiLevelType w:val="hybridMultilevel"/>
    <w:tmpl w:val="71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E559A"/>
    <w:multiLevelType w:val="hybridMultilevel"/>
    <w:tmpl w:val="715C52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5F7735"/>
    <w:multiLevelType w:val="hybridMultilevel"/>
    <w:tmpl w:val="0BFAE0C6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816799826">
    <w:abstractNumId w:val="9"/>
  </w:num>
  <w:num w:numId="2" w16cid:durableId="1183980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891578">
    <w:abstractNumId w:val="15"/>
  </w:num>
  <w:num w:numId="4" w16cid:durableId="1918318428">
    <w:abstractNumId w:val="11"/>
  </w:num>
  <w:num w:numId="5" w16cid:durableId="462774855">
    <w:abstractNumId w:val="8"/>
  </w:num>
  <w:num w:numId="6" w16cid:durableId="387650022">
    <w:abstractNumId w:val="5"/>
  </w:num>
  <w:num w:numId="7" w16cid:durableId="1994943967">
    <w:abstractNumId w:val="15"/>
  </w:num>
  <w:num w:numId="8" w16cid:durableId="1442382633">
    <w:abstractNumId w:val="3"/>
  </w:num>
  <w:num w:numId="9" w16cid:durableId="219295035">
    <w:abstractNumId w:val="10"/>
  </w:num>
  <w:num w:numId="10" w16cid:durableId="733968915">
    <w:abstractNumId w:val="0"/>
  </w:num>
  <w:num w:numId="11" w16cid:durableId="1075980505">
    <w:abstractNumId w:val="4"/>
  </w:num>
  <w:num w:numId="12" w16cid:durableId="452752531">
    <w:abstractNumId w:val="14"/>
  </w:num>
  <w:num w:numId="13" w16cid:durableId="235633796">
    <w:abstractNumId w:val="2"/>
  </w:num>
  <w:num w:numId="14" w16cid:durableId="593132818">
    <w:abstractNumId w:val="12"/>
  </w:num>
  <w:num w:numId="15" w16cid:durableId="2146581957">
    <w:abstractNumId w:val="13"/>
  </w:num>
  <w:num w:numId="16" w16cid:durableId="1058093639">
    <w:abstractNumId w:val="1"/>
  </w:num>
  <w:num w:numId="17" w16cid:durableId="1500928271">
    <w:abstractNumId w:val="7"/>
  </w:num>
  <w:num w:numId="18" w16cid:durableId="1702902834">
    <w:abstractNumId w:val="16"/>
  </w:num>
  <w:num w:numId="19" w16cid:durableId="2126805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E4"/>
    <w:rsid w:val="000965E7"/>
    <w:rsid w:val="00104BA0"/>
    <w:rsid w:val="001D413B"/>
    <w:rsid w:val="0046773F"/>
    <w:rsid w:val="0051590D"/>
    <w:rsid w:val="006F6847"/>
    <w:rsid w:val="007E0285"/>
    <w:rsid w:val="008A0A2F"/>
    <w:rsid w:val="009F4C75"/>
    <w:rsid w:val="009F7D9C"/>
    <w:rsid w:val="00A125B3"/>
    <w:rsid w:val="00BC5CBB"/>
    <w:rsid w:val="00BD2373"/>
    <w:rsid w:val="00CB30E4"/>
    <w:rsid w:val="00F67746"/>
    <w:rsid w:val="00F90B56"/>
    <w:rsid w:val="00F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46E2"/>
  <w15:chartTrackingRefBased/>
  <w15:docId w15:val="{95FA98C5-1B15-4F51-BEF4-D823CC0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28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28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B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51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1590D"/>
    <w:rPr>
      <w:kern w:val="0"/>
      <w14:ligatures w14:val="none"/>
    </w:rPr>
  </w:style>
  <w:style w:type="paragraph" w:styleId="Bezodstpw">
    <w:name w:val="No Spacing"/>
    <w:uiPriority w:val="1"/>
    <w:qFormat/>
    <w:rsid w:val="00F6774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904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Mękarska</dc:creator>
  <cp:keywords/>
  <dc:description/>
  <cp:lastModifiedBy>Barbara Mękarska</cp:lastModifiedBy>
  <cp:revision>15</cp:revision>
  <dcterms:created xsi:type="dcterms:W3CDTF">2023-05-11T08:13:00Z</dcterms:created>
  <dcterms:modified xsi:type="dcterms:W3CDTF">2023-05-25T05:45:00Z</dcterms:modified>
</cp:coreProperties>
</file>