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F19E1">
        <w:rPr>
          <w:rFonts w:ascii="Cambria" w:hAnsi="Cambria" w:cs="Calibri"/>
          <w:b/>
        </w:rPr>
        <w:t>1</w:t>
      </w:r>
      <w:r w:rsidR="00803385">
        <w:rPr>
          <w:rFonts w:ascii="Cambria" w:hAnsi="Cambria" w:cs="Calibri"/>
          <w:b/>
        </w:rPr>
        <w:t>7</w:t>
      </w:r>
      <w:r w:rsidR="00E83332">
        <w:rPr>
          <w:rFonts w:ascii="Cambria" w:hAnsi="Cambria" w:cs="Calibri"/>
          <w:b/>
        </w:rPr>
        <w:t>3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Pr="0069030C" w:rsidRDefault="00FF37BB" w:rsidP="0069030C">
      <w:pPr>
        <w:widowControl w:val="0"/>
        <w:spacing w:after="0" w:line="360" w:lineRule="auto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0F19E1" w:rsidRDefault="000F19E1" w:rsidP="008E633A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:rsidR="006509CE" w:rsidRDefault="00FF37BB" w:rsidP="006509CE">
      <w:pPr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530347"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:rsidR="006509CE" w:rsidRDefault="006509CE" w:rsidP="006509CE">
      <w:pPr>
        <w:rPr>
          <w:rFonts w:asciiTheme="majorHAnsi" w:hAnsiTheme="majorHAnsi" w:cs="Tahoma"/>
          <w:b/>
          <w:bCs/>
          <w:szCs w:val="26"/>
        </w:rPr>
      </w:pPr>
      <w:r>
        <w:rPr>
          <w:rFonts w:asciiTheme="majorHAnsi" w:hAnsiTheme="majorHAnsi" w:cs="Tahoma"/>
          <w:b/>
          <w:bCs/>
          <w:szCs w:val="26"/>
        </w:rPr>
        <w:t>Remont mieszkań z przeznaczeniem dla repatriantów w budynkach mieszkalnych administrowanych przez Zarząd  Budynków Miejskich II Towarzystwo Budownictwa Społecznego Sp. z o.o. w Gliwicach.</w:t>
      </w:r>
    </w:p>
    <w:p w:rsidR="006509CE" w:rsidRDefault="006509CE" w:rsidP="006509CE">
      <w:pPr>
        <w:spacing w:after="0" w:line="240" w:lineRule="auto"/>
        <w:rPr>
          <w:rFonts w:asciiTheme="majorHAnsi" w:hAnsiTheme="majorHAnsi" w:cs="Tahoma"/>
          <w:b/>
          <w:bCs/>
          <w:szCs w:val="26"/>
        </w:rPr>
      </w:pPr>
      <w:r>
        <w:rPr>
          <w:rFonts w:asciiTheme="majorHAnsi" w:hAnsiTheme="majorHAnsi" w:cs="Tahoma"/>
          <w:b/>
          <w:bCs/>
          <w:szCs w:val="26"/>
        </w:rPr>
        <w:t xml:space="preserve">Część nr 1 . </w:t>
      </w:r>
      <w:r>
        <w:rPr>
          <w:rFonts w:asciiTheme="majorHAnsi" w:hAnsiTheme="majorHAnsi" w:cs="Tahoma"/>
          <w:b/>
          <w:bCs/>
          <w:szCs w:val="26"/>
        </w:rPr>
        <w:tab/>
        <w:t xml:space="preserve">Remont lokalu mieszkalnego z przeznaczeniem dla repatriantów </w:t>
      </w:r>
    </w:p>
    <w:p w:rsidR="006509CE" w:rsidRDefault="006509CE" w:rsidP="006509CE">
      <w:pPr>
        <w:spacing w:after="0" w:line="240" w:lineRule="auto"/>
        <w:ind w:left="708" w:firstLine="708"/>
        <w:rPr>
          <w:rFonts w:asciiTheme="majorHAnsi" w:hAnsiTheme="majorHAnsi" w:cs="Tahoma"/>
          <w:b/>
          <w:bCs/>
          <w:szCs w:val="26"/>
        </w:rPr>
      </w:pPr>
      <w:r>
        <w:rPr>
          <w:rFonts w:asciiTheme="majorHAnsi" w:hAnsiTheme="majorHAnsi" w:cs="Tahoma"/>
          <w:b/>
          <w:bCs/>
          <w:szCs w:val="26"/>
        </w:rPr>
        <w:t>przy ul. Mastalerza 19/2 w Gliwicach</w:t>
      </w:r>
      <w:r w:rsidR="00E83332">
        <w:rPr>
          <w:rFonts w:asciiTheme="majorHAnsi" w:hAnsiTheme="majorHAnsi" w:cs="Tahoma"/>
          <w:b/>
          <w:bCs/>
          <w:szCs w:val="26"/>
        </w:rPr>
        <w:t xml:space="preserve"> </w:t>
      </w:r>
      <w:r w:rsidR="00E83332" w:rsidRPr="00E83332">
        <w:rPr>
          <w:rFonts w:asciiTheme="majorHAnsi" w:hAnsiTheme="majorHAnsi" w:cs="Tahoma"/>
          <w:bCs/>
          <w:szCs w:val="26"/>
        </w:rPr>
        <w:t>(*)</w:t>
      </w:r>
    </w:p>
    <w:p w:rsidR="006509CE" w:rsidRDefault="006509CE" w:rsidP="006509CE">
      <w:pPr>
        <w:spacing w:after="0" w:line="240" w:lineRule="auto"/>
        <w:rPr>
          <w:rFonts w:asciiTheme="majorHAnsi" w:hAnsiTheme="majorHAnsi" w:cs="Tahoma"/>
          <w:b/>
          <w:bCs/>
          <w:szCs w:val="26"/>
        </w:rPr>
      </w:pPr>
    </w:p>
    <w:p w:rsidR="006509CE" w:rsidRDefault="006509CE" w:rsidP="006509CE">
      <w:pPr>
        <w:spacing w:after="0" w:line="240" w:lineRule="auto"/>
        <w:rPr>
          <w:rFonts w:asciiTheme="majorHAnsi" w:hAnsiTheme="majorHAnsi" w:cs="Tahoma"/>
          <w:b/>
          <w:bCs/>
          <w:szCs w:val="26"/>
        </w:rPr>
      </w:pPr>
      <w:r>
        <w:rPr>
          <w:rFonts w:asciiTheme="majorHAnsi" w:hAnsiTheme="majorHAnsi" w:cs="Tahoma"/>
          <w:b/>
          <w:bCs/>
          <w:szCs w:val="26"/>
        </w:rPr>
        <w:t xml:space="preserve">Część nr 2. </w:t>
      </w:r>
      <w:r>
        <w:rPr>
          <w:rFonts w:asciiTheme="majorHAnsi" w:hAnsiTheme="majorHAnsi" w:cs="Tahoma"/>
          <w:b/>
          <w:bCs/>
          <w:szCs w:val="26"/>
        </w:rPr>
        <w:tab/>
        <w:t xml:space="preserve">Remont lokalu mieszkalnego z przeznaczeniem dla repatriantów </w:t>
      </w:r>
    </w:p>
    <w:p w:rsidR="006509CE" w:rsidRDefault="006509CE" w:rsidP="006509CE">
      <w:pPr>
        <w:spacing w:after="0" w:line="240" w:lineRule="auto"/>
        <w:ind w:left="708" w:firstLine="708"/>
        <w:rPr>
          <w:rFonts w:asciiTheme="majorHAnsi" w:hAnsiTheme="majorHAnsi" w:cs="Tahoma"/>
          <w:b/>
          <w:iCs/>
        </w:rPr>
      </w:pPr>
      <w:r>
        <w:rPr>
          <w:rFonts w:asciiTheme="majorHAnsi" w:hAnsiTheme="majorHAnsi" w:cs="Tahoma"/>
          <w:b/>
          <w:bCs/>
          <w:szCs w:val="26"/>
        </w:rPr>
        <w:t>przy ul. Strzelców Bytomskich 19/8 w Gliwicach</w:t>
      </w:r>
      <w:r w:rsidR="00E83332">
        <w:rPr>
          <w:rFonts w:asciiTheme="majorHAnsi" w:hAnsiTheme="majorHAnsi" w:cs="Tahoma"/>
          <w:b/>
          <w:bCs/>
          <w:szCs w:val="26"/>
        </w:rPr>
        <w:t xml:space="preserve"> </w:t>
      </w:r>
      <w:r w:rsidR="00E83332" w:rsidRPr="00E83332">
        <w:rPr>
          <w:rFonts w:asciiTheme="majorHAnsi" w:hAnsiTheme="majorHAnsi" w:cs="Tahoma"/>
          <w:bCs/>
          <w:szCs w:val="26"/>
        </w:rPr>
        <w:t>(*)</w:t>
      </w:r>
      <w:r>
        <w:rPr>
          <w:rFonts w:asciiTheme="majorHAnsi" w:hAnsiTheme="majorHAnsi" w:cs="Tahoma"/>
          <w:b/>
          <w:iCs/>
        </w:rPr>
        <w:t>,</w:t>
      </w:r>
    </w:p>
    <w:p w:rsidR="006509CE" w:rsidRDefault="006509CE" w:rsidP="006509CE">
      <w:pPr>
        <w:spacing w:after="0" w:line="240" w:lineRule="auto"/>
        <w:ind w:left="708" w:firstLine="708"/>
        <w:rPr>
          <w:rFonts w:asciiTheme="majorHAnsi" w:hAnsiTheme="majorHAnsi" w:cs="Tahoma"/>
          <w:b/>
          <w:iCs/>
        </w:rPr>
      </w:pPr>
    </w:p>
    <w:p w:rsidR="00803385" w:rsidRDefault="009C3EAE" w:rsidP="0080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05"/>
        </w:tabs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</w:p>
    <w:p w:rsidR="00FF37BB" w:rsidRDefault="002E7B67" w:rsidP="008033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05"/>
        </w:tabs>
        <w:spacing w:after="0" w:line="360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B8558D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770235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0F19E1" w:rsidRPr="0069030C" w:rsidRDefault="000F19E1" w:rsidP="00803385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:rsidR="00FF37BB" w:rsidRPr="00F853C3" w:rsidRDefault="00FF37BB" w:rsidP="00803385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C3EAE" w:rsidRDefault="009C3EAE" w:rsidP="009C3EAE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</w:p>
    <w:p w:rsidR="00FF37BB" w:rsidRPr="00F853C3" w:rsidRDefault="00E83332" w:rsidP="006B3E65">
      <w:pPr>
        <w:widowControl w:val="0"/>
        <w:spacing w:before="240" w:after="0" w:line="360" w:lineRule="auto"/>
        <w:jc w:val="both"/>
        <w:rPr>
          <w:rFonts w:ascii="Cambria" w:eastAsia="Times New Roman" w:hAnsi="Cambria" w:cs="Calibri"/>
          <w:lang w:eastAsia="pl-PL"/>
        </w:rPr>
      </w:pPr>
      <w:r>
        <w:rPr>
          <w:rFonts w:asciiTheme="majorHAnsi" w:hAnsiTheme="majorHAnsi" w:cs="Tahoma"/>
          <w:i/>
        </w:rPr>
        <w:t>(</w:t>
      </w:r>
      <w:r w:rsidRPr="003B33DD">
        <w:rPr>
          <w:rFonts w:asciiTheme="majorHAnsi" w:hAnsiTheme="majorHAnsi" w:cs="Tahoma"/>
          <w:i/>
        </w:rPr>
        <w:t>*</w:t>
      </w:r>
      <w:r>
        <w:rPr>
          <w:rFonts w:asciiTheme="majorHAnsi" w:hAnsiTheme="majorHAnsi" w:cs="Tahoma"/>
          <w:i/>
        </w:rPr>
        <w:t xml:space="preserve">) </w:t>
      </w:r>
      <w:r w:rsidRPr="003B33DD">
        <w:rPr>
          <w:rFonts w:asciiTheme="majorHAnsi" w:hAnsiTheme="majorHAnsi" w:cs="Tahoma"/>
          <w:i/>
        </w:rPr>
        <w:t>należy skreślić niewłaściwy wariant</w:t>
      </w:r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lastRenderedPageBreak/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1C6432" w:rsidRPr="00F853C3" w:rsidRDefault="001C6432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F853C3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  <w:bookmarkStart w:id="0" w:name="_GoBack"/>
      <w:bookmarkEnd w:id="0"/>
    </w:p>
    <w:sectPr w:rsidR="001C6432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25" w:rsidRDefault="00BA7425" w:rsidP="00686520">
      <w:pPr>
        <w:spacing w:after="0" w:line="240" w:lineRule="auto"/>
      </w:pPr>
      <w:r>
        <w:separator/>
      </w:r>
    </w:p>
    <w:p w:rsidR="00BA7425" w:rsidRDefault="00BA7425"/>
  </w:endnote>
  <w:endnote w:type="continuationSeparator" w:id="0">
    <w:p w:rsidR="00BA7425" w:rsidRDefault="00BA7425" w:rsidP="00686520">
      <w:pPr>
        <w:spacing w:after="0" w:line="240" w:lineRule="auto"/>
      </w:pPr>
      <w:r>
        <w:continuationSeparator/>
      </w:r>
    </w:p>
    <w:p w:rsidR="00BA7425" w:rsidRDefault="00BA74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3332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25" w:rsidRDefault="00BA7425" w:rsidP="00686520">
      <w:pPr>
        <w:spacing w:after="0" w:line="240" w:lineRule="auto"/>
      </w:pPr>
      <w:r>
        <w:separator/>
      </w:r>
    </w:p>
    <w:p w:rsidR="00BA7425" w:rsidRDefault="00BA7425"/>
  </w:footnote>
  <w:footnote w:type="continuationSeparator" w:id="0">
    <w:p w:rsidR="00BA7425" w:rsidRDefault="00BA7425" w:rsidP="00686520">
      <w:pPr>
        <w:spacing w:after="0" w:line="240" w:lineRule="auto"/>
      </w:pPr>
      <w:r>
        <w:continuationSeparator/>
      </w:r>
    </w:p>
    <w:p w:rsidR="00BA7425" w:rsidRDefault="00BA7425"/>
  </w:footnote>
  <w:footnote w:id="1">
    <w:p w:rsidR="00120243" w:rsidRPr="00E83332" w:rsidRDefault="00120243" w:rsidP="006D1F6A">
      <w:pPr>
        <w:pStyle w:val="Tekstprzypisudolnego"/>
        <w:rPr>
          <w:rFonts w:asciiTheme="majorHAnsi" w:hAnsiTheme="majorHAnsi"/>
          <w:i/>
          <w:sz w:val="22"/>
          <w:lang w:val="pl-PL"/>
        </w:rPr>
      </w:pPr>
      <w:r w:rsidRPr="00E83332">
        <w:rPr>
          <w:rStyle w:val="Odwoanieprzypisudolnego"/>
          <w:rFonts w:asciiTheme="majorHAnsi" w:hAnsiTheme="majorHAnsi"/>
          <w:i/>
          <w:sz w:val="22"/>
        </w:rPr>
        <w:footnoteRef/>
      </w:r>
      <w:r w:rsidRPr="00E83332">
        <w:rPr>
          <w:rFonts w:asciiTheme="majorHAnsi" w:hAnsiTheme="majorHAnsi"/>
          <w:i/>
          <w:sz w:val="22"/>
        </w:rPr>
        <w:t xml:space="preserve"> </w:t>
      </w:r>
      <w:r w:rsidRPr="00E83332">
        <w:rPr>
          <w:rFonts w:asciiTheme="majorHAnsi" w:hAnsiTheme="majorHAnsi" w:cs="Tahoma"/>
          <w:i/>
          <w:szCs w:val="18"/>
          <w:lang w:val="pl-PL"/>
        </w:rPr>
        <w:t xml:space="preserve">Należy </w:t>
      </w:r>
      <w:r w:rsidRPr="00E83332">
        <w:rPr>
          <w:rFonts w:asciiTheme="majorHAnsi" w:hAnsiTheme="majorHAnsi" w:cs="Tahoma"/>
          <w:i/>
          <w:szCs w:val="18"/>
        </w:rPr>
        <w:t xml:space="preserve">podać mającą zastosowanie podstawę wykluczenia spośród wymienionych w </w:t>
      </w:r>
      <w:r w:rsidR="009C3EAE" w:rsidRPr="00E83332">
        <w:rPr>
          <w:rFonts w:asciiTheme="majorHAnsi" w:hAnsiTheme="majorHAnsi" w:cs="Tahoma"/>
          <w:i/>
          <w:szCs w:val="18"/>
          <w:lang w:val="pl-PL"/>
        </w:rPr>
        <w:t xml:space="preserve">art. </w:t>
      </w:r>
      <w:r w:rsidR="009C3EAE" w:rsidRPr="00E83332">
        <w:rPr>
          <w:rFonts w:asciiTheme="majorHAnsi" w:hAnsiTheme="majorHAnsi" w:cs="Tahoma"/>
          <w:i/>
          <w:szCs w:val="18"/>
        </w:rPr>
        <w:t>108 ust. 1,</w:t>
      </w:r>
      <w:r w:rsidR="009C3EAE" w:rsidRPr="00E83332">
        <w:rPr>
          <w:rFonts w:asciiTheme="majorHAnsi" w:hAnsiTheme="majorHAnsi" w:cs="Tahoma"/>
          <w:i/>
          <w:szCs w:val="18"/>
          <w:lang w:val="pl-PL"/>
        </w:rPr>
        <w:t xml:space="preserve"> </w:t>
      </w:r>
      <w:r w:rsidRPr="00E83332">
        <w:rPr>
          <w:rFonts w:asciiTheme="majorHAnsi" w:hAnsiTheme="majorHAnsi" w:cs="Tahoma"/>
          <w:i/>
          <w:szCs w:val="18"/>
        </w:rPr>
        <w:t xml:space="preserve">lub art. 109 ust. 1 pkt </w:t>
      </w:r>
      <w:r w:rsidR="009C3EAE" w:rsidRPr="00E83332">
        <w:rPr>
          <w:rFonts w:asciiTheme="majorHAnsi" w:hAnsiTheme="majorHAnsi" w:cs="Tahoma"/>
          <w:i/>
          <w:szCs w:val="18"/>
          <w:lang w:val="pl-PL"/>
        </w:rPr>
        <w:t xml:space="preserve">5), 8), 9) i 10) </w:t>
      </w:r>
      <w:r w:rsidRPr="00E83332">
        <w:rPr>
          <w:rFonts w:asciiTheme="majorHAnsi" w:hAnsiTheme="majorHAnsi" w:cs="Tahoma"/>
          <w:i/>
          <w:szCs w:val="18"/>
        </w:rPr>
        <w:t xml:space="preserve">ustawy </w:t>
      </w:r>
      <w:proofErr w:type="spellStart"/>
      <w:r w:rsidRPr="00E83332">
        <w:rPr>
          <w:rFonts w:asciiTheme="majorHAnsi" w:hAnsiTheme="majorHAnsi" w:cs="Tahoma"/>
          <w:i/>
          <w:szCs w:val="18"/>
        </w:rPr>
        <w:t>Pzp</w:t>
      </w:r>
      <w:proofErr w:type="spellEnd"/>
      <w:r w:rsidRPr="00E83332">
        <w:rPr>
          <w:rFonts w:asciiTheme="majorHAnsi" w:hAnsiTheme="majorHAnsi" w:cs="Tahoma"/>
          <w:i/>
          <w:szCs w:val="18"/>
          <w:lang w:val="pl-PL"/>
        </w:rPr>
        <w:t>.</w:t>
      </w:r>
    </w:p>
  </w:footnote>
  <w:footnote w:id="2">
    <w:p w:rsidR="00120243" w:rsidRPr="00E83332" w:rsidRDefault="00120243" w:rsidP="006D1F6A">
      <w:pPr>
        <w:pStyle w:val="Tekstprzypisudolnego"/>
        <w:rPr>
          <w:rFonts w:asciiTheme="majorHAnsi" w:hAnsiTheme="majorHAnsi" w:cs="Tahoma"/>
          <w:szCs w:val="18"/>
          <w:lang w:val="pl-PL"/>
        </w:rPr>
      </w:pPr>
      <w:r w:rsidRPr="00E83332">
        <w:rPr>
          <w:rStyle w:val="Odwoanieprzypisudolnego"/>
          <w:rFonts w:asciiTheme="majorHAnsi" w:hAnsiTheme="majorHAnsi" w:cs="Tahoma"/>
          <w:i/>
          <w:szCs w:val="18"/>
        </w:rPr>
        <w:footnoteRef/>
      </w:r>
      <w:r w:rsidRPr="00E83332">
        <w:rPr>
          <w:rFonts w:asciiTheme="majorHAnsi" w:hAnsiTheme="majorHAnsi" w:cs="Tahoma"/>
          <w:i/>
          <w:szCs w:val="18"/>
        </w:rPr>
        <w:t xml:space="preserve"> </w:t>
      </w:r>
      <w:r w:rsidRPr="00E83332">
        <w:rPr>
          <w:rFonts w:asciiTheme="majorHAnsi" w:hAnsiTheme="majorHAnsi" w:cs="Tahoma"/>
          <w:i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09CE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3385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A7425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80F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83332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D53C-313E-499A-9F37-3CD561A5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zdanowicz</cp:lastModifiedBy>
  <cp:revision>14</cp:revision>
  <cp:lastPrinted>2021-07-09T05:26:00Z</cp:lastPrinted>
  <dcterms:created xsi:type="dcterms:W3CDTF">2021-03-19T11:10:00Z</dcterms:created>
  <dcterms:modified xsi:type="dcterms:W3CDTF">2021-07-15T10:01:00Z</dcterms:modified>
</cp:coreProperties>
</file>