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218D25" w14:textId="5EC48161" w:rsidR="00BA001E" w:rsidRPr="00EE2F6F" w:rsidRDefault="00BA001E" w:rsidP="00EE2F6F">
      <w:pPr>
        <w:tabs>
          <w:tab w:val="left" w:pos="1134"/>
        </w:tabs>
        <w:spacing w:after="0" w:line="276" w:lineRule="auto"/>
        <w:contextualSpacing/>
        <w:jc w:val="both"/>
        <w:rPr>
          <w:rFonts w:ascii="Arial" w:hAnsi="Arial" w:cs="Arial"/>
          <w:b/>
          <w:bCs/>
          <w:sz w:val="20"/>
          <w:szCs w:val="20"/>
        </w:rPr>
      </w:pPr>
      <w:bookmarkStart w:id="0" w:name="_Hlk187418052"/>
      <w:r w:rsidRPr="00EE2F6F">
        <w:rPr>
          <w:rFonts w:ascii="Arial" w:hAnsi="Arial" w:cs="Arial"/>
          <w:b/>
          <w:bCs/>
          <w:sz w:val="20"/>
          <w:szCs w:val="20"/>
        </w:rPr>
        <w:t xml:space="preserve">OPIS PRZEDMIOTU ZAMÓWIENIA: </w:t>
      </w:r>
    </w:p>
    <w:p w14:paraId="7F60D6BE" w14:textId="56AB4EAD" w:rsidR="00BA7002" w:rsidRPr="00EE2F6F" w:rsidRDefault="00BA001E" w:rsidP="00EE2F6F">
      <w:pPr>
        <w:tabs>
          <w:tab w:val="left" w:pos="1134"/>
        </w:tabs>
        <w:spacing w:after="0" w:line="276" w:lineRule="auto"/>
        <w:contextualSpacing/>
        <w:jc w:val="both"/>
        <w:rPr>
          <w:rFonts w:ascii="Arial" w:hAnsi="Arial" w:cs="Arial"/>
          <w:b/>
          <w:bCs/>
          <w:sz w:val="20"/>
          <w:szCs w:val="20"/>
        </w:rPr>
      </w:pPr>
      <w:r w:rsidRPr="00EE2F6F">
        <w:rPr>
          <w:rFonts w:ascii="Arial" w:hAnsi="Arial" w:cs="Arial"/>
          <w:b/>
          <w:bCs/>
          <w:sz w:val="20"/>
          <w:szCs w:val="20"/>
        </w:rPr>
        <w:t xml:space="preserve">Przedmiotem zamówienia jest dostawa, montaż i uruchomienie kompletnej infrastruktury </w:t>
      </w:r>
      <w:bookmarkStart w:id="1" w:name="_Hlk190179474"/>
      <w:r w:rsidRPr="00EE2F6F">
        <w:rPr>
          <w:rFonts w:ascii="Arial" w:hAnsi="Arial" w:cs="Arial"/>
          <w:b/>
          <w:bCs/>
          <w:sz w:val="20"/>
          <w:szCs w:val="20"/>
        </w:rPr>
        <w:t>ładowania autobusów elektrycznych</w:t>
      </w:r>
      <w:r w:rsidR="00713782" w:rsidRPr="00EE2F6F">
        <w:rPr>
          <w:rFonts w:ascii="Arial" w:hAnsi="Arial" w:cs="Arial"/>
          <w:b/>
          <w:bCs/>
          <w:sz w:val="20"/>
          <w:szCs w:val="20"/>
        </w:rPr>
        <w:t xml:space="preserve"> </w:t>
      </w:r>
      <w:bookmarkEnd w:id="1"/>
      <w:r w:rsidR="00713782" w:rsidRPr="00EE2F6F">
        <w:rPr>
          <w:rFonts w:ascii="Arial" w:hAnsi="Arial" w:cs="Arial"/>
          <w:b/>
          <w:bCs/>
          <w:sz w:val="20"/>
          <w:szCs w:val="20"/>
        </w:rPr>
        <w:t>wraz z systemem dynamicznego zarządzania ładowaniem pojazdów oraz systemem monitoringu stacji ładowania</w:t>
      </w:r>
      <w:r w:rsidRPr="00EE2F6F">
        <w:rPr>
          <w:rFonts w:ascii="Arial" w:hAnsi="Arial" w:cs="Arial"/>
          <w:b/>
          <w:bCs/>
          <w:sz w:val="20"/>
          <w:szCs w:val="20"/>
        </w:rPr>
        <w:t>.</w:t>
      </w:r>
    </w:p>
    <w:p w14:paraId="411B2205" w14:textId="77777777" w:rsidR="00BA7002" w:rsidRPr="00EE2F6F" w:rsidRDefault="00BA7002" w:rsidP="00EE2F6F">
      <w:pPr>
        <w:tabs>
          <w:tab w:val="left" w:pos="1134"/>
        </w:tabs>
        <w:spacing w:after="0" w:line="276" w:lineRule="auto"/>
        <w:contextualSpacing/>
        <w:jc w:val="both"/>
        <w:rPr>
          <w:rFonts w:ascii="Arial" w:hAnsi="Arial" w:cs="Arial"/>
          <w:sz w:val="20"/>
          <w:szCs w:val="20"/>
        </w:rPr>
      </w:pPr>
    </w:p>
    <w:p w14:paraId="6D6485E9" w14:textId="58CEB232" w:rsidR="00713782" w:rsidRPr="00EE2F6F" w:rsidRDefault="00BA7002" w:rsidP="00EE2F6F">
      <w:pPr>
        <w:pStyle w:val="Akapitzlist"/>
        <w:numPr>
          <w:ilvl w:val="1"/>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Dostarczon</w:t>
      </w:r>
      <w:r w:rsidR="00D27AF1" w:rsidRPr="00EE2F6F">
        <w:rPr>
          <w:rFonts w:ascii="Arial" w:hAnsi="Arial" w:cs="Arial"/>
          <w:sz w:val="20"/>
          <w:szCs w:val="20"/>
        </w:rPr>
        <w:t>a infrastruktura ładowania</w:t>
      </w:r>
      <w:r w:rsidRPr="00EE2F6F">
        <w:rPr>
          <w:rFonts w:ascii="Arial" w:hAnsi="Arial" w:cs="Arial"/>
          <w:sz w:val="20"/>
          <w:szCs w:val="20"/>
        </w:rPr>
        <w:t xml:space="preserve">  mus</w:t>
      </w:r>
      <w:r w:rsidR="00D27AF1" w:rsidRPr="00EE2F6F">
        <w:rPr>
          <w:rFonts w:ascii="Arial" w:hAnsi="Arial" w:cs="Arial"/>
          <w:sz w:val="20"/>
          <w:szCs w:val="20"/>
        </w:rPr>
        <w:t>i</w:t>
      </w:r>
      <w:r w:rsidRPr="00EE2F6F">
        <w:rPr>
          <w:rFonts w:ascii="Arial" w:hAnsi="Arial" w:cs="Arial"/>
          <w:sz w:val="20"/>
          <w:szCs w:val="20"/>
        </w:rPr>
        <w:t xml:space="preserve"> być w pełni kompatybil</w:t>
      </w:r>
      <w:r w:rsidR="00D27AF1" w:rsidRPr="00EE2F6F">
        <w:rPr>
          <w:rFonts w:ascii="Arial" w:hAnsi="Arial" w:cs="Arial"/>
          <w:sz w:val="20"/>
          <w:szCs w:val="20"/>
        </w:rPr>
        <w:t>na</w:t>
      </w:r>
      <w:r w:rsidRPr="00EE2F6F">
        <w:rPr>
          <w:rFonts w:ascii="Arial" w:hAnsi="Arial" w:cs="Arial"/>
          <w:sz w:val="20"/>
          <w:szCs w:val="20"/>
        </w:rPr>
        <w:t xml:space="preserve"> z </w:t>
      </w:r>
      <w:r w:rsidR="00D27AF1" w:rsidRPr="00EE2F6F">
        <w:rPr>
          <w:rFonts w:ascii="Arial" w:hAnsi="Arial" w:cs="Arial"/>
          <w:sz w:val="20"/>
          <w:szCs w:val="20"/>
        </w:rPr>
        <w:t>autobusami</w:t>
      </w:r>
      <w:r w:rsidR="004225CF" w:rsidRPr="00EE2F6F">
        <w:rPr>
          <w:rFonts w:ascii="Arial" w:hAnsi="Arial" w:cs="Arial"/>
          <w:sz w:val="20"/>
          <w:szCs w:val="20"/>
        </w:rPr>
        <w:t xml:space="preserve"> elektrycznymi, o parametrach określonych w OPZ odpowiednio dla Zadania </w:t>
      </w:r>
      <w:r w:rsidR="00E75839" w:rsidRPr="00EE2F6F">
        <w:rPr>
          <w:rFonts w:ascii="Arial" w:hAnsi="Arial" w:cs="Arial"/>
          <w:sz w:val="20"/>
          <w:szCs w:val="20"/>
        </w:rPr>
        <w:t>1 i 2</w:t>
      </w:r>
      <w:r w:rsidR="004225CF" w:rsidRPr="00EE2F6F">
        <w:rPr>
          <w:rFonts w:ascii="Arial" w:hAnsi="Arial" w:cs="Arial"/>
          <w:sz w:val="20"/>
          <w:szCs w:val="20"/>
        </w:rPr>
        <w:t xml:space="preserve">, </w:t>
      </w:r>
      <w:r w:rsidRPr="00EE2F6F">
        <w:rPr>
          <w:rFonts w:ascii="Arial" w:hAnsi="Arial" w:cs="Arial"/>
          <w:sz w:val="20"/>
          <w:szCs w:val="20"/>
        </w:rPr>
        <w:t xml:space="preserve"> zarówno pod względem komunikacji, </w:t>
      </w:r>
      <w:r w:rsidR="003E2E39" w:rsidRPr="00EE2F6F">
        <w:rPr>
          <w:rFonts w:ascii="Arial" w:hAnsi="Arial" w:cs="Arial"/>
          <w:sz w:val="20"/>
          <w:szCs w:val="20"/>
        </w:rPr>
        <w:t>oprogramowania i zastosowanych urządzeń..</w:t>
      </w:r>
      <w:r w:rsidRPr="00EE2F6F">
        <w:rPr>
          <w:rFonts w:ascii="Arial" w:hAnsi="Arial" w:cs="Arial"/>
          <w:sz w:val="20"/>
          <w:szCs w:val="20"/>
        </w:rPr>
        <w:t xml:space="preserve"> </w:t>
      </w:r>
      <w:r w:rsidR="003E2E39" w:rsidRPr="00EE2F6F">
        <w:rPr>
          <w:rFonts w:ascii="Arial" w:hAnsi="Arial" w:cs="Arial"/>
          <w:sz w:val="20"/>
          <w:szCs w:val="20"/>
        </w:rPr>
        <w:t xml:space="preserve">Musi </w:t>
      </w:r>
      <w:r w:rsidRPr="00EE2F6F">
        <w:rPr>
          <w:rFonts w:ascii="Arial" w:hAnsi="Arial" w:cs="Arial"/>
          <w:sz w:val="20"/>
          <w:szCs w:val="20"/>
        </w:rPr>
        <w:t xml:space="preserve">zapewniać możliwość realizacji ładowania pokładowych zasobników energii oraz realizacji usług dodatkowych opisanych poniżej wchodzących w skład systemu </w:t>
      </w:r>
      <w:r w:rsidR="00713782" w:rsidRPr="00EE2F6F">
        <w:rPr>
          <w:rFonts w:ascii="Arial" w:hAnsi="Arial" w:cs="Arial"/>
          <w:sz w:val="20"/>
          <w:szCs w:val="20"/>
        </w:rPr>
        <w:t xml:space="preserve"> dynamicznego </w:t>
      </w:r>
      <w:r w:rsidRPr="00EE2F6F">
        <w:rPr>
          <w:rFonts w:ascii="Arial" w:hAnsi="Arial" w:cs="Arial"/>
          <w:sz w:val="20"/>
          <w:szCs w:val="20"/>
        </w:rPr>
        <w:t>zarządzania ładowaniem pojazdów</w:t>
      </w:r>
      <w:r w:rsidR="00713782" w:rsidRPr="00EE2F6F">
        <w:rPr>
          <w:rFonts w:ascii="Arial" w:hAnsi="Arial" w:cs="Arial"/>
          <w:sz w:val="20"/>
          <w:szCs w:val="20"/>
        </w:rPr>
        <w:t xml:space="preserve"> i monitoringu </w:t>
      </w:r>
      <w:r w:rsidR="003E2E39" w:rsidRPr="00EE2F6F">
        <w:rPr>
          <w:rFonts w:ascii="Arial" w:hAnsi="Arial" w:cs="Arial"/>
          <w:sz w:val="20"/>
          <w:szCs w:val="20"/>
        </w:rPr>
        <w:t>stacji ładowania</w:t>
      </w:r>
      <w:r w:rsidRPr="00EE2F6F">
        <w:rPr>
          <w:rFonts w:ascii="Arial" w:hAnsi="Arial" w:cs="Arial"/>
          <w:sz w:val="20"/>
          <w:szCs w:val="20"/>
        </w:rPr>
        <w:t>.</w:t>
      </w:r>
    </w:p>
    <w:p w14:paraId="19E70999" w14:textId="77777777" w:rsidR="00405008" w:rsidRPr="00EE2F6F" w:rsidRDefault="00405008" w:rsidP="00EE2F6F">
      <w:pPr>
        <w:pStyle w:val="Akapitzlist"/>
        <w:tabs>
          <w:tab w:val="left" w:pos="1134"/>
        </w:tabs>
        <w:spacing w:after="0" w:line="276" w:lineRule="auto"/>
        <w:ind w:left="1440"/>
        <w:jc w:val="both"/>
        <w:rPr>
          <w:rFonts w:ascii="Arial" w:hAnsi="Arial" w:cs="Arial"/>
          <w:sz w:val="20"/>
          <w:szCs w:val="20"/>
        </w:rPr>
      </w:pPr>
    </w:p>
    <w:p w14:paraId="22E5F593" w14:textId="1C848060" w:rsidR="00405008" w:rsidRPr="00EE2F6F" w:rsidRDefault="00405008" w:rsidP="00EE2F6F">
      <w:pPr>
        <w:pStyle w:val="Akapitzlist"/>
        <w:numPr>
          <w:ilvl w:val="1"/>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 xml:space="preserve">Zamawiający wymaga by dostarczona infrastruktura ładowania wraz z systemem dynamicznego zarządzania ładowaniem współpracowała z pojazdami </w:t>
      </w:r>
      <w:r w:rsidR="00606AF5" w:rsidRPr="00EE2F6F">
        <w:rPr>
          <w:rFonts w:ascii="Arial" w:hAnsi="Arial" w:cs="Arial"/>
          <w:sz w:val="20"/>
          <w:szCs w:val="20"/>
        </w:rPr>
        <w:t>, o których mowa w pkt 1,</w:t>
      </w:r>
      <w:r w:rsidR="00BE72B8" w:rsidRPr="00EE2F6F">
        <w:rPr>
          <w:rFonts w:ascii="Arial" w:hAnsi="Arial" w:cs="Arial"/>
          <w:sz w:val="20"/>
          <w:szCs w:val="20"/>
        </w:rPr>
        <w:t xml:space="preserve"> </w:t>
      </w:r>
      <w:r w:rsidRPr="00EE2F6F">
        <w:rPr>
          <w:rFonts w:ascii="Arial" w:hAnsi="Arial" w:cs="Arial"/>
          <w:sz w:val="20"/>
          <w:szCs w:val="20"/>
        </w:rPr>
        <w:t>w pełnym zakresie przedstawionych funkcjonalności niezależnie od producenta i marki pojazdu.</w:t>
      </w:r>
    </w:p>
    <w:p w14:paraId="25E020D6" w14:textId="77777777" w:rsidR="00405008" w:rsidRPr="00EE2F6F" w:rsidRDefault="00405008" w:rsidP="00EE2F6F">
      <w:pPr>
        <w:pStyle w:val="Akapitzlist"/>
        <w:spacing w:after="0" w:line="276" w:lineRule="auto"/>
        <w:jc w:val="both"/>
        <w:rPr>
          <w:rFonts w:ascii="Arial" w:hAnsi="Arial" w:cs="Arial"/>
          <w:sz w:val="20"/>
          <w:szCs w:val="20"/>
        </w:rPr>
      </w:pPr>
    </w:p>
    <w:p w14:paraId="363B8EC0" w14:textId="7B54081A" w:rsidR="00405008" w:rsidRPr="00EE2F6F" w:rsidRDefault="00405008" w:rsidP="00EE2F6F">
      <w:pPr>
        <w:pStyle w:val="Akapitzlist"/>
        <w:numPr>
          <w:ilvl w:val="1"/>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 xml:space="preserve">Zamawiający wymaga by Wykonawca w razie konieczności przeprowadził i wdrożył do funkcjonowania w pełnej sprawności opisane funkcjonalności infrastruktury ładowania i systemu dynamicznego zarządzania ładowaniem pojazdów oraz systemu monitoringu stacji ładowania. </w:t>
      </w:r>
    </w:p>
    <w:p w14:paraId="4BFC38A2" w14:textId="4BBD8293" w:rsidR="000430AE" w:rsidRPr="00EE2F6F" w:rsidRDefault="000430AE" w:rsidP="00EE2F6F">
      <w:pPr>
        <w:tabs>
          <w:tab w:val="left" w:pos="1134"/>
        </w:tabs>
        <w:spacing w:after="0" w:line="276" w:lineRule="auto"/>
        <w:contextualSpacing/>
        <w:jc w:val="both"/>
        <w:rPr>
          <w:rFonts w:ascii="Arial" w:hAnsi="Arial" w:cs="Arial"/>
          <w:sz w:val="20"/>
          <w:szCs w:val="20"/>
        </w:rPr>
      </w:pPr>
    </w:p>
    <w:p w14:paraId="6BB4B314" w14:textId="77777777" w:rsidR="00D27AF1" w:rsidRPr="00EE2F6F" w:rsidRDefault="00D27AF1" w:rsidP="00EE2F6F">
      <w:pPr>
        <w:pStyle w:val="Akapitzlist"/>
        <w:tabs>
          <w:tab w:val="left" w:pos="1134"/>
        </w:tabs>
        <w:spacing w:after="0" w:line="276" w:lineRule="auto"/>
        <w:ind w:left="1440"/>
        <w:jc w:val="both"/>
        <w:rPr>
          <w:rFonts w:ascii="Arial" w:hAnsi="Arial" w:cs="Arial"/>
          <w:sz w:val="20"/>
          <w:szCs w:val="20"/>
        </w:rPr>
      </w:pPr>
    </w:p>
    <w:p w14:paraId="64FE1935" w14:textId="77777777" w:rsidR="00796260" w:rsidRPr="00EE2F6F" w:rsidRDefault="00D27AF1" w:rsidP="00EE2F6F">
      <w:pPr>
        <w:pStyle w:val="Akapitzlist"/>
        <w:numPr>
          <w:ilvl w:val="1"/>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Zamawiający wymaga dostarczenia</w:t>
      </w:r>
      <w:r w:rsidR="00796260" w:rsidRPr="00EE2F6F">
        <w:rPr>
          <w:rFonts w:ascii="Arial" w:hAnsi="Arial" w:cs="Arial"/>
          <w:sz w:val="20"/>
          <w:szCs w:val="20"/>
        </w:rPr>
        <w:t>:</w:t>
      </w:r>
    </w:p>
    <w:p w14:paraId="5DE596EC" w14:textId="21B3E801" w:rsidR="00796260" w:rsidRPr="00EE2F6F" w:rsidRDefault="00D27AF1" w:rsidP="00EE2F6F">
      <w:pPr>
        <w:pStyle w:val="Akapitzlist"/>
        <w:numPr>
          <w:ilvl w:val="0"/>
          <w:numId w:val="24"/>
        </w:numPr>
        <w:tabs>
          <w:tab w:val="left" w:pos="1134"/>
        </w:tabs>
        <w:spacing w:after="0" w:line="276" w:lineRule="auto"/>
        <w:jc w:val="both"/>
        <w:rPr>
          <w:rFonts w:ascii="Arial" w:hAnsi="Arial" w:cs="Arial"/>
          <w:sz w:val="20"/>
          <w:szCs w:val="20"/>
        </w:rPr>
      </w:pPr>
      <w:r w:rsidRPr="00EE2F6F">
        <w:rPr>
          <w:rFonts w:ascii="Arial" w:hAnsi="Arial" w:cs="Arial"/>
          <w:sz w:val="20"/>
          <w:szCs w:val="20"/>
        </w:rPr>
        <w:t xml:space="preserve">systemu </w:t>
      </w:r>
      <w:r w:rsidR="005877EF" w:rsidRPr="00EE2F6F">
        <w:rPr>
          <w:rFonts w:ascii="Arial" w:hAnsi="Arial" w:cs="Arial"/>
          <w:sz w:val="20"/>
          <w:szCs w:val="20"/>
        </w:rPr>
        <w:t>dynamicznego zarządzania ładowanie</w:t>
      </w:r>
      <w:r w:rsidR="00723364" w:rsidRPr="00EE2F6F">
        <w:rPr>
          <w:rFonts w:ascii="Arial" w:hAnsi="Arial" w:cs="Arial"/>
          <w:sz w:val="20"/>
          <w:szCs w:val="20"/>
        </w:rPr>
        <w:t>m</w:t>
      </w:r>
      <w:r w:rsidRPr="00EE2F6F">
        <w:rPr>
          <w:rFonts w:ascii="Arial" w:hAnsi="Arial" w:cs="Arial"/>
          <w:sz w:val="20"/>
          <w:szCs w:val="20"/>
        </w:rPr>
        <w:t xml:space="preserve"> służącego w szczególności do zdalnego zarządzania procesem ładowania również w oparciu o </w:t>
      </w:r>
      <w:proofErr w:type="spellStart"/>
      <w:r w:rsidR="00BE72B8" w:rsidRPr="00EE2F6F">
        <w:rPr>
          <w:rFonts w:ascii="Arial" w:hAnsi="Arial" w:cs="Arial"/>
          <w:sz w:val="20"/>
          <w:szCs w:val="20"/>
        </w:rPr>
        <w:t>priorytetyzację</w:t>
      </w:r>
      <w:proofErr w:type="spellEnd"/>
      <w:r w:rsidR="00BE72B8" w:rsidRPr="00EE2F6F">
        <w:rPr>
          <w:rFonts w:ascii="Arial" w:hAnsi="Arial" w:cs="Arial"/>
          <w:sz w:val="20"/>
          <w:szCs w:val="20"/>
        </w:rPr>
        <w:t xml:space="preserve"> </w:t>
      </w:r>
      <w:r w:rsidRPr="00EE2F6F">
        <w:rPr>
          <w:rFonts w:ascii="Arial" w:hAnsi="Arial" w:cs="Arial"/>
          <w:sz w:val="20"/>
          <w:szCs w:val="20"/>
        </w:rPr>
        <w:t>i założony rozkład jazdy dla pojazdów określonych indywidualnymi numerami identyfikacyjnymi</w:t>
      </w:r>
      <w:r w:rsidR="00723364" w:rsidRPr="00EE2F6F">
        <w:rPr>
          <w:rFonts w:ascii="Arial" w:hAnsi="Arial" w:cs="Arial"/>
          <w:sz w:val="20"/>
          <w:szCs w:val="20"/>
        </w:rPr>
        <w:t xml:space="preserve"> oraz </w:t>
      </w:r>
    </w:p>
    <w:p w14:paraId="3B12D70F" w14:textId="0DD845CF" w:rsidR="00796260" w:rsidRPr="00EE2F6F" w:rsidRDefault="00723364" w:rsidP="00EE2F6F">
      <w:pPr>
        <w:pStyle w:val="Akapitzlist"/>
        <w:numPr>
          <w:ilvl w:val="0"/>
          <w:numId w:val="24"/>
        </w:numPr>
        <w:tabs>
          <w:tab w:val="left" w:pos="1134"/>
        </w:tabs>
        <w:spacing w:after="0" w:line="276" w:lineRule="auto"/>
        <w:jc w:val="both"/>
        <w:rPr>
          <w:rFonts w:ascii="Arial" w:hAnsi="Arial" w:cs="Arial"/>
          <w:sz w:val="20"/>
          <w:szCs w:val="20"/>
        </w:rPr>
      </w:pPr>
      <w:r w:rsidRPr="00EE2F6F">
        <w:rPr>
          <w:rFonts w:ascii="Arial" w:hAnsi="Arial" w:cs="Arial"/>
          <w:sz w:val="20"/>
          <w:szCs w:val="20"/>
        </w:rPr>
        <w:t>systemu monitoringu stacji ładowania służącego w szczególności do</w:t>
      </w:r>
      <w:r w:rsidR="00D27AF1" w:rsidRPr="00EE2F6F">
        <w:rPr>
          <w:rFonts w:ascii="Arial" w:hAnsi="Arial" w:cs="Arial"/>
          <w:sz w:val="20"/>
          <w:szCs w:val="20"/>
        </w:rPr>
        <w:t xml:space="preserve"> monitorowania, nadzorowania, zbierania danych online, aktualizacji, diagnozowania i zdalnego serwisowania dla </w:t>
      </w:r>
      <w:r w:rsidR="008E1322" w:rsidRPr="00EE2F6F">
        <w:rPr>
          <w:rFonts w:ascii="Arial" w:hAnsi="Arial" w:cs="Arial"/>
          <w:sz w:val="20"/>
          <w:szCs w:val="20"/>
        </w:rPr>
        <w:t>urządzeń</w:t>
      </w:r>
      <w:r w:rsidR="00D27AF1" w:rsidRPr="00EE2F6F">
        <w:rPr>
          <w:rFonts w:ascii="Arial" w:hAnsi="Arial" w:cs="Arial"/>
          <w:sz w:val="20"/>
          <w:szCs w:val="20"/>
        </w:rPr>
        <w:t xml:space="preserve">, </w:t>
      </w:r>
    </w:p>
    <w:p w14:paraId="73171BEF" w14:textId="1D213E21" w:rsidR="00D27AF1" w:rsidRPr="00EE2F6F" w:rsidRDefault="00796260" w:rsidP="00EE2F6F">
      <w:pPr>
        <w:pStyle w:val="Akapitzlist"/>
        <w:tabs>
          <w:tab w:val="left" w:pos="1134"/>
        </w:tabs>
        <w:spacing w:after="0" w:line="276" w:lineRule="auto"/>
        <w:ind w:left="1800"/>
        <w:jc w:val="both"/>
        <w:rPr>
          <w:rFonts w:ascii="Arial" w:hAnsi="Arial" w:cs="Arial"/>
          <w:sz w:val="20"/>
          <w:szCs w:val="20"/>
        </w:rPr>
      </w:pPr>
      <w:r w:rsidRPr="00EE2F6F">
        <w:rPr>
          <w:rFonts w:ascii="Arial" w:hAnsi="Arial" w:cs="Arial"/>
          <w:sz w:val="20"/>
          <w:szCs w:val="20"/>
        </w:rPr>
        <w:t xml:space="preserve">- </w:t>
      </w:r>
      <w:r w:rsidR="00BE72B8" w:rsidRPr="00EE2F6F">
        <w:rPr>
          <w:rFonts w:ascii="Arial" w:hAnsi="Arial" w:cs="Arial"/>
          <w:sz w:val="20"/>
          <w:szCs w:val="20"/>
        </w:rPr>
        <w:t xml:space="preserve">zwane </w:t>
      </w:r>
      <w:r w:rsidR="00D27AF1" w:rsidRPr="00EE2F6F">
        <w:rPr>
          <w:rFonts w:ascii="Arial" w:hAnsi="Arial" w:cs="Arial"/>
          <w:sz w:val="20"/>
          <w:szCs w:val="20"/>
        </w:rPr>
        <w:t xml:space="preserve">dalej </w:t>
      </w:r>
      <w:r w:rsidR="00BE72B8" w:rsidRPr="00EE2F6F">
        <w:rPr>
          <w:rFonts w:ascii="Arial" w:hAnsi="Arial" w:cs="Arial"/>
          <w:sz w:val="20"/>
          <w:szCs w:val="20"/>
        </w:rPr>
        <w:t>łącznie s</w:t>
      </w:r>
      <w:r w:rsidR="00D27AF1" w:rsidRPr="00EE2F6F">
        <w:rPr>
          <w:rFonts w:ascii="Arial" w:hAnsi="Arial" w:cs="Arial"/>
          <w:sz w:val="20"/>
          <w:szCs w:val="20"/>
        </w:rPr>
        <w:t>ystem</w:t>
      </w:r>
      <w:r w:rsidR="00BE72B8" w:rsidRPr="00EE2F6F">
        <w:rPr>
          <w:rFonts w:ascii="Arial" w:hAnsi="Arial" w:cs="Arial"/>
          <w:sz w:val="20"/>
          <w:szCs w:val="20"/>
        </w:rPr>
        <w:t>ami</w:t>
      </w:r>
      <w:r w:rsidR="00D27AF1" w:rsidRPr="00EE2F6F">
        <w:rPr>
          <w:rFonts w:ascii="Arial" w:hAnsi="Arial" w:cs="Arial"/>
          <w:sz w:val="20"/>
          <w:szCs w:val="20"/>
        </w:rPr>
        <w:t xml:space="preserve">. </w:t>
      </w:r>
    </w:p>
    <w:p w14:paraId="35CD1ABB" w14:textId="77777777" w:rsidR="00AA7CD0" w:rsidRPr="00EE2F6F" w:rsidRDefault="00AA7CD0" w:rsidP="00EE2F6F">
      <w:pPr>
        <w:pStyle w:val="Akapitzlist"/>
        <w:tabs>
          <w:tab w:val="left" w:pos="1134"/>
        </w:tabs>
        <w:spacing w:after="0" w:line="276" w:lineRule="auto"/>
        <w:ind w:left="1440"/>
        <w:jc w:val="both"/>
        <w:rPr>
          <w:rFonts w:ascii="Arial" w:hAnsi="Arial" w:cs="Arial"/>
          <w:sz w:val="20"/>
          <w:szCs w:val="20"/>
        </w:rPr>
      </w:pPr>
    </w:p>
    <w:p w14:paraId="68690446" w14:textId="51085061" w:rsidR="00AA7CD0" w:rsidRPr="00EE2F6F" w:rsidRDefault="00AA7CD0" w:rsidP="00EE2F6F">
      <w:pPr>
        <w:pStyle w:val="Akapitzlist"/>
        <w:numPr>
          <w:ilvl w:val="1"/>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Zamawiający dopuszcza,</w:t>
      </w:r>
      <w:r w:rsidR="00796260" w:rsidRPr="00EE2F6F">
        <w:rPr>
          <w:rFonts w:ascii="Arial" w:hAnsi="Arial" w:cs="Arial"/>
          <w:sz w:val="20"/>
          <w:szCs w:val="20"/>
        </w:rPr>
        <w:t xml:space="preserve"> </w:t>
      </w:r>
      <w:r w:rsidRPr="00EE2F6F">
        <w:rPr>
          <w:rFonts w:ascii="Arial" w:hAnsi="Arial" w:cs="Arial"/>
          <w:sz w:val="20"/>
          <w:szCs w:val="20"/>
        </w:rPr>
        <w:t>iż dostawca infrastruktury ładowania</w:t>
      </w:r>
      <w:r w:rsidR="00C50908" w:rsidRPr="00EE2F6F">
        <w:rPr>
          <w:rFonts w:ascii="Arial" w:hAnsi="Arial" w:cs="Arial"/>
          <w:sz w:val="20"/>
          <w:szCs w:val="20"/>
        </w:rPr>
        <w:t xml:space="preserve"> nie jest jednocześnie producentem </w:t>
      </w:r>
      <w:r w:rsidRPr="00EE2F6F">
        <w:rPr>
          <w:rFonts w:ascii="Arial" w:hAnsi="Arial" w:cs="Arial"/>
          <w:sz w:val="20"/>
          <w:szCs w:val="20"/>
        </w:rPr>
        <w:t xml:space="preserve">oprogramowania </w:t>
      </w:r>
      <w:r w:rsidR="005B4173" w:rsidRPr="00EE2F6F">
        <w:rPr>
          <w:rFonts w:ascii="Arial" w:hAnsi="Arial" w:cs="Arial"/>
          <w:sz w:val="20"/>
          <w:szCs w:val="20"/>
        </w:rPr>
        <w:t>systemów</w:t>
      </w:r>
      <w:r w:rsidR="00C50908" w:rsidRPr="00EE2F6F">
        <w:rPr>
          <w:rFonts w:ascii="Arial" w:hAnsi="Arial" w:cs="Arial"/>
          <w:sz w:val="20"/>
          <w:szCs w:val="20"/>
        </w:rPr>
        <w:t xml:space="preserve"> i korzysta z rozwiązań dostępnych na rynku.</w:t>
      </w:r>
    </w:p>
    <w:p w14:paraId="7A67AC5A" w14:textId="77777777" w:rsidR="00BA7002" w:rsidRPr="00EE2F6F" w:rsidRDefault="00BA7002" w:rsidP="00EE2F6F">
      <w:pPr>
        <w:tabs>
          <w:tab w:val="left" w:pos="1134"/>
        </w:tabs>
        <w:spacing w:after="0" w:line="276" w:lineRule="auto"/>
        <w:contextualSpacing/>
        <w:jc w:val="both"/>
        <w:rPr>
          <w:rFonts w:ascii="Arial" w:hAnsi="Arial" w:cs="Arial"/>
          <w:sz w:val="20"/>
          <w:szCs w:val="20"/>
        </w:rPr>
      </w:pPr>
    </w:p>
    <w:p w14:paraId="764BF659" w14:textId="77777777" w:rsidR="00BA7002" w:rsidRPr="00EE2F6F" w:rsidRDefault="00BA7002" w:rsidP="00EE2F6F">
      <w:pPr>
        <w:pStyle w:val="Akapitzlist"/>
        <w:numPr>
          <w:ilvl w:val="1"/>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W skład systemu wchodzi:</w:t>
      </w:r>
    </w:p>
    <w:p w14:paraId="5B36A5B2" w14:textId="77777777" w:rsidR="00BA7002" w:rsidRPr="00EE2F6F" w:rsidRDefault="00BA7002" w:rsidP="00EE2F6F">
      <w:pPr>
        <w:pStyle w:val="Akapitzlist"/>
        <w:numPr>
          <w:ilvl w:val="0"/>
          <w:numId w:val="2"/>
        </w:numPr>
        <w:tabs>
          <w:tab w:val="left" w:pos="1134"/>
        </w:tabs>
        <w:spacing w:after="0" w:line="276" w:lineRule="auto"/>
        <w:jc w:val="both"/>
        <w:rPr>
          <w:rFonts w:ascii="Arial" w:hAnsi="Arial" w:cs="Arial"/>
          <w:sz w:val="20"/>
          <w:szCs w:val="20"/>
        </w:rPr>
      </w:pPr>
      <w:r w:rsidRPr="00EE2F6F">
        <w:rPr>
          <w:rFonts w:ascii="Arial" w:hAnsi="Arial" w:cs="Arial"/>
          <w:sz w:val="20"/>
          <w:szCs w:val="20"/>
        </w:rPr>
        <w:t>Pierwsza lokalizacja – 10 punktów ładowania;</w:t>
      </w:r>
    </w:p>
    <w:p w14:paraId="5A7F971F" w14:textId="77777777" w:rsidR="00BA7002" w:rsidRPr="00EE2F6F" w:rsidRDefault="00BA7002" w:rsidP="00EE2F6F">
      <w:pPr>
        <w:pStyle w:val="Akapitzlist"/>
        <w:numPr>
          <w:ilvl w:val="0"/>
          <w:numId w:val="2"/>
        </w:numPr>
        <w:tabs>
          <w:tab w:val="left" w:pos="1134"/>
        </w:tabs>
        <w:spacing w:after="0" w:line="276" w:lineRule="auto"/>
        <w:jc w:val="both"/>
        <w:rPr>
          <w:rFonts w:ascii="Arial" w:hAnsi="Arial" w:cs="Arial"/>
          <w:sz w:val="20"/>
          <w:szCs w:val="20"/>
        </w:rPr>
      </w:pPr>
      <w:r w:rsidRPr="00EE2F6F">
        <w:rPr>
          <w:rFonts w:ascii="Arial" w:hAnsi="Arial" w:cs="Arial"/>
          <w:sz w:val="20"/>
          <w:szCs w:val="20"/>
        </w:rPr>
        <w:t>Druga lokalizacja – 6 punktów ładowania;</w:t>
      </w:r>
    </w:p>
    <w:p w14:paraId="6BD56AF5" w14:textId="77777777" w:rsidR="00BA7002" w:rsidRPr="00EE2F6F" w:rsidRDefault="00BA7002" w:rsidP="00EE2F6F">
      <w:pPr>
        <w:pStyle w:val="Akapitzlist"/>
        <w:numPr>
          <w:ilvl w:val="0"/>
          <w:numId w:val="2"/>
        </w:numPr>
        <w:tabs>
          <w:tab w:val="left" w:pos="1134"/>
        </w:tabs>
        <w:spacing w:after="0" w:line="276" w:lineRule="auto"/>
        <w:jc w:val="both"/>
        <w:rPr>
          <w:rFonts w:ascii="Arial" w:hAnsi="Arial" w:cs="Arial"/>
          <w:sz w:val="20"/>
          <w:szCs w:val="20"/>
        </w:rPr>
      </w:pPr>
      <w:r w:rsidRPr="00EE2F6F">
        <w:rPr>
          <w:rFonts w:ascii="Arial" w:hAnsi="Arial" w:cs="Arial"/>
          <w:sz w:val="20"/>
          <w:szCs w:val="20"/>
        </w:rPr>
        <w:t>Trzecia lokalizacja – 2 punkty ładowania.</w:t>
      </w:r>
    </w:p>
    <w:p w14:paraId="1042B619" w14:textId="77777777" w:rsidR="00C459CD" w:rsidRPr="00EE2F6F" w:rsidRDefault="00C459CD" w:rsidP="00EE2F6F">
      <w:pPr>
        <w:pStyle w:val="Akapitzlist"/>
        <w:tabs>
          <w:tab w:val="left" w:pos="1134"/>
        </w:tabs>
        <w:spacing w:after="0" w:line="276" w:lineRule="auto"/>
        <w:ind w:left="2160"/>
        <w:jc w:val="both"/>
        <w:rPr>
          <w:rFonts w:ascii="Arial" w:hAnsi="Arial" w:cs="Arial"/>
          <w:sz w:val="20"/>
          <w:szCs w:val="20"/>
        </w:rPr>
      </w:pPr>
    </w:p>
    <w:p w14:paraId="6811E67D" w14:textId="77777777" w:rsidR="008127BD" w:rsidRPr="00EE2F6F" w:rsidRDefault="008127BD" w:rsidP="00EE2F6F">
      <w:pPr>
        <w:pStyle w:val="Akapitzlist"/>
        <w:numPr>
          <w:ilvl w:val="1"/>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Pierwsza lokalizacja – infrastruktura ładowania autobusów oparta na strukturze jednostek mocy (power unit) oraz satelitach.</w:t>
      </w:r>
    </w:p>
    <w:p w14:paraId="2EF33B1F" w14:textId="77777777" w:rsidR="008127BD" w:rsidRPr="00EE2F6F" w:rsidRDefault="008127BD" w:rsidP="00EE2F6F">
      <w:pPr>
        <w:pStyle w:val="Akapitzlist"/>
        <w:tabs>
          <w:tab w:val="left" w:pos="1134"/>
        </w:tabs>
        <w:spacing w:after="0" w:line="276" w:lineRule="auto"/>
        <w:ind w:left="1440"/>
        <w:jc w:val="both"/>
        <w:rPr>
          <w:rFonts w:ascii="Arial" w:hAnsi="Arial" w:cs="Arial"/>
          <w:sz w:val="20"/>
          <w:szCs w:val="20"/>
        </w:rPr>
      </w:pPr>
    </w:p>
    <w:p w14:paraId="7911147E" w14:textId="48928B90" w:rsidR="008127BD" w:rsidRPr="001C4832" w:rsidRDefault="008127BD" w:rsidP="00EE2F6F">
      <w:pPr>
        <w:pStyle w:val="Akapitzlist"/>
        <w:numPr>
          <w:ilvl w:val="1"/>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Druga lokalizacja –</w:t>
      </w:r>
      <w:r w:rsidR="008A3516" w:rsidRPr="00EE2F6F">
        <w:rPr>
          <w:rFonts w:ascii="Arial" w:hAnsi="Arial" w:cs="Arial"/>
          <w:sz w:val="20"/>
          <w:szCs w:val="20"/>
        </w:rPr>
        <w:t>infrastruktura ładowania autobusów opart</w:t>
      </w:r>
      <w:r w:rsidR="009306D6" w:rsidRPr="00EE2F6F">
        <w:rPr>
          <w:rFonts w:ascii="Arial" w:hAnsi="Arial" w:cs="Arial"/>
          <w:sz w:val="20"/>
          <w:szCs w:val="20"/>
        </w:rPr>
        <w:t>a</w:t>
      </w:r>
      <w:r w:rsidR="008A3516" w:rsidRPr="00EE2F6F">
        <w:rPr>
          <w:rFonts w:ascii="Arial" w:hAnsi="Arial" w:cs="Arial"/>
          <w:sz w:val="20"/>
          <w:szCs w:val="20"/>
        </w:rPr>
        <w:t xml:space="preserve"> na strukturze </w:t>
      </w:r>
      <w:r w:rsidR="00865386" w:rsidRPr="001C4832">
        <w:rPr>
          <w:rFonts w:ascii="Arial" w:hAnsi="Arial" w:cs="Arial"/>
          <w:sz w:val="20"/>
          <w:szCs w:val="20"/>
        </w:rPr>
        <w:t>jednostki/ek mocy (power unit) oraz satelitach.</w:t>
      </w:r>
    </w:p>
    <w:p w14:paraId="0789C911" w14:textId="77777777" w:rsidR="008127BD" w:rsidRPr="001C4832" w:rsidRDefault="008127BD" w:rsidP="00EE2F6F">
      <w:pPr>
        <w:pStyle w:val="Akapitzlist"/>
        <w:spacing w:after="0" w:line="276" w:lineRule="auto"/>
        <w:jc w:val="both"/>
        <w:rPr>
          <w:rFonts w:ascii="Arial" w:hAnsi="Arial" w:cs="Arial"/>
          <w:sz w:val="20"/>
          <w:szCs w:val="20"/>
        </w:rPr>
      </w:pPr>
    </w:p>
    <w:p w14:paraId="459E1CAF" w14:textId="079651AB" w:rsidR="00AA7CD0" w:rsidRPr="001C4832" w:rsidRDefault="008127BD" w:rsidP="00EE2F6F">
      <w:pPr>
        <w:pStyle w:val="Akapitzlist"/>
        <w:numPr>
          <w:ilvl w:val="1"/>
          <w:numId w:val="1"/>
        </w:numPr>
        <w:tabs>
          <w:tab w:val="left" w:pos="1134"/>
        </w:tabs>
        <w:spacing w:after="0" w:line="276" w:lineRule="auto"/>
        <w:jc w:val="both"/>
        <w:rPr>
          <w:rFonts w:ascii="Arial" w:hAnsi="Arial" w:cs="Arial"/>
          <w:strike/>
          <w:sz w:val="20"/>
          <w:szCs w:val="20"/>
        </w:rPr>
      </w:pPr>
      <w:r w:rsidRPr="001C4832">
        <w:rPr>
          <w:rFonts w:ascii="Arial" w:hAnsi="Arial" w:cs="Arial"/>
          <w:sz w:val="20"/>
          <w:szCs w:val="20"/>
        </w:rPr>
        <w:t xml:space="preserve">Trzecia lokalizacja – </w:t>
      </w:r>
      <w:bookmarkStart w:id="2" w:name="_Hlk188435186"/>
      <w:r w:rsidR="00865386" w:rsidRPr="001C4832">
        <w:rPr>
          <w:rFonts w:ascii="Arial" w:hAnsi="Arial" w:cs="Arial"/>
          <w:sz w:val="20"/>
          <w:szCs w:val="20"/>
        </w:rPr>
        <w:t>infrastruktura ładowania autobusów oparta na strukturze stacjonarn</w:t>
      </w:r>
      <w:r w:rsidR="004E76CA" w:rsidRPr="001C4832">
        <w:rPr>
          <w:rFonts w:ascii="Arial" w:hAnsi="Arial" w:cs="Arial"/>
          <w:sz w:val="20"/>
          <w:szCs w:val="20"/>
        </w:rPr>
        <w:t>ej</w:t>
      </w:r>
      <w:r w:rsidR="00865386" w:rsidRPr="001C4832">
        <w:rPr>
          <w:rFonts w:ascii="Arial" w:hAnsi="Arial" w:cs="Arial"/>
          <w:sz w:val="20"/>
          <w:szCs w:val="20"/>
        </w:rPr>
        <w:t xml:space="preserve"> ładowar</w:t>
      </w:r>
      <w:r w:rsidR="004E76CA" w:rsidRPr="001C4832">
        <w:rPr>
          <w:rFonts w:ascii="Arial" w:hAnsi="Arial" w:cs="Arial"/>
          <w:sz w:val="20"/>
          <w:szCs w:val="20"/>
        </w:rPr>
        <w:t>ki</w:t>
      </w:r>
      <w:r w:rsidR="00865386" w:rsidRPr="001C4832">
        <w:rPr>
          <w:rFonts w:ascii="Arial" w:hAnsi="Arial" w:cs="Arial"/>
          <w:sz w:val="20"/>
          <w:szCs w:val="20"/>
        </w:rPr>
        <w:t xml:space="preserve"> dwustanowiskow</w:t>
      </w:r>
      <w:r w:rsidR="004E76CA" w:rsidRPr="001C4832">
        <w:rPr>
          <w:rFonts w:ascii="Arial" w:hAnsi="Arial" w:cs="Arial"/>
          <w:sz w:val="20"/>
          <w:szCs w:val="20"/>
        </w:rPr>
        <w:t>ej</w:t>
      </w:r>
      <w:r w:rsidR="00865386" w:rsidRPr="001C4832">
        <w:rPr>
          <w:rFonts w:ascii="Arial" w:hAnsi="Arial" w:cs="Arial"/>
          <w:sz w:val="20"/>
          <w:szCs w:val="20"/>
        </w:rPr>
        <w:t xml:space="preserve"> o mocy minimum </w:t>
      </w:r>
      <w:r w:rsidR="00841A9A" w:rsidRPr="001C4832">
        <w:rPr>
          <w:rFonts w:ascii="Arial" w:hAnsi="Arial" w:cs="Arial"/>
          <w:sz w:val="20"/>
          <w:szCs w:val="20"/>
        </w:rPr>
        <w:t>1</w:t>
      </w:r>
      <w:r w:rsidR="00796260" w:rsidRPr="001C4832">
        <w:rPr>
          <w:rFonts w:ascii="Arial" w:hAnsi="Arial" w:cs="Arial"/>
          <w:sz w:val="20"/>
          <w:szCs w:val="20"/>
        </w:rPr>
        <w:t>6</w:t>
      </w:r>
      <w:r w:rsidR="00841A9A" w:rsidRPr="001C4832">
        <w:rPr>
          <w:rFonts w:ascii="Arial" w:hAnsi="Arial" w:cs="Arial"/>
          <w:sz w:val="20"/>
          <w:szCs w:val="20"/>
        </w:rPr>
        <w:t>0</w:t>
      </w:r>
      <w:r w:rsidR="00865386" w:rsidRPr="001C4832">
        <w:rPr>
          <w:rFonts w:ascii="Arial" w:hAnsi="Arial" w:cs="Arial"/>
          <w:sz w:val="20"/>
          <w:szCs w:val="20"/>
        </w:rPr>
        <w:t xml:space="preserve"> kW</w:t>
      </w:r>
      <w:r w:rsidR="0059086A">
        <w:rPr>
          <w:rFonts w:ascii="Arial" w:hAnsi="Arial" w:cs="Arial"/>
          <w:sz w:val="20"/>
          <w:szCs w:val="20"/>
        </w:rPr>
        <w:t xml:space="preserve"> (dopuszcza się też rozwiązanie oparte na </w:t>
      </w:r>
      <w:r w:rsidR="0059086A" w:rsidRPr="00EE2F6F">
        <w:rPr>
          <w:rFonts w:ascii="Arial" w:hAnsi="Arial" w:cs="Arial"/>
          <w:sz w:val="20"/>
          <w:szCs w:val="20"/>
        </w:rPr>
        <w:t xml:space="preserve">strukturze </w:t>
      </w:r>
      <w:r w:rsidR="0059086A" w:rsidRPr="001C4832">
        <w:rPr>
          <w:rFonts w:ascii="Arial" w:hAnsi="Arial" w:cs="Arial"/>
          <w:sz w:val="20"/>
          <w:szCs w:val="20"/>
        </w:rPr>
        <w:t>jednostki/ek mocy (power unit) oraz satelitach</w:t>
      </w:r>
      <w:r w:rsidR="0059086A">
        <w:rPr>
          <w:rFonts w:ascii="Arial" w:hAnsi="Arial" w:cs="Arial"/>
          <w:sz w:val="20"/>
          <w:szCs w:val="20"/>
        </w:rPr>
        <w:t>)</w:t>
      </w:r>
      <w:r w:rsidR="00865386" w:rsidRPr="001C4832">
        <w:rPr>
          <w:rFonts w:ascii="Arial" w:hAnsi="Arial" w:cs="Arial"/>
          <w:sz w:val="20"/>
          <w:szCs w:val="20"/>
        </w:rPr>
        <w:t xml:space="preserve">. </w:t>
      </w:r>
    </w:p>
    <w:p w14:paraId="6791B27F" w14:textId="77777777" w:rsidR="000430AE" w:rsidRPr="001C4832" w:rsidRDefault="000430AE" w:rsidP="00EE2F6F">
      <w:pPr>
        <w:pStyle w:val="Akapitzlist"/>
        <w:spacing w:after="0" w:line="276" w:lineRule="auto"/>
        <w:jc w:val="both"/>
        <w:rPr>
          <w:rFonts w:ascii="Arial" w:hAnsi="Arial" w:cs="Arial"/>
          <w:strike/>
          <w:sz w:val="20"/>
          <w:szCs w:val="20"/>
        </w:rPr>
      </w:pPr>
    </w:p>
    <w:p w14:paraId="5E185C16" w14:textId="11CF9F78" w:rsidR="000430AE" w:rsidRPr="001C4832" w:rsidRDefault="00DF6094" w:rsidP="00EE2F6F">
      <w:pPr>
        <w:pStyle w:val="Akapitzlist"/>
        <w:numPr>
          <w:ilvl w:val="1"/>
          <w:numId w:val="1"/>
        </w:numPr>
        <w:tabs>
          <w:tab w:val="left" w:pos="1134"/>
        </w:tabs>
        <w:spacing w:after="0" w:line="276" w:lineRule="auto"/>
        <w:jc w:val="both"/>
        <w:rPr>
          <w:rFonts w:ascii="Arial" w:hAnsi="Arial" w:cs="Arial"/>
          <w:strike/>
          <w:sz w:val="20"/>
          <w:szCs w:val="20"/>
        </w:rPr>
      </w:pPr>
      <w:r w:rsidRPr="001C4832">
        <w:rPr>
          <w:rFonts w:ascii="Arial" w:hAnsi="Arial" w:cs="Arial"/>
          <w:sz w:val="20"/>
          <w:szCs w:val="20"/>
        </w:rPr>
        <w:lastRenderedPageBreak/>
        <w:t xml:space="preserve">Infrastruktura ładowania w danej lokalizacji </w:t>
      </w:r>
      <w:r w:rsidR="00694998" w:rsidRPr="001C4832">
        <w:rPr>
          <w:rFonts w:ascii="Arial" w:hAnsi="Arial" w:cs="Arial"/>
          <w:sz w:val="20"/>
          <w:szCs w:val="20"/>
        </w:rPr>
        <w:t>musi zapewniać zdolność do ładowania pojazdów z mocą sumaryczną</w:t>
      </w:r>
      <w:r w:rsidRPr="001C4832">
        <w:rPr>
          <w:rFonts w:ascii="Arial" w:hAnsi="Arial" w:cs="Arial"/>
          <w:sz w:val="20"/>
          <w:szCs w:val="20"/>
        </w:rPr>
        <w:t xml:space="preserve"> nie mniejszą niż:</w:t>
      </w:r>
    </w:p>
    <w:p w14:paraId="5EE2048B" w14:textId="77777777" w:rsidR="000430AE" w:rsidRPr="001C4832" w:rsidRDefault="000430AE" w:rsidP="00EE2F6F">
      <w:pPr>
        <w:pStyle w:val="Akapitzlist"/>
        <w:spacing w:after="0" w:line="276" w:lineRule="auto"/>
        <w:jc w:val="both"/>
        <w:rPr>
          <w:rFonts w:ascii="Arial" w:hAnsi="Arial" w:cs="Arial"/>
          <w:strike/>
          <w:sz w:val="20"/>
          <w:szCs w:val="20"/>
        </w:rPr>
      </w:pPr>
    </w:p>
    <w:p w14:paraId="1C4D5C7E" w14:textId="0DAD732A" w:rsidR="000430AE" w:rsidRPr="001C4832" w:rsidRDefault="000430AE" w:rsidP="00EE2F6F">
      <w:pPr>
        <w:pStyle w:val="Akapitzlist"/>
        <w:numPr>
          <w:ilvl w:val="2"/>
          <w:numId w:val="1"/>
        </w:numPr>
        <w:tabs>
          <w:tab w:val="left" w:pos="1134"/>
        </w:tabs>
        <w:spacing w:after="0" w:line="276" w:lineRule="auto"/>
        <w:jc w:val="both"/>
        <w:rPr>
          <w:rFonts w:ascii="Arial" w:hAnsi="Arial" w:cs="Arial"/>
          <w:sz w:val="20"/>
          <w:szCs w:val="20"/>
        </w:rPr>
      </w:pPr>
      <w:r w:rsidRPr="001C4832">
        <w:rPr>
          <w:rFonts w:ascii="Arial" w:hAnsi="Arial" w:cs="Arial"/>
          <w:sz w:val="20"/>
          <w:szCs w:val="20"/>
        </w:rPr>
        <w:t>Pierwsz</w:t>
      </w:r>
      <w:r w:rsidR="00AA7CD0" w:rsidRPr="001C4832">
        <w:rPr>
          <w:rFonts w:ascii="Arial" w:hAnsi="Arial" w:cs="Arial"/>
          <w:sz w:val="20"/>
          <w:szCs w:val="20"/>
        </w:rPr>
        <w:t>a</w:t>
      </w:r>
      <w:r w:rsidRPr="001C4832">
        <w:rPr>
          <w:rFonts w:ascii="Arial" w:hAnsi="Arial" w:cs="Arial"/>
          <w:sz w:val="20"/>
          <w:szCs w:val="20"/>
        </w:rPr>
        <w:t xml:space="preserve"> lokalizacja – </w:t>
      </w:r>
      <w:r w:rsidR="00841A9A" w:rsidRPr="001C4832">
        <w:rPr>
          <w:rFonts w:ascii="Arial" w:hAnsi="Arial" w:cs="Arial"/>
          <w:sz w:val="20"/>
          <w:szCs w:val="20"/>
        </w:rPr>
        <w:t>8</w:t>
      </w:r>
      <w:r w:rsidR="00AA7CD0" w:rsidRPr="001C4832">
        <w:rPr>
          <w:rFonts w:ascii="Arial" w:hAnsi="Arial" w:cs="Arial"/>
          <w:sz w:val="20"/>
          <w:szCs w:val="20"/>
        </w:rPr>
        <w:t>00</w:t>
      </w:r>
      <w:r w:rsidRPr="001C4832">
        <w:rPr>
          <w:rFonts w:ascii="Arial" w:hAnsi="Arial" w:cs="Arial"/>
          <w:sz w:val="20"/>
          <w:szCs w:val="20"/>
        </w:rPr>
        <w:t xml:space="preserve"> kW</w:t>
      </w:r>
    </w:p>
    <w:p w14:paraId="2630722B" w14:textId="39BD6769" w:rsidR="000430AE" w:rsidRPr="001C4832" w:rsidRDefault="000430AE" w:rsidP="00EE2F6F">
      <w:pPr>
        <w:pStyle w:val="Akapitzlist"/>
        <w:numPr>
          <w:ilvl w:val="2"/>
          <w:numId w:val="1"/>
        </w:numPr>
        <w:tabs>
          <w:tab w:val="left" w:pos="1134"/>
        </w:tabs>
        <w:spacing w:after="0" w:line="276" w:lineRule="auto"/>
        <w:jc w:val="both"/>
        <w:rPr>
          <w:rFonts w:ascii="Arial" w:hAnsi="Arial" w:cs="Arial"/>
          <w:sz w:val="20"/>
          <w:szCs w:val="20"/>
        </w:rPr>
      </w:pPr>
      <w:r w:rsidRPr="001C4832">
        <w:rPr>
          <w:rFonts w:ascii="Arial" w:hAnsi="Arial" w:cs="Arial"/>
          <w:sz w:val="20"/>
          <w:szCs w:val="20"/>
        </w:rPr>
        <w:t>Druga lokalizacja</w:t>
      </w:r>
      <w:r w:rsidR="00841A9A" w:rsidRPr="001C4832">
        <w:rPr>
          <w:rFonts w:ascii="Arial" w:hAnsi="Arial" w:cs="Arial"/>
          <w:sz w:val="20"/>
          <w:szCs w:val="20"/>
        </w:rPr>
        <w:t xml:space="preserve"> </w:t>
      </w:r>
      <w:r w:rsidRPr="001C4832">
        <w:rPr>
          <w:rFonts w:ascii="Arial" w:hAnsi="Arial" w:cs="Arial"/>
          <w:sz w:val="20"/>
          <w:szCs w:val="20"/>
        </w:rPr>
        <w:t xml:space="preserve">– </w:t>
      </w:r>
      <w:r w:rsidR="00841A9A" w:rsidRPr="001C4832">
        <w:rPr>
          <w:rFonts w:ascii="Arial" w:hAnsi="Arial" w:cs="Arial"/>
          <w:sz w:val="20"/>
          <w:szCs w:val="20"/>
        </w:rPr>
        <w:t>5</w:t>
      </w:r>
      <w:r w:rsidR="006009CD" w:rsidRPr="001C4832">
        <w:rPr>
          <w:rFonts w:ascii="Arial" w:hAnsi="Arial" w:cs="Arial"/>
          <w:sz w:val="20"/>
          <w:szCs w:val="20"/>
        </w:rPr>
        <w:t>00 kW</w:t>
      </w:r>
    </w:p>
    <w:p w14:paraId="7D3D446D" w14:textId="7138B585" w:rsidR="00AA7CD0" w:rsidRPr="001C4832" w:rsidRDefault="00AA7CD0" w:rsidP="00EE2F6F">
      <w:pPr>
        <w:pStyle w:val="Akapitzlist"/>
        <w:numPr>
          <w:ilvl w:val="2"/>
          <w:numId w:val="1"/>
        </w:numPr>
        <w:tabs>
          <w:tab w:val="left" w:pos="1134"/>
        </w:tabs>
        <w:spacing w:after="0" w:line="276" w:lineRule="auto"/>
        <w:jc w:val="both"/>
        <w:rPr>
          <w:rFonts w:ascii="Arial" w:hAnsi="Arial" w:cs="Arial"/>
          <w:sz w:val="20"/>
          <w:szCs w:val="20"/>
        </w:rPr>
      </w:pPr>
      <w:r w:rsidRPr="001C4832">
        <w:rPr>
          <w:rFonts w:ascii="Arial" w:hAnsi="Arial" w:cs="Arial"/>
          <w:sz w:val="20"/>
          <w:szCs w:val="20"/>
        </w:rPr>
        <w:t>Trzecia lokalizacja</w:t>
      </w:r>
      <w:r w:rsidR="00841A9A" w:rsidRPr="001C4832">
        <w:rPr>
          <w:rFonts w:ascii="Arial" w:hAnsi="Arial" w:cs="Arial"/>
          <w:sz w:val="20"/>
          <w:szCs w:val="20"/>
        </w:rPr>
        <w:t xml:space="preserve"> – 1</w:t>
      </w:r>
      <w:r w:rsidR="00FA79B8" w:rsidRPr="001C4832">
        <w:rPr>
          <w:rFonts w:ascii="Arial" w:hAnsi="Arial" w:cs="Arial"/>
          <w:sz w:val="20"/>
          <w:szCs w:val="20"/>
        </w:rPr>
        <w:t>6</w:t>
      </w:r>
      <w:r w:rsidR="00841A9A" w:rsidRPr="001C4832">
        <w:rPr>
          <w:rFonts w:ascii="Arial" w:hAnsi="Arial" w:cs="Arial"/>
          <w:sz w:val="20"/>
          <w:szCs w:val="20"/>
        </w:rPr>
        <w:t>0 kW</w:t>
      </w:r>
    </w:p>
    <w:bookmarkEnd w:id="2"/>
    <w:p w14:paraId="2B268EC3" w14:textId="77777777" w:rsidR="00BA7002" w:rsidRPr="00EE2F6F" w:rsidRDefault="00BA7002" w:rsidP="00EE2F6F">
      <w:pPr>
        <w:tabs>
          <w:tab w:val="left" w:pos="1134"/>
        </w:tabs>
        <w:spacing w:after="0" w:line="276" w:lineRule="auto"/>
        <w:contextualSpacing/>
        <w:jc w:val="both"/>
        <w:rPr>
          <w:rFonts w:ascii="Arial" w:hAnsi="Arial" w:cs="Arial"/>
          <w:sz w:val="20"/>
          <w:szCs w:val="20"/>
        </w:rPr>
      </w:pPr>
    </w:p>
    <w:p w14:paraId="013FABAE" w14:textId="77777777" w:rsidR="00BA7002" w:rsidRPr="00EE2F6F" w:rsidRDefault="00BA7002" w:rsidP="00EE2F6F">
      <w:pPr>
        <w:pStyle w:val="Akapitzlist"/>
        <w:numPr>
          <w:ilvl w:val="1"/>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Parametry jednostki mocy:</w:t>
      </w:r>
    </w:p>
    <w:p w14:paraId="02A9E7B7" w14:textId="2B115DF6" w:rsidR="00BA7002" w:rsidRPr="00EE2F6F" w:rsidRDefault="00BA7002" w:rsidP="00EE2F6F">
      <w:pPr>
        <w:pStyle w:val="Akapitzlist"/>
        <w:numPr>
          <w:ilvl w:val="0"/>
          <w:numId w:val="3"/>
        </w:numPr>
        <w:tabs>
          <w:tab w:val="left" w:pos="1134"/>
        </w:tabs>
        <w:spacing w:after="0" w:line="276" w:lineRule="auto"/>
        <w:jc w:val="both"/>
        <w:rPr>
          <w:rFonts w:ascii="Arial" w:hAnsi="Arial" w:cs="Arial"/>
          <w:sz w:val="20"/>
          <w:szCs w:val="20"/>
        </w:rPr>
      </w:pPr>
      <w:r w:rsidRPr="00EE2F6F">
        <w:rPr>
          <w:rFonts w:ascii="Arial" w:hAnsi="Arial" w:cs="Arial"/>
          <w:sz w:val="20"/>
          <w:szCs w:val="20"/>
        </w:rPr>
        <w:t>Napięcie wyjściowe [V] – dostępne w zakresie 200 – 900 V DC;</w:t>
      </w:r>
    </w:p>
    <w:p w14:paraId="4B2AFF1E" w14:textId="77777777" w:rsidR="00BA7002" w:rsidRPr="00EE2F6F" w:rsidRDefault="00BA7002" w:rsidP="00EE2F6F">
      <w:pPr>
        <w:pStyle w:val="Akapitzlist"/>
        <w:numPr>
          <w:ilvl w:val="0"/>
          <w:numId w:val="3"/>
        </w:numPr>
        <w:tabs>
          <w:tab w:val="left" w:pos="1134"/>
        </w:tabs>
        <w:spacing w:after="0" w:line="276" w:lineRule="auto"/>
        <w:jc w:val="both"/>
        <w:rPr>
          <w:rFonts w:ascii="Arial" w:hAnsi="Arial" w:cs="Arial"/>
          <w:sz w:val="20"/>
          <w:szCs w:val="20"/>
        </w:rPr>
      </w:pPr>
      <w:r w:rsidRPr="00EE2F6F">
        <w:rPr>
          <w:rFonts w:ascii="Arial" w:hAnsi="Arial" w:cs="Arial"/>
          <w:sz w:val="20"/>
          <w:szCs w:val="20"/>
        </w:rPr>
        <w:t>Współczynnik mocy:  min. 0,98 ;</w:t>
      </w:r>
    </w:p>
    <w:p w14:paraId="4B8A0A9C" w14:textId="77777777" w:rsidR="00BA7002" w:rsidRPr="00EE2F6F" w:rsidRDefault="00BA7002" w:rsidP="00EE2F6F">
      <w:pPr>
        <w:pStyle w:val="Akapitzlist"/>
        <w:numPr>
          <w:ilvl w:val="0"/>
          <w:numId w:val="3"/>
        </w:numPr>
        <w:tabs>
          <w:tab w:val="left" w:pos="1134"/>
        </w:tabs>
        <w:spacing w:after="0" w:line="276" w:lineRule="auto"/>
        <w:jc w:val="both"/>
        <w:rPr>
          <w:rFonts w:ascii="Arial" w:hAnsi="Arial" w:cs="Arial"/>
          <w:sz w:val="20"/>
          <w:szCs w:val="20"/>
        </w:rPr>
      </w:pPr>
      <w:r w:rsidRPr="00EE2F6F">
        <w:rPr>
          <w:rFonts w:ascii="Arial" w:hAnsi="Arial" w:cs="Arial"/>
          <w:sz w:val="20"/>
          <w:szCs w:val="20"/>
        </w:rPr>
        <w:t>THDI: mniejszy bądź równy 5%;</w:t>
      </w:r>
    </w:p>
    <w:p w14:paraId="09C5D2B3" w14:textId="77777777" w:rsidR="00BA7002" w:rsidRPr="00EE2F6F" w:rsidRDefault="00BA7002" w:rsidP="00EE2F6F">
      <w:pPr>
        <w:pStyle w:val="Akapitzlist"/>
        <w:numPr>
          <w:ilvl w:val="0"/>
          <w:numId w:val="3"/>
        </w:numPr>
        <w:tabs>
          <w:tab w:val="left" w:pos="1134"/>
        </w:tabs>
        <w:spacing w:after="0" w:line="276" w:lineRule="auto"/>
        <w:jc w:val="both"/>
        <w:rPr>
          <w:rFonts w:ascii="Arial" w:hAnsi="Arial" w:cs="Arial"/>
          <w:sz w:val="20"/>
          <w:szCs w:val="20"/>
        </w:rPr>
      </w:pPr>
      <w:r w:rsidRPr="00EE2F6F">
        <w:rPr>
          <w:rFonts w:ascii="Arial" w:hAnsi="Arial" w:cs="Arial"/>
          <w:sz w:val="20"/>
          <w:szCs w:val="20"/>
        </w:rPr>
        <w:t>Sprawność: &gt;95%;</w:t>
      </w:r>
    </w:p>
    <w:p w14:paraId="0530D035" w14:textId="77777777" w:rsidR="00BA7002" w:rsidRPr="00EE2F6F" w:rsidRDefault="00BA7002" w:rsidP="00EE2F6F">
      <w:pPr>
        <w:pStyle w:val="Akapitzlist"/>
        <w:numPr>
          <w:ilvl w:val="0"/>
          <w:numId w:val="3"/>
        </w:numPr>
        <w:tabs>
          <w:tab w:val="left" w:pos="1134"/>
        </w:tabs>
        <w:spacing w:after="0" w:line="276" w:lineRule="auto"/>
        <w:jc w:val="both"/>
        <w:rPr>
          <w:rFonts w:ascii="Arial" w:hAnsi="Arial" w:cs="Arial"/>
          <w:sz w:val="20"/>
          <w:szCs w:val="20"/>
        </w:rPr>
      </w:pPr>
      <w:r w:rsidRPr="00EE2F6F">
        <w:rPr>
          <w:rFonts w:ascii="Arial" w:hAnsi="Arial" w:cs="Arial"/>
          <w:sz w:val="20"/>
          <w:szCs w:val="20"/>
        </w:rPr>
        <w:t>Maksymalny prąd ładowania [A]: 200 – 500;</w:t>
      </w:r>
    </w:p>
    <w:p w14:paraId="3CB0370E" w14:textId="77777777" w:rsidR="00BA7002" w:rsidRPr="00EE2F6F" w:rsidRDefault="00BA7002" w:rsidP="00EE2F6F">
      <w:pPr>
        <w:pStyle w:val="Akapitzlist"/>
        <w:numPr>
          <w:ilvl w:val="0"/>
          <w:numId w:val="3"/>
        </w:numPr>
        <w:tabs>
          <w:tab w:val="left" w:pos="1134"/>
        </w:tabs>
        <w:spacing w:after="0" w:line="276" w:lineRule="auto"/>
        <w:jc w:val="both"/>
        <w:rPr>
          <w:rFonts w:ascii="Arial" w:hAnsi="Arial" w:cs="Arial"/>
          <w:sz w:val="20"/>
          <w:szCs w:val="20"/>
        </w:rPr>
      </w:pPr>
      <w:r w:rsidRPr="00EE2F6F">
        <w:rPr>
          <w:rFonts w:ascii="Arial" w:hAnsi="Arial" w:cs="Arial"/>
          <w:sz w:val="20"/>
          <w:szCs w:val="20"/>
        </w:rPr>
        <w:t>Zakres temperatur roboczych: -35 +55;</w:t>
      </w:r>
    </w:p>
    <w:p w14:paraId="4F3CD799" w14:textId="57D062EB" w:rsidR="00BA7002" w:rsidRPr="00EE2F6F" w:rsidRDefault="00BA7002" w:rsidP="00EE2F6F">
      <w:pPr>
        <w:pStyle w:val="Akapitzlist"/>
        <w:numPr>
          <w:ilvl w:val="0"/>
          <w:numId w:val="3"/>
        </w:numPr>
        <w:tabs>
          <w:tab w:val="left" w:pos="1134"/>
        </w:tabs>
        <w:spacing w:after="0" w:line="276" w:lineRule="auto"/>
        <w:jc w:val="both"/>
        <w:rPr>
          <w:rFonts w:ascii="Arial" w:hAnsi="Arial" w:cs="Arial"/>
          <w:sz w:val="20"/>
          <w:szCs w:val="20"/>
        </w:rPr>
      </w:pPr>
      <w:r w:rsidRPr="00EE2F6F">
        <w:rPr>
          <w:rFonts w:ascii="Arial" w:hAnsi="Arial" w:cs="Arial"/>
          <w:sz w:val="20"/>
          <w:szCs w:val="20"/>
        </w:rPr>
        <w:t xml:space="preserve">Rozdzielczość mocy wyjściowej nie więcej niż </w:t>
      </w:r>
      <w:r w:rsidR="000D54F0" w:rsidRPr="00EE2F6F">
        <w:rPr>
          <w:rFonts w:ascii="Arial" w:hAnsi="Arial" w:cs="Arial"/>
          <w:sz w:val="20"/>
          <w:szCs w:val="20"/>
        </w:rPr>
        <w:t>5</w:t>
      </w:r>
      <w:r w:rsidRPr="00EE2F6F">
        <w:rPr>
          <w:rFonts w:ascii="Arial" w:hAnsi="Arial" w:cs="Arial"/>
          <w:sz w:val="20"/>
          <w:szCs w:val="20"/>
        </w:rPr>
        <w:t>0 kW;</w:t>
      </w:r>
    </w:p>
    <w:p w14:paraId="6C27D54E" w14:textId="77777777" w:rsidR="00BA7002" w:rsidRPr="00EE2F6F" w:rsidRDefault="00BA7002" w:rsidP="00EE2F6F">
      <w:pPr>
        <w:pStyle w:val="Akapitzlist"/>
        <w:numPr>
          <w:ilvl w:val="0"/>
          <w:numId w:val="3"/>
        </w:numPr>
        <w:tabs>
          <w:tab w:val="left" w:pos="1134"/>
        </w:tabs>
        <w:spacing w:after="0" w:line="276" w:lineRule="auto"/>
        <w:jc w:val="both"/>
        <w:rPr>
          <w:rFonts w:ascii="Arial" w:hAnsi="Arial" w:cs="Arial"/>
          <w:sz w:val="20"/>
          <w:szCs w:val="20"/>
        </w:rPr>
      </w:pPr>
      <w:r w:rsidRPr="00EE2F6F">
        <w:rPr>
          <w:rFonts w:ascii="Arial" w:hAnsi="Arial" w:cs="Arial"/>
          <w:sz w:val="20"/>
          <w:szCs w:val="20"/>
        </w:rPr>
        <w:t>Poziom emisji hałasu: mniejszy niż 60 dB w odległości 1 m.;</w:t>
      </w:r>
    </w:p>
    <w:p w14:paraId="4F2F118A" w14:textId="77777777" w:rsidR="00BA7002" w:rsidRPr="00EE2F6F" w:rsidRDefault="00BA7002" w:rsidP="00EE2F6F">
      <w:pPr>
        <w:pStyle w:val="Akapitzlist"/>
        <w:numPr>
          <w:ilvl w:val="0"/>
          <w:numId w:val="3"/>
        </w:numPr>
        <w:tabs>
          <w:tab w:val="left" w:pos="1134"/>
        </w:tabs>
        <w:spacing w:after="0" w:line="276" w:lineRule="auto"/>
        <w:jc w:val="both"/>
        <w:rPr>
          <w:rFonts w:ascii="Arial" w:hAnsi="Arial" w:cs="Arial"/>
          <w:sz w:val="20"/>
          <w:szCs w:val="20"/>
        </w:rPr>
      </w:pPr>
      <w:r w:rsidRPr="00EE2F6F">
        <w:rPr>
          <w:rFonts w:ascii="Arial" w:hAnsi="Arial" w:cs="Arial"/>
          <w:sz w:val="20"/>
          <w:szCs w:val="20"/>
        </w:rPr>
        <w:t>Zgodność z normami: CE LVD 2014/35/UE EMC 2014/30/UE RED 2014/53/UE;</w:t>
      </w:r>
    </w:p>
    <w:p w14:paraId="5BC0ACE1" w14:textId="77777777" w:rsidR="00BA7002" w:rsidRPr="00EE2F6F" w:rsidRDefault="00BA7002" w:rsidP="00EE2F6F">
      <w:pPr>
        <w:pStyle w:val="Akapitzlist"/>
        <w:numPr>
          <w:ilvl w:val="0"/>
          <w:numId w:val="3"/>
        </w:numPr>
        <w:tabs>
          <w:tab w:val="left" w:pos="1134"/>
        </w:tabs>
        <w:spacing w:after="0" w:line="276" w:lineRule="auto"/>
        <w:jc w:val="both"/>
        <w:rPr>
          <w:rFonts w:ascii="Arial" w:hAnsi="Arial" w:cs="Arial"/>
          <w:sz w:val="20"/>
          <w:szCs w:val="20"/>
        </w:rPr>
      </w:pPr>
      <w:r w:rsidRPr="00EE2F6F">
        <w:rPr>
          <w:rFonts w:ascii="Arial" w:hAnsi="Arial" w:cs="Arial"/>
          <w:sz w:val="20"/>
          <w:szCs w:val="20"/>
        </w:rPr>
        <w:t>Stopień ochrony: IP54, IK10;</w:t>
      </w:r>
    </w:p>
    <w:p w14:paraId="09B5141A" w14:textId="77777777" w:rsidR="00BA7002" w:rsidRPr="00EE2F6F" w:rsidRDefault="00BA7002" w:rsidP="00EE2F6F">
      <w:pPr>
        <w:pStyle w:val="Akapitzlist"/>
        <w:numPr>
          <w:ilvl w:val="0"/>
          <w:numId w:val="3"/>
        </w:numPr>
        <w:tabs>
          <w:tab w:val="left" w:pos="1134"/>
        </w:tabs>
        <w:spacing w:after="0" w:line="276" w:lineRule="auto"/>
        <w:jc w:val="both"/>
        <w:rPr>
          <w:rFonts w:ascii="Arial" w:hAnsi="Arial" w:cs="Arial"/>
          <w:sz w:val="20"/>
          <w:szCs w:val="20"/>
        </w:rPr>
      </w:pPr>
      <w:r w:rsidRPr="00EE2F6F">
        <w:rPr>
          <w:rFonts w:ascii="Arial" w:hAnsi="Arial" w:cs="Arial"/>
          <w:sz w:val="20"/>
          <w:szCs w:val="20"/>
        </w:rPr>
        <w:t>Urządzenie musi być wyposażone w uchwyty umieszczone na szczycie umożliwiające rozładunek za pomocą dźwigu;</w:t>
      </w:r>
    </w:p>
    <w:p w14:paraId="02D0CD31" w14:textId="77777777" w:rsidR="00BA7002" w:rsidRPr="00EE2F6F" w:rsidRDefault="00BA7002" w:rsidP="00EE2F6F">
      <w:pPr>
        <w:pStyle w:val="Akapitzlist"/>
        <w:numPr>
          <w:ilvl w:val="0"/>
          <w:numId w:val="3"/>
        </w:numPr>
        <w:tabs>
          <w:tab w:val="left" w:pos="1134"/>
        </w:tabs>
        <w:spacing w:after="0" w:line="276" w:lineRule="auto"/>
        <w:jc w:val="both"/>
        <w:rPr>
          <w:rFonts w:ascii="Arial" w:hAnsi="Arial" w:cs="Arial"/>
          <w:sz w:val="20"/>
          <w:szCs w:val="20"/>
        </w:rPr>
      </w:pPr>
      <w:r w:rsidRPr="00EE2F6F">
        <w:rPr>
          <w:rFonts w:ascii="Arial" w:hAnsi="Arial" w:cs="Arial"/>
          <w:sz w:val="20"/>
          <w:szCs w:val="20"/>
        </w:rPr>
        <w:t>Jednostka mocy musi być wyposażona w moduły mocy bazujące na technologii węgliku krzemu (SiC);</w:t>
      </w:r>
    </w:p>
    <w:p w14:paraId="393D6122" w14:textId="77777777" w:rsidR="00BA7002" w:rsidRPr="00EE2F6F" w:rsidRDefault="00BA7002" w:rsidP="00EE2F6F">
      <w:pPr>
        <w:pStyle w:val="Akapitzlist"/>
        <w:numPr>
          <w:ilvl w:val="0"/>
          <w:numId w:val="3"/>
        </w:numPr>
        <w:tabs>
          <w:tab w:val="left" w:pos="1134"/>
        </w:tabs>
        <w:spacing w:after="0" w:line="276" w:lineRule="auto"/>
        <w:jc w:val="both"/>
        <w:rPr>
          <w:rFonts w:ascii="Arial" w:hAnsi="Arial" w:cs="Arial"/>
          <w:sz w:val="20"/>
          <w:szCs w:val="20"/>
        </w:rPr>
      </w:pPr>
      <w:r w:rsidRPr="00EE2F6F">
        <w:rPr>
          <w:rFonts w:ascii="Arial" w:hAnsi="Arial" w:cs="Arial"/>
          <w:sz w:val="20"/>
          <w:szCs w:val="20"/>
        </w:rPr>
        <w:t>Urządzenie powinno umożliwiać dalszą pracę w przypadku uszkodzenia indywidualnego modułu mocy;</w:t>
      </w:r>
    </w:p>
    <w:p w14:paraId="02C438A3" w14:textId="77777777" w:rsidR="00BA7002" w:rsidRPr="00EE2F6F" w:rsidRDefault="00BA7002" w:rsidP="00EE2F6F">
      <w:pPr>
        <w:pStyle w:val="Akapitzlist"/>
        <w:numPr>
          <w:ilvl w:val="0"/>
          <w:numId w:val="3"/>
        </w:numPr>
        <w:tabs>
          <w:tab w:val="left" w:pos="1134"/>
        </w:tabs>
        <w:spacing w:after="0" w:line="276" w:lineRule="auto"/>
        <w:jc w:val="both"/>
        <w:rPr>
          <w:rFonts w:ascii="Arial" w:hAnsi="Arial" w:cs="Arial"/>
          <w:sz w:val="20"/>
          <w:szCs w:val="20"/>
        </w:rPr>
      </w:pPr>
      <w:r w:rsidRPr="00EE2F6F">
        <w:rPr>
          <w:rFonts w:ascii="Arial" w:hAnsi="Arial" w:cs="Arial"/>
          <w:sz w:val="20"/>
          <w:szCs w:val="20"/>
        </w:rPr>
        <w:t>Moduły mocy muszą  być kompatybilne z innymi systemami produkowanymi przez dostawcę infrastruktury ładowania;</w:t>
      </w:r>
    </w:p>
    <w:p w14:paraId="3CBD6C2E" w14:textId="77777777" w:rsidR="00BA7002" w:rsidRPr="00EE2F6F" w:rsidRDefault="00BA7002" w:rsidP="00EE2F6F">
      <w:pPr>
        <w:pStyle w:val="Akapitzlist"/>
        <w:numPr>
          <w:ilvl w:val="0"/>
          <w:numId w:val="3"/>
        </w:numPr>
        <w:tabs>
          <w:tab w:val="left" w:pos="1134"/>
        </w:tabs>
        <w:spacing w:after="0" w:line="276" w:lineRule="auto"/>
        <w:jc w:val="both"/>
        <w:rPr>
          <w:rFonts w:ascii="Arial" w:hAnsi="Arial" w:cs="Arial"/>
          <w:sz w:val="20"/>
          <w:szCs w:val="20"/>
        </w:rPr>
      </w:pPr>
      <w:r w:rsidRPr="00EE2F6F">
        <w:rPr>
          <w:rFonts w:ascii="Arial" w:hAnsi="Arial" w:cs="Arial"/>
          <w:sz w:val="20"/>
          <w:szCs w:val="20"/>
        </w:rPr>
        <w:t>Urządzenie musi być w produkcji seryjnej dostarczanej do klienta;</w:t>
      </w:r>
    </w:p>
    <w:p w14:paraId="49EBE592" w14:textId="77777777" w:rsidR="00BA7002" w:rsidRPr="00EE2F6F" w:rsidRDefault="00BA7002" w:rsidP="00EE2F6F">
      <w:pPr>
        <w:pStyle w:val="Akapitzlist"/>
        <w:numPr>
          <w:ilvl w:val="0"/>
          <w:numId w:val="3"/>
        </w:numPr>
        <w:tabs>
          <w:tab w:val="left" w:pos="1134"/>
        </w:tabs>
        <w:spacing w:after="0" w:line="276" w:lineRule="auto"/>
        <w:jc w:val="both"/>
        <w:rPr>
          <w:rFonts w:ascii="Arial" w:hAnsi="Arial" w:cs="Arial"/>
          <w:sz w:val="20"/>
          <w:szCs w:val="20"/>
        </w:rPr>
      </w:pPr>
      <w:r w:rsidRPr="00EE2F6F">
        <w:rPr>
          <w:rFonts w:ascii="Arial" w:hAnsi="Arial" w:cs="Arial"/>
          <w:sz w:val="20"/>
          <w:szCs w:val="20"/>
        </w:rPr>
        <w:t>Urządzenie musi obsługiwać dynamiczne zarządzanie mocą ładowania bez zaburzenie lub konieczności zatrzymania procesu. Urządzenie musi obsługiwać priorytetyzacje bazującą na konkretnych pojazdach lub stanowiskach ładowania;</w:t>
      </w:r>
    </w:p>
    <w:p w14:paraId="79D3001B" w14:textId="77777777" w:rsidR="00BA7002" w:rsidRPr="00EE2F6F" w:rsidRDefault="00BA7002" w:rsidP="00EE2F6F">
      <w:pPr>
        <w:pStyle w:val="Akapitzlist"/>
        <w:numPr>
          <w:ilvl w:val="0"/>
          <w:numId w:val="3"/>
        </w:numPr>
        <w:tabs>
          <w:tab w:val="left" w:pos="1134"/>
        </w:tabs>
        <w:spacing w:after="0" w:line="276" w:lineRule="auto"/>
        <w:jc w:val="both"/>
        <w:rPr>
          <w:rFonts w:ascii="Arial" w:hAnsi="Arial" w:cs="Arial"/>
          <w:sz w:val="20"/>
          <w:szCs w:val="20"/>
        </w:rPr>
      </w:pPr>
      <w:r w:rsidRPr="00EE2F6F">
        <w:rPr>
          <w:rFonts w:ascii="Arial" w:hAnsi="Arial" w:cs="Arial"/>
          <w:sz w:val="20"/>
          <w:szCs w:val="20"/>
        </w:rPr>
        <w:t xml:space="preserve">Moduły mocy muszą być używane równomiernie, niezależnie od wybranego punktu ładowania, w celu wydłużenia ich żywotności. </w:t>
      </w:r>
    </w:p>
    <w:p w14:paraId="2EB8057E" w14:textId="77777777" w:rsidR="00BA7002" w:rsidRPr="00EE2F6F" w:rsidRDefault="00BA7002" w:rsidP="00EE2F6F">
      <w:pPr>
        <w:tabs>
          <w:tab w:val="left" w:pos="1134"/>
        </w:tabs>
        <w:spacing w:after="0" w:line="276" w:lineRule="auto"/>
        <w:contextualSpacing/>
        <w:jc w:val="both"/>
        <w:rPr>
          <w:rFonts w:ascii="Arial" w:hAnsi="Arial" w:cs="Arial"/>
          <w:sz w:val="20"/>
          <w:szCs w:val="20"/>
        </w:rPr>
      </w:pPr>
    </w:p>
    <w:p w14:paraId="67071EF8" w14:textId="77777777" w:rsidR="00713782" w:rsidRPr="00EE2F6F" w:rsidRDefault="00713782" w:rsidP="00EE2F6F">
      <w:pPr>
        <w:tabs>
          <w:tab w:val="left" w:pos="1134"/>
        </w:tabs>
        <w:spacing w:after="0" w:line="276" w:lineRule="auto"/>
        <w:contextualSpacing/>
        <w:jc w:val="both"/>
        <w:rPr>
          <w:rFonts w:ascii="Arial" w:hAnsi="Arial" w:cs="Arial"/>
          <w:sz w:val="20"/>
          <w:szCs w:val="20"/>
        </w:rPr>
      </w:pPr>
    </w:p>
    <w:p w14:paraId="64B78C03" w14:textId="77777777" w:rsidR="00BA7002" w:rsidRPr="00EE2F6F" w:rsidRDefault="00BA7002" w:rsidP="00EE2F6F">
      <w:pPr>
        <w:pStyle w:val="Akapitzlist"/>
        <w:numPr>
          <w:ilvl w:val="1"/>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Parametry satelity:</w:t>
      </w:r>
    </w:p>
    <w:p w14:paraId="3E9C8B04" w14:textId="77777777" w:rsidR="00CF25FD" w:rsidRPr="00EE2F6F" w:rsidRDefault="00CF25FD" w:rsidP="00EE2F6F">
      <w:pPr>
        <w:pStyle w:val="Akapitzlist"/>
        <w:tabs>
          <w:tab w:val="left" w:pos="1134"/>
        </w:tabs>
        <w:spacing w:after="0" w:line="276" w:lineRule="auto"/>
        <w:ind w:left="1440"/>
        <w:jc w:val="both"/>
        <w:rPr>
          <w:rFonts w:ascii="Arial" w:hAnsi="Arial" w:cs="Arial"/>
          <w:sz w:val="20"/>
          <w:szCs w:val="20"/>
        </w:rPr>
      </w:pPr>
    </w:p>
    <w:p w14:paraId="708335BD" w14:textId="7182CA70" w:rsidR="00BA7002" w:rsidRPr="00EE2F6F" w:rsidRDefault="00BA7002" w:rsidP="00EE2F6F">
      <w:pPr>
        <w:pStyle w:val="Akapitzlist"/>
        <w:numPr>
          <w:ilvl w:val="0"/>
          <w:numId w:val="5"/>
        </w:numPr>
        <w:tabs>
          <w:tab w:val="left" w:pos="1134"/>
        </w:tabs>
        <w:spacing w:after="0" w:line="276" w:lineRule="auto"/>
        <w:jc w:val="both"/>
        <w:rPr>
          <w:rFonts w:ascii="Arial" w:hAnsi="Arial" w:cs="Arial"/>
          <w:sz w:val="20"/>
          <w:szCs w:val="20"/>
        </w:rPr>
      </w:pPr>
      <w:r w:rsidRPr="00EE2F6F">
        <w:rPr>
          <w:rFonts w:ascii="Arial" w:hAnsi="Arial" w:cs="Arial"/>
          <w:sz w:val="20"/>
          <w:szCs w:val="20"/>
        </w:rPr>
        <w:t>Wyposażona w dwa złącza do ładowania Combo-2 (Type2 / Model 4);</w:t>
      </w:r>
    </w:p>
    <w:p w14:paraId="74B18E04" w14:textId="5A30602C" w:rsidR="00BA7002" w:rsidRPr="00EE2F6F" w:rsidRDefault="00BA7002" w:rsidP="00EE2F6F">
      <w:pPr>
        <w:pStyle w:val="Akapitzlist"/>
        <w:numPr>
          <w:ilvl w:val="0"/>
          <w:numId w:val="5"/>
        </w:numPr>
        <w:tabs>
          <w:tab w:val="left" w:pos="1134"/>
        </w:tabs>
        <w:spacing w:after="0" w:line="276" w:lineRule="auto"/>
        <w:jc w:val="both"/>
        <w:rPr>
          <w:rFonts w:ascii="Arial" w:hAnsi="Arial" w:cs="Arial"/>
          <w:sz w:val="20"/>
          <w:szCs w:val="20"/>
        </w:rPr>
      </w:pPr>
      <w:r w:rsidRPr="00EE2F6F">
        <w:rPr>
          <w:rFonts w:ascii="Arial" w:hAnsi="Arial" w:cs="Arial"/>
          <w:sz w:val="20"/>
          <w:szCs w:val="20"/>
        </w:rPr>
        <w:t>Wyposażona w kable o długości minimum 5 metrów;</w:t>
      </w:r>
    </w:p>
    <w:p w14:paraId="5AA2211E" w14:textId="77777777" w:rsidR="00BA7002" w:rsidRPr="00EE2F6F" w:rsidRDefault="00BA7002" w:rsidP="00EE2F6F">
      <w:pPr>
        <w:pStyle w:val="Akapitzlist"/>
        <w:numPr>
          <w:ilvl w:val="0"/>
          <w:numId w:val="5"/>
        </w:numPr>
        <w:tabs>
          <w:tab w:val="left" w:pos="1134"/>
        </w:tabs>
        <w:spacing w:after="0" w:line="276" w:lineRule="auto"/>
        <w:jc w:val="both"/>
        <w:rPr>
          <w:rFonts w:ascii="Arial" w:hAnsi="Arial" w:cs="Arial"/>
          <w:sz w:val="20"/>
          <w:szCs w:val="20"/>
        </w:rPr>
      </w:pPr>
      <w:r w:rsidRPr="00EE2F6F">
        <w:rPr>
          <w:rFonts w:ascii="Arial" w:hAnsi="Arial" w:cs="Arial"/>
          <w:sz w:val="20"/>
          <w:szCs w:val="20"/>
        </w:rPr>
        <w:t>Urządzenie pozwala na ładowanie dwóch pojazdów prądem ciągłym o natężeniu 2 x 250 A ;</w:t>
      </w:r>
    </w:p>
    <w:p w14:paraId="18DD6ADF" w14:textId="77777777" w:rsidR="00BA7002" w:rsidRPr="00EE2F6F" w:rsidRDefault="00BA7002" w:rsidP="00EE2F6F">
      <w:pPr>
        <w:pStyle w:val="Akapitzlist"/>
        <w:numPr>
          <w:ilvl w:val="0"/>
          <w:numId w:val="5"/>
        </w:numPr>
        <w:tabs>
          <w:tab w:val="left" w:pos="1134"/>
        </w:tabs>
        <w:spacing w:after="0" w:line="276" w:lineRule="auto"/>
        <w:jc w:val="both"/>
        <w:rPr>
          <w:rFonts w:ascii="Arial" w:hAnsi="Arial" w:cs="Arial"/>
          <w:sz w:val="20"/>
          <w:szCs w:val="20"/>
        </w:rPr>
      </w:pPr>
      <w:r w:rsidRPr="00EE2F6F">
        <w:rPr>
          <w:rFonts w:ascii="Arial" w:hAnsi="Arial" w:cs="Arial"/>
          <w:sz w:val="20"/>
          <w:szCs w:val="20"/>
        </w:rPr>
        <w:t>Maksymalna moc ładowania: 2x 200 kW;</w:t>
      </w:r>
    </w:p>
    <w:p w14:paraId="5C3E5D84" w14:textId="77777777" w:rsidR="00713782" w:rsidRPr="00EE2F6F" w:rsidRDefault="00BA7002" w:rsidP="00EE2F6F">
      <w:pPr>
        <w:pStyle w:val="Akapitzlist"/>
        <w:numPr>
          <w:ilvl w:val="0"/>
          <w:numId w:val="5"/>
        </w:numPr>
        <w:tabs>
          <w:tab w:val="left" w:pos="1134"/>
        </w:tabs>
        <w:spacing w:after="0" w:line="276" w:lineRule="auto"/>
        <w:jc w:val="both"/>
        <w:rPr>
          <w:rFonts w:ascii="Arial" w:hAnsi="Arial" w:cs="Arial"/>
          <w:sz w:val="20"/>
          <w:szCs w:val="20"/>
        </w:rPr>
      </w:pPr>
      <w:r w:rsidRPr="00EE2F6F">
        <w:rPr>
          <w:rFonts w:ascii="Arial" w:hAnsi="Arial" w:cs="Arial"/>
          <w:sz w:val="20"/>
          <w:szCs w:val="20"/>
        </w:rPr>
        <w:t>Wyposażona w ekran dotykowy z interfacem użytkownika, który wskazuje podstawowe stany pracy;</w:t>
      </w:r>
    </w:p>
    <w:p w14:paraId="7AC11E9D" w14:textId="3D75518B" w:rsidR="00713782" w:rsidRPr="00EE2F6F" w:rsidRDefault="00713782" w:rsidP="00EE2F6F">
      <w:pPr>
        <w:pStyle w:val="Akapitzlist"/>
        <w:numPr>
          <w:ilvl w:val="0"/>
          <w:numId w:val="5"/>
        </w:numPr>
        <w:tabs>
          <w:tab w:val="left" w:pos="1134"/>
        </w:tabs>
        <w:spacing w:after="0" w:line="276" w:lineRule="auto"/>
        <w:jc w:val="both"/>
        <w:rPr>
          <w:rFonts w:ascii="Arial" w:hAnsi="Arial" w:cs="Arial"/>
          <w:sz w:val="20"/>
          <w:szCs w:val="20"/>
        </w:rPr>
      </w:pPr>
      <w:r w:rsidRPr="00EE2F6F">
        <w:rPr>
          <w:rFonts w:ascii="Arial" w:hAnsi="Arial" w:cs="Arial"/>
          <w:sz w:val="20"/>
          <w:szCs w:val="20"/>
        </w:rPr>
        <w:t xml:space="preserve">Urządzenie musi umożliwiać ładowanie prądem stałym w trybach: CC (Constant Current), CV (Constant Voltage). </w:t>
      </w:r>
    </w:p>
    <w:p w14:paraId="667D0C6F" w14:textId="77777777" w:rsidR="00BA7002" w:rsidRPr="00EE2F6F" w:rsidRDefault="00BA7002" w:rsidP="00EE2F6F">
      <w:pPr>
        <w:pStyle w:val="Akapitzlist"/>
        <w:numPr>
          <w:ilvl w:val="0"/>
          <w:numId w:val="5"/>
        </w:numPr>
        <w:tabs>
          <w:tab w:val="left" w:pos="1134"/>
        </w:tabs>
        <w:spacing w:after="0" w:line="276" w:lineRule="auto"/>
        <w:jc w:val="both"/>
        <w:rPr>
          <w:rFonts w:ascii="Arial" w:hAnsi="Arial" w:cs="Arial"/>
          <w:sz w:val="20"/>
          <w:szCs w:val="20"/>
        </w:rPr>
      </w:pPr>
      <w:r w:rsidRPr="00EE2F6F">
        <w:rPr>
          <w:rFonts w:ascii="Arial" w:hAnsi="Arial" w:cs="Arial"/>
          <w:sz w:val="20"/>
          <w:szCs w:val="20"/>
        </w:rPr>
        <w:t>Wyposażona w oświetlenie/podświetlenie LED stanowiące sygnalizacje statusu ładowania autobusu. Statusy ładowania: gotowa do podłączenia/inicjalizacja/ładowanie/błąd procesu ładowania;</w:t>
      </w:r>
    </w:p>
    <w:p w14:paraId="6652E979" w14:textId="77777777" w:rsidR="00BA7002" w:rsidRPr="00EE2F6F" w:rsidRDefault="00BA7002" w:rsidP="00EE2F6F">
      <w:pPr>
        <w:pStyle w:val="Akapitzlist"/>
        <w:numPr>
          <w:ilvl w:val="0"/>
          <w:numId w:val="5"/>
        </w:numPr>
        <w:tabs>
          <w:tab w:val="left" w:pos="1134"/>
        </w:tabs>
        <w:spacing w:after="0" w:line="276" w:lineRule="auto"/>
        <w:jc w:val="both"/>
        <w:rPr>
          <w:rFonts w:ascii="Arial" w:hAnsi="Arial" w:cs="Arial"/>
          <w:sz w:val="20"/>
          <w:szCs w:val="20"/>
        </w:rPr>
      </w:pPr>
      <w:r w:rsidRPr="00EE2F6F">
        <w:rPr>
          <w:rFonts w:ascii="Arial" w:hAnsi="Arial" w:cs="Arial"/>
          <w:sz w:val="20"/>
          <w:szCs w:val="20"/>
        </w:rPr>
        <w:t>Satelita wyposażona w system zarządzania kablem, zapobiegający kontaktowi przewodu z podłożem;</w:t>
      </w:r>
    </w:p>
    <w:p w14:paraId="15D3A286" w14:textId="77777777" w:rsidR="00BA7002" w:rsidRPr="00EE2F6F" w:rsidRDefault="00BA7002" w:rsidP="00EE2F6F">
      <w:pPr>
        <w:pStyle w:val="Akapitzlist"/>
        <w:numPr>
          <w:ilvl w:val="0"/>
          <w:numId w:val="5"/>
        </w:numPr>
        <w:tabs>
          <w:tab w:val="left" w:pos="1134"/>
        </w:tabs>
        <w:spacing w:after="0" w:line="276" w:lineRule="auto"/>
        <w:jc w:val="both"/>
        <w:rPr>
          <w:rFonts w:ascii="Arial" w:hAnsi="Arial" w:cs="Arial"/>
          <w:sz w:val="20"/>
          <w:szCs w:val="20"/>
        </w:rPr>
      </w:pPr>
      <w:r w:rsidRPr="00EE2F6F">
        <w:rPr>
          <w:rFonts w:ascii="Arial" w:hAnsi="Arial" w:cs="Arial"/>
          <w:sz w:val="20"/>
          <w:szCs w:val="20"/>
        </w:rPr>
        <w:t>Satelita wyposażona w czytnik RFID;</w:t>
      </w:r>
    </w:p>
    <w:p w14:paraId="730EA0CE" w14:textId="77777777" w:rsidR="00BA7002" w:rsidRPr="00EE2F6F" w:rsidRDefault="00BA7002" w:rsidP="00EE2F6F">
      <w:pPr>
        <w:pStyle w:val="Akapitzlist"/>
        <w:numPr>
          <w:ilvl w:val="0"/>
          <w:numId w:val="5"/>
        </w:numPr>
        <w:tabs>
          <w:tab w:val="left" w:pos="1134"/>
        </w:tabs>
        <w:spacing w:after="0" w:line="276" w:lineRule="auto"/>
        <w:jc w:val="both"/>
        <w:rPr>
          <w:rFonts w:ascii="Arial" w:hAnsi="Arial" w:cs="Arial"/>
          <w:sz w:val="20"/>
          <w:szCs w:val="20"/>
        </w:rPr>
      </w:pPr>
      <w:r w:rsidRPr="00EE2F6F">
        <w:rPr>
          <w:rFonts w:ascii="Arial" w:hAnsi="Arial" w:cs="Arial"/>
          <w:sz w:val="20"/>
          <w:szCs w:val="20"/>
        </w:rPr>
        <w:lastRenderedPageBreak/>
        <w:t>Satelita nie wyposażona w terminal płatniczy;</w:t>
      </w:r>
    </w:p>
    <w:p w14:paraId="133BEC89" w14:textId="77777777" w:rsidR="00BA7002" w:rsidRPr="00EE2F6F" w:rsidRDefault="00BA7002" w:rsidP="00EE2F6F">
      <w:pPr>
        <w:pStyle w:val="Akapitzlist"/>
        <w:numPr>
          <w:ilvl w:val="0"/>
          <w:numId w:val="5"/>
        </w:numPr>
        <w:tabs>
          <w:tab w:val="left" w:pos="1134"/>
        </w:tabs>
        <w:spacing w:after="0" w:line="276" w:lineRule="auto"/>
        <w:jc w:val="both"/>
        <w:rPr>
          <w:rFonts w:ascii="Arial" w:hAnsi="Arial" w:cs="Arial"/>
          <w:sz w:val="20"/>
          <w:szCs w:val="20"/>
        </w:rPr>
      </w:pPr>
      <w:r w:rsidRPr="00EE2F6F">
        <w:rPr>
          <w:rFonts w:ascii="Arial" w:hAnsi="Arial" w:cs="Arial"/>
          <w:sz w:val="20"/>
          <w:szCs w:val="20"/>
        </w:rPr>
        <w:t>Temperatura pracy: -30 / +50 stopni Celsjusza;</w:t>
      </w:r>
    </w:p>
    <w:p w14:paraId="5A32F1A1" w14:textId="77777777" w:rsidR="00713782" w:rsidRPr="00EE2F6F" w:rsidRDefault="00BA7002" w:rsidP="00EE2F6F">
      <w:pPr>
        <w:pStyle w:val="Akapitzlist"/>
        <w:numPr>
          <w:ilvl w:val="0"/>
          <w:numId w:val="5"/>
        </w:numPr>
        <w:tabs>
          <w:tab w:val="left" w:pos="1134"/>
        </w:tabs>
        <w:spacing w:after="0" w:line="276" w:lineRule="auto"/>
        <w:jc w:val="both"/>
        <w:rPr>
          <w:rFonts w:ascii="Arial" w:hAnsi="Arial" w:cs="Arial"/>
          <w:sz w:val="20"/>
          <w:szCs w:val="20"/>
        </w:rPr>
      </w:pPr>
      <w:r w:rsidRPr="00EE2F6F">
        <w:rPr>
          <w:rFonts w:ascii="Arial" w:hAnsi="Arial" w:cs="Arial"/>
          <w:sz w:val="20"/>
          <w:szCs w:val="20"/>
        </w:rPr>
        <w:t>Materiał poszycia: Stal galwanizowana;</w:t>
      </w:r>
    </w:p>
    <w:p w14:paraId="4FC002BB" w14:textId="4ECDD03B" w:rsidR="00BA7002" w:rsidRPr="00EE2F6F" w:rsidRDefault="00713782" w:rsidP="00EE2F6F">
      <w:pPr>
        <w:pStyle w:val="Akapitzlist"/>
        <w:numPr>
          <w:ilvl w:val="0"/>
          <w:numId w:val="5"/>
        </w:numPr>
        <w:tabs>
          <w:tab w:val="left" w:pos="1134"/>
        </w:tabs>
        <w:spacing w:after="0" w:line="276" w:lineRule="auto"/>
        <w:jc w:val="both"/>
        <w:rPr>
          <w:rFonts w:ascii="Arial" w:hAnsi="Arial" w:cs="Arial"/>
          <w:sz w:val="20"/>
          <w:szCs w:val="20"/>
        </w:rPr>
      </w:pPr>
      <w:r w:rsidRPr="00EE2F6F">
        <w:rPr>
          <w:rFonts w:ascii="Arial" w:hAnsi="Arial" w:cs="Arial"/>
          <w:sz w:val="20"/>
          <w:szCs w:val="20"/>
        </w:rPr>
        <w:t xml:space="preserve">Stacja ładowania musi zapewniać stopień ochronny minimum IP54 oraz IK10 według normy PN-EN 61851-23 lub równoważnej oraz IK8 dla wyświetlacza. Dopuszczalne IP23 dla układu chłodzenia (radiatorów). </w:t>
      </w:r>
    </w:p>
    <w:p w14:paraId="426E6A19" w14:textId="77777777" w:rsidR="00401BD1" w:rsidRPr="00EE2F6F" w:rsidRDefault="00BA7002" w:rsidP="00EE2F6F">
      <w:pPr>
        <w:pStyle w:val="Akapitzlist"/>
        <w:numPr>
          <w:ilvl w:val="0"/>
          <w:numId w:val="5"/>
        </w:numPr>
        <w:tabs>
          <w:tab w:val="left" w:pos="1134"/>
        </w:tabs>
        <w:spacing w:after="0" w:line="276" w:lineRule="auto"/>
        <w:jc w:val="both"/>
        <w:rPr>
          <w:rFonts w:ascii="Arial" w:hAnsi="Arial" w:cs="Arial"/>
          <w:sz w:val="20"/>
          <w:szCs w:val="20"/>
        </w:rPr>
      </w:pPr>
      <w:r w:rsidRPr="00EE2F6F">
        <w:rPr>
          <w:rFonts w:ascii="Arial" w:hAnsi="Arial" w:cs="Arial"/>
          <w:sz w:val="20"/>
          <w:szCs w:val="20"/>
        </w:rPr>
        <w:t>System musi zapewnić dalsze funkcjonowanie nawet w przypadku zniszczenia poszczególnych satelit;</w:t>
      </w:r>
    </w:p>
    <w:p w14:paraId="393651A5" w14:textId="2BFDCB56" w:rsidR="00401BD1" w:rsidRPr="00EE2F6F" w:rsidRDefault="00401BD1" w:rsidP="00EE2F6F">
      <w:pPr>
        <w:pStyle w:val="Akapitzlist"/>
        <w:numPr>
          <w:ilvl w:val="0"/>
          <w:numId w:val="5"/>
        </w:numPr>
        <w:tabs>
          <w:tab w:val="left" w:pos="1134"/>
        </w:tabs>
        <w:spacing w:after="0" w:line="276" w:lineRule="auto"/>
        <w:jc w:val="both"/>
        <w:rPr>
          <w:rFonts w:ascii="Arial" w:hAnsi="Arial" w:cs="Arial"/>
          <w:sz w:val="20"/>
          <w:szCs w:val="20"/>
        </w:rPr>
      </w:pPr>
      <w:r w:rsidRPr="00EE2F6F">
        <w:rPr>
          <w:rFonts w:ascii="Arial" w:hAnsi="Arial" w:cs="Arial"/>
          <w:sz w:val="20"/>
          <w:szCs w:val="20"/>
        </w:rPr>
        <w:t xml:space="preserve">Stacja ładowania musi być wyposażona w interfejs ładowania zgodny z normą IEC 62196-3 lub równoważną. </w:t>
      </w:r>
    </w:p>
    <w:p w14:paraId="32CD5A70" w14:textId="77777777" w:rsidR="00E9159C" w:rsidRPr="00EE2F6F" w:rsidRDefault="00E9159C" w:rsidP="00EE2F6F">
      <w:pPr>
        <w:tabs>
          <w:tab w:val="left" w:pos="1134"/>
        </w:tabs>
        <w:spacing w:after="0" w:line="276" w:lineRule="auto"/>
        <w:contextualSpacing/>
        <w:jc w:val="both"/>
        <w:rPr>
          <w:rFonts w:ascii="Arial" w:hAnsi="Arial" w:cs="Arial"/>
          <w:sz w:val="20"/>
          <w:szCs w:val="20"/>
        </w:rPr>
      </w:pPr>
    </w:p>
    <w:p w14:paraId="1043127D" w14:textId="77777777" w:rsidR="008127BD" w:rsidRPr="00EE2F6F" w:rsidRDefault="008127BD" w:rsidP="00EE2F6F">
      <w:pPr>
        <w:tabs>
          <w:tab w:val="left" w:pos="1134"/>
        </w:tabs>
        <w:spacing w:after="0" w:line="276" w:lineRule="auto"/>
        <w:contextualSpacing/>
        <w:jc w:val="both"/>
        <w:rPr>
          <w:rFonts w:ascii="Arial" w:hAnsi="Arial" w:cs="Arial"/>
          <w:sz w:val="20"/>
          <w:szCs w:val="20"/>
        </w:rPr>
      </w:pPr>
    </w:p>
    <w:p w14:paraId="18C2B267" w14:textId="7820849E" w:rsidR="008127BD" w:rsidRPr="00EE2F6F" w:rsidRDefault="008127BD" w:rsidP="00EE2F6F">
      <w:pPr>
        <w:pStyle w:val="Akapitzlist"/>
        <w:numPr>
          <w:ilvl w:val="1"/>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 xml:space="preserve">Parametry </w:t>
      </w:r>
      <w:r w:rsidR="00E9159C" w:rsidRPr="00EE2F6F">
        <w:rPr>
          <w:rFonts w:ascii="Arial" w:hAnsi="Arial" w:cs="Arial"/>
          <w:sz w:val="20"/>
          <w:szCs w:val="20"/>
        </w:rPr>
        <w:t>ładowarki</w:t>
      </w:r>
      <w:r w:rsidR="00DF0414" w:rsidRPr="00EE2F6F">
        <w:rPr>
          <w:rFonts w:ascii="Arial" w:hAnsi="Arial" w:cs="Arial"/>
          <w:sz w:val="20"/>
          <w:szCs w:val="20"/>
        </w:rPr>
        <w:t xml:space="preserve"> dwustanowiskowej</w:t>
      </w:r>
      <w:r w:rsidR="00E9159C" w:rsidRPr="00EE2F6F">
        <w:rPr>
          <w:rFonts w:ascii="Arial" w:hAnsi="Arial" w:cs="Arial"/>
          <w:sz w:val="20"/>
          <w:szCs w:val="20"/>
        </w:rPr>
        <w:t>:</w:t>
      </w:r>
    </w:p>
    <w:p w14:paraId="51EFAF31" w14:textId="77777777" w:rsidR="00E9159C" w:rsidRPr="00EE2F6F" w:rsidRDefault="00E9159C" w:rsidP="00EE2F6F">
      <w:pPr>
        <w:pStyle w:val="Akapitzlist"/>
        <w:tabs>
          <w:tab w:val="left" w:pos="1134"/>
        </w:tabs>
        <w:spacing w:after="0" w:line="276" w:lineRule="auto"/>
        <w:ind w:left="1440"/>
        <w:jc w:val="both"/>
        <w:rPr>
          <w:rFonts w:ascii="Arial" w:hAnsi="Arial" w:cs="Arial"/>
          <w:sz w:val="20"/>
          <w:szCs w:val="20"/>
        </w:rPr>
      </w:pPr>
    </w:p>
    <w:p w14:paraId="071ADCA1" w14:textId="2BA3A125" w:rsidR="00E9159C" w:rsidRPr="00EE2F6F" w:rsidRDefault="00E9159C" w:rsidP="00EE2F6F">
      <w:pPr>
        <w:pStyle w:val="Akapitzlist"/>
        <w:numPr>
          <w:ilvl w:val="2"/>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Wyposażona w dwa złącza do ładowania</w:t>
      </w:r>
      <w:r w:rsidR="008A3516" w:rsidRPr="00EE2F6F">
        <w:rPr>
          <w:rFonts w:ascii="Arial" w:hAnsi="Arial" w:cs="Arial"/>
          <w:sz w:val="20"/>
          <w:szCs w:val="20"/>
        </w:rPr>
        <w:t xml:space="preserve"> CCS</w:t>
      </w:r>
      <w:r w:rsidRPr="00EE2F6F">
        <w:rPr>
          <w:rFonts w:ascii="Arial" w:hAnsi="Arial" w:cs="Arial"/>
          <w:sz w:val="20"/>
          <w:szCs w:val="20"/>
        </w:rPr>
        <w:t xml:space="preserve"> Combo-2 (Type2 / Model 4);</w:t>
      </w:r>
    </w:p>
    <w:p w14:paraId="6CEA1D6D" w14:textId="77777777" w:rsidR="00E9159C" w:rsidRPr="00EE2F6F" w:rsidRDefault="00E9159C" w:rsidP="00EE2F6F">
      <w:pPr>
        <w:pStyle w:val="Akapitzlist"/>
        <w:numPr>
          <w:ilvl w:val="2"/>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Wyposażona w kable o długości minimum 5 metrów;</w:t>
      </w:r>
    </w:p>
    <w:p w14:paraId="245BB7BF" w14:textId="77777777" w:rsidR="00E9159C" w:rsidRPr="00EE2F6F" w:rsidRDefault="00E9159C" w:rsidP="00EE2F6F">
      <w:pPr>
        <w:pStyle w:val="Akapitzlist"/>
        <w:numPr>
          <w:ilvl w:val="2"/>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 xml:space="preserve">Stacja ładowania ma posiadać konstrukcję wolnostojącego, autonomicznego urządzenia. </w:t>
      </w:r>
    </w:p>
    <w:p w14:paraId="0AA98A99" w14:textId="77777777" w:rsidR="00E9159C" w:rsidRPr="00EE2F6F" w:rsidRDefault="00E9159C" w:rsidP="00EE2F6F">
      <w:pPr>
        <w:pStyle w:val="Akapitzlist"/>
        <w:numPr>
          <w:ilvl w:val="2"/>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 xml:space="preserve">Konstrukcja stacji ładowania oraz wszystkie elementy przewodzące muszą być uziemione. </w:t>
      </w:r>
    </w:p>
    <w:p w14:paraId="3D184ADF" w14:textId="77777777" w:rsidR="00E9159C" w:rsidRPr="00EE2F6F" w:rsidRDefault="00E9159C" w:rsidP="00EE2F6F">
      <w:pPr>
        <w:pStyle w:val="Akapitzlist"/>
        <w:numPr>
          <w:ilvl w:val="2"/>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Stacja ładowania musi zapewniać stopień ochronny minimum IP54 oraz IK10 według normy PN-EN 61851-23 lub równoważnej oraz IK8 dla wyświetlacza. Dopuszczalne IP23 dla układu chłodzenia (radiatorów).</w:t>
      </w:r>
    </w:p>
    <w:p w14:paraId="55D2A0EB" w14:textId="05F9D540" w:rsidR="00E9159C" w:rsidRPr="00EE2F6F" w:rsidRDefault="00E9159C" w:rsidP="00EE2F6F">
      <w:pPr>
        <w:pStyle w:val="Akapitzlist"/>
        <w:numPr>
          <w:ilvl w:val="2"/>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Zakres temperatury zewnętrznej: od -</w:t>
      </w:r>
      <w:r w:rsidR="00DF0414" w:rsidRPr="00EE2F6F">
        <w:rPr>
          <w:rFonts w:ascii="Arial" w:hAnsi="Arial" w:cs="Arial"/>
          <w:sz w:val="20"/>
          <w:szCs w:val="20"/>
        </w:rPr>
        <w:t>35</w:t>
      </w:r>
      <w:r w:rsidRPr="00EE2F6F">
        <w:rPr>
          <w:rFonts w:ascii="Arial" w:hAnsi="Arial" w:cs="Arial"/>
          <w:sz w:val="20"/>
          <w:szCs w:val="20"/>
        </w:rPr>
        <w:t>°C do +</w:t>
      </w:r>
      <w:r w:rsidR="00DF0414" w:rsidRPr="00EE2F6F">
        <w:rPr>
          <w:rFonts w:ascii="Arial" w:hAnsi="Arial" w:cs="Arial"/>
          <w:sz w:val="20"/>
          <w:szCs w:val="20"/>
        </w:rPr>
        <w:t>50</w:t>
      </w:r>
      <w:r w:rsidRPr="00EE2F6F">
        <w:rPr>
          <w:rFonts w:ascii="Arial" w:hAnsi="Arial" w:cs="Arial"/>
          <w:sz w:val="20"/>
          <w:szCs w:val="20"/>
        </w:rPr>
        <w:t xml:space="preserve">°C. </w:t>
      </w:r>
    </w:p>
    <w:p w14:paraId="206A02A2" w14:textId="77777777" w:rsidR="00E9159C" w:rsidRPr="00EE2F6F" w:rsidRDefault="00E9159C" w:rsidP="00EE2F6F">
      <w:pPr>
        <w:pStyle w:val="Akapitzlist"/>
        <w:numPr>
          <w:ilvl w:val="2"/>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 xml:space="preserve">Stacja ładowania musi posiadać układ chłodzenia powietrzem lub cieczą zapewniający stabilną pracę i dogodne uwarunkowania temperaturowe urządzenia. </w:t>
      </w:r>
    </w:p>
    <w:p w14:paraId="1B6BDD26" w14:textId="1B646075" w:rsidR="00E9159C" w:rsidRPr="00EE2F6F" w:rsidRDefault="00E9159C" w:rsidP="00EE2F6F">
      <w:pPr>
        <w:pStyle w:val="Akapitzlist"/>
        <w:numPr>
          <w:ilvl w:val="2"/>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Każda ładowarka wyposażona w licznik energii elektrycznej umożliwiający lokalny i zdalny odczyt zużycia energii dla całej stacji ładowania. Akceptuje się zaoferowanie Systemu zarządzania i monitorowania stacj</w:t>
      </w:r>
      <w:r w:rsidR="001A19AF" w:rsidRPr="00EE2F6F">
        <w:rPr>
          <w:rFonts w:ascii="Arial" w:hAnsi="Arial" w:cs="Arial"/>
          <w:sz w:val="20"/>
          <w:szCs w:val="20"/>
        </w:rPr>
        <w:t>i</w:t>
      </w:r>
      <w:r w:rsidRPr="00EE2F6F">
        <w:rPr>
          <w:rFonts w:ascii="Arial" w:hAnsi="Arial" w:cs="Arial"/>
          <w:sz w:val="20"/>
          <w:szCs w:val="20"/>
        </w:rPr>
        <w:t xml:space="preserve"> ładowania, posiadającego funkcję - zgodnie z protokołem OCPP - zdalnego odczytu wskazań licznika energii na początku procesu ładowania, w trakcie trwania procesu ładowania oraz po zakończeniu procesu ładowania. </w:t>
      </w:r>
    </w:p>
    <w:p w14:paraId="25A1A1F7" w14:textId="77777777" w:rsidR="00E9159C" w:rsidRPr="00EE2F6F" w:rsidRDefault="00E9159C" w:rsidP="00EE2F6F">
      <w:pPr>
        <w:pStyle w:val="Akapitzlist"/>
        <w:numPr>
          <w:ilvl w:val="2"/>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Stacja ładowania musi umożliwiać pomiar rzeczywistej energii wyjściowej, zużytej bezpośrednio do ładowania autobusów dla każdego stanowiska ładowania osobno oraz musi umożliwiać całościowy pomiar energii wejściowej, pobranej przez stację do ładowania autobusów.</w:t>
      </w:r>
    </w:p>
    <w:p w14:paraId="32EEAF9A" w14:textId="77777777" w:rsidR="00E9159C" w:rsidRPr="00EE2F6F" w:rsidRDefault="00E9159C" w:rsidP="00EE2F6F">
      <w:pPr>
        <w:pStyle w:val="Akapitzlist"/>
        <w:numPr>
          <w:ilvl w:val="2"/>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Napięcie na wyjściu złącza ładowania powinno pojawić się dopiero po poprawnym podłączeniu i komunikacji autobusu ze stacją ładowania oraz zablokowaniu mechanicznym, uniemożliwiającym rozłączenie w trakcie ładowania.</w:t>
      </w:r>
    </w:p>
    <w:p w14:paraId="62A566BD" w14:textId="77777777" w:rsidR="00E9159C" w:rsidRPr="00EE2F6F" w:rsidRDefault="00E9159C" w:rsidP="00EE2F6F">
      <w:pPr>
        <w:pStyle w:val="Akapitzlist"/>
        <w:numPr>
          <w:ilvl w:val="2"/>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 xml:space="preserve">Po podłączeniu autobusu do stacji ładowania uruchomienie procesu ładowania musi odbywać się samoczynnie bez konieczności ingerencji użytkownika/kierowcy autobusu w stację ładowania. </w:t>
      </w:r>
    </w:p>
    <w:p w14:paraId="5BF0D039" w14:textId="77777777" w:rsidR="00E9159C" w:rsidRPr="00EE2F6F" w:rsidRDefault="00E9159C" w:rsidP="00EE2F6F">
      <w:pPr>
        <w:pStyle w:val="Akapitzlist"/>
        <w:numPr>
          <w:ilvl w:val="2"/>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 xml:space="preserve">Stacja ładowania ma posiadać konstrukcję modułową. </w:t>
      </w:r>
    </w:p>
    <w:p w14:paraId="3E033706" w14:textId="77777777" w:rsidR="00E9159C" w:rsidRPr="00EE2F6F" w:rsidRDefault="00E9159C" w:rsidP="00EE2F6F">
      <w:pPr>
        <w:pStyle w:val="Akapitzlist"/>
        <w:numPr>
          <w:ilvl w:val="2"/>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 xml:space="preserve">Stacja ładowania musi posiadać deklarację zgodności producenta, poświadczającą: kompatybilność elektromagnetyczną (EMC) klasa A zgodną z normą IEC 61000-6-4 lub równoważną (emisja) oraz normą IEC 61000-6-2 (odporność) lub równoważną. Zgodność z dyrektywą nisko-napięciową. </w:t>
      </w:r>
    </w:p>
    <w:p w14:paraId="6453899A" w14:textId="74D53959" w:rsidR="00E9159C" w:rsidRPr="00EE2F6F" w:rsidRDefault="00E9159C" w:rsidP="00EE2F6F">
      <w:pPr>
        <w:pStyle w:val="Akapitzlist"/>
        <w:numPr>
          <w:ilvl w:val="2"/>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Komunikacja pomiędzy stacją ładowania i autobusem musi odbywać się zgodnie ze standardami IEC 61851-1/23</w:t>
      </w:r>
      <w:r w:rsidR="00DF0414" w:rsidRPr="00EE2F6F">
        <w:rPr>
          <w:rFonts w:ascii="Arial" w:hAnsi="Arial" w:cs="Arial"/>
          <w:sz w:val="20"/>
          <w:szCs w:val="20"/>
        </w:rPr>
        <w:t xml:space="preserve"> / IEC 61851-24</w:t>
      </w:r>
      <w:r w:rsidRPr="00EE2F6F">
        <w:rPr>
          <w:rFonts w:ascii="Arial" w:hAnsi="Arial" w:cs="Arial"/>
          <w:sz w:val="20"/>
          <w:szCs w:val="20"/>
        </w:rPr>
        <w:t xml:space="preserve"> / ISO15118 Ed1 </w:t>
      </w:r>
      <w:r w:rsidR="00DF0414" w:rsidRPr="00EE2F6F">
        <w:rPr>
          <w:rFonts w:ascii="Arial" w:hAnsi="Arial" w:cs="Arial"/>
          <w:sz w:val="20"/>
          <w:szCs w:val="20"/>
        </w:rPr>
        <w:t xml:space="preserve">/ DIN70121 </w:t>
      </w:r>
      <w:r w:rsidRPr="00EE2F6F">
        <w:rPr>
          <w:rFonts w:ascii="Arial" w:hAnsi="Arial" w:cs="Arial"/>
          <w:sz w:val="20"/>
          <w:szCs w:val="20"/>
        </w:rPr>
        <w:t>lub równoważną</w:t>
      </w:r>
      <w:r w:rsidR="00723364" w:rsidRPr="00EE2F6F">
        <w:rPr>
          <w:rFonts w:ascii="Arial" w:hAnsi="Arial" w:cs="Arial"/>
          <w:sz w:val="20"/>
          <w:szCs w:val="20"/>
        </w:rPr>
        <w:t>, VDV-261.</w:t>
      </w:r>
    </w:p>
    <w:p w14:paraId="1D3E0270" w14:textId="77777777" w:rsidR="00E9159C" w:rsidRPr="00EE2F6F" w:rsidRDefault="00E9159C" w:rsidP="00EE2F6F">
      <w:pPr>
        <w:pStyle w:val="Akapitzlist"/>
        <w:numPr>
          <w:ilvl w:val="2"/>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lastRenderedPageBreak/>
        <w:t xml:space="preserve">Stacja ładowania będzie posiadać podświetlenie klawiszy panelu sterowania umożliwiające korzystanie z niej w godzinach wieczornych, nocnych i porannych. </w:t>
      </w:r>
    </w:p>
    <w:p w14:paraId="1778C278" w14:textId="77777777" w:rsidR="00E9159C" w:rsidRPr="00EE2F6F" w:rsidRDefault="00E9159C" w:rsidP="00EE2F6F">
      <w:pPr>
        <w:pStyle w:val="Akapitzlist"/>
        <w:numPr>
          <w:ilvl w:val="2"/>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 xml:space="preserve">Stacja ładowania musi być wyposażona w wizualną sygnalizację informującą o stanie ładowania (co najmniej o trwającym procesie ładowania, ewentualnych awariach, gotowości do podjęcia ładowania): niebieski – ładowanie w toku, zielona – gotowość stanowiska do podjęcia ładowania, czerwona – awaria stanowiska ładowania). </w:t>
      </w:r>
    </w:p>
    <w:p w14:paraId="42883037" w14:textId="77777777" w:rsidR="00E9159C" w:rsidRPr="00EE2F6F" w:rsidRDefault="00E9159C" w:rsidP="00EE2F6F">
      <w:pPr>
        <w:pStyle w:val="Akapitzlist"/>
        <w:numPr>
          <w:ilvl w:val="2"/>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Stacja ładowania musi posiadać wbudowany moduł łączności GSM.</w:t>
      </w:r>
    </w:p>
    <w:p w14:paraId="30795E70" w14:textId="77777777" w:rsidR="00E9159C" w:rsidRPr="00EE2F6F" w:rsidRDefault="00E9159C" w:rsidP="00EE2F6F">
      <w:pPr>
        <w:pStyle w:val="Akapitzlist"/>
        <w:numPr>
          <w:ilvl w:val="2"/>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 xml:space="preserve">Stacja ładowania musi być wyposażona w kontrolę rezystancji izolacji (IMD). </w:t>
      </w:r>
    </w:p>
    <w:p w14:paraId="35CF631A" w14:textId="77777777" w:rsidR="00E9159C" w:rsidRPr="00EE2F6F" w:rsidRDefault="00E9159C" w:rsidP="00EE2F6F">
      <w:pPr>
        <w:pStyle w:val="Akapitzlist"/>
        <w:numPr>
          <w:ilvl w:val="2"/>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 xml:space="preserve">Stacja ładowania musi być </w:t>
      </w:r>
      <w:r w:rsidRPr="00205125">
        <w:rPr>
          <w:rFonts w:ascii="Arial" w:hAnsi="Arial" w:cs="Arial"/>
          <w:sz w:val="20"/>
          <w:szCs w:val="20"/>
        </w:rPr>
        <w:t xml:space="preserve">wyposażona w interfejs ładowania zgodny </w:t>
      </w:r>
      <w:r w:rsidRPr="00EE2F6F">
        <w:rPr>
          <w:rFonts w:ascii="Arial" w:hAnsi="Arial" w:cs="Arial"/>
          <w:sz w:val="20"/>
          <w:szCs w:val="20"/>
        </w:rPr>
        <w:t xml:space="preserve">z normą IEC 62196-3 lub równoważną. </w:t>
      </w:r>
    </w:p>
    <w:p w14:paraId="4F2191E4" w14:textId="3F69D3E5" w:rsidR="00E9159C" w:rsidRPr="00EE2F6F" w:rsidRDefault="00E9159C" w:rsidP="00EE2F6F">
      <w:pPr>
        <w:pStyle w:val="Akapitzlist"/>
        <w:numPr>
          <w:ilvl w:val="2"/>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 xml:space="preserve">Stacja ładowania musi być wyposażona w rozwiązanie zarządzające okablowaniem, które podczas odkładania przewodu zwalnia użytkownika z czynności owijania przewodu wokół wieszaka, umożliwiając w łatwy sposób włożenia wtyczki do gniazda odkładczego zlokalizowanego na odbudowie. System powinien powodować, że przewód sam wróci na pierwotną pozycję oraz nie będzie stykał się z podłożem podczas ładowania (bez ingerencji użytkownika). Niespełnieniem wymagań Zamawiającego będzie dostarczenie stacji wyposażonej tylko w uchwyt do podtrzymywania przewodu, w którym to użytkownik będzie odpowiedzialny za zwijanie przewodu, ma to na celu ograniczenie ingerencji użytkownika i niedopuszczenie do sytuacji, w której przewód znajdowałby się bezpośrednio na ziemi a tym samym ulegałby szybszej eksploatacji poprzez uszkodzenie izolacji. </w:t>
      </w:r>
    </w:p>
    <w:p w14:paraId="3718EAB4" w14:textId="77777777" w:rsidR="00DF0414" w:rsidRPr="00EE2F6F" w:rsidRDefault="00DF0414" w:rsidP="00EE2F6F">
      <w:pPr>
        <w:pStyle w:val="Akapitzlist"/>
        <w:tabs>
          <w:tab w:val="left" w:pos="1134"/>
        </w:tabs>
        <w:spacing w:after="0" w:line="276" w:lineRule="auto"/>
        <w:ind w:left="2160"/>
        <w:jc w:val="both"/>
        <w:rPr>
          <w:rFonts w:ascii="Arial" w:hAnsi="Arial" w:cs="Arial"/>
          <w:sz w:val="20"/>
          <w:szCs w:val="20"/>
        </w:rPr>
      </w:pPr>
    </w:p>
    <w:p w14:paraId="396DD3B1" w14:textId="10E5A427" w:rsidR="00DF0414" w:rsidRPr="00EE2F6F" w:rsidRDefault="00DF0414" w:rsidP="00EE2F6F">
      <w:pPr>
        <w:pStyle w:val="Akapitzlist"/>
        <w:numPr>
          <w:ilvl w:val="1"/>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Parametry elektryczne i wymagania w tym zakresie dla ładowarki dwustanowiskowej</w:t>
      </w:r>
    </w:p>
    <w:p w14:paraId="234476D0" w14:textId="77777777" w:rsidR="00DF0414" w:rsidRPr="00EE2F6F" w:rsidRDefault="00DF0414" w:rsidP="00EE2F6F">
      <w:pPr>
        <w:pStyle w:val="Akapitzlist"/>
        <w:tabs>
          <w:tab w:val="left" w:pos="1134"/>
        </w:tabs>
        <w:spacing w:after="0" w:line="276" w:lineRule="auto"/>
        <w:ind w:left="1440"/>
        <w:jc w:val="both"/>
        <w:rPr>
          <w:rFonts w:ascii="Arial" w:hAnsi="Arial" w:cs="Arial"/>
          <w:sz w:val="20"/>
          <w:szCs w:val="20"/>
        </w:rPr>
      </w:pPr>
    </w:p>
    <w:p w14:paraId="0C9A7DCC" w14:textId="77777777" w:rsidR="00E9159C" w:rsidRPr="00EE2F6F" w:rsidRDefault="00E9159C" w:rsidP="00EE2F6F">
      <w:pPr>
        <w:pStyle w:val="Akapitzlist"/>
        <w:numPr>
          <w:ilvl w:val="2"/>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 xml:space="preserve">Sprawność energetyczna na poziomie minimum 94%. </w:t>
      </w:r>
    </w:p>
    <w:p w14:paraId="7014C68E" w14:textId="77777777" w:rsidR="00E9159C" w:rsidRPr="00EE2F6F" w:rsidRDefault="00E9159C" w:rsidP="00EE2F6F">
      <w:pPr>
        <w:pStyle w:val="Akapitzlist"/>
        <w:numPr>
          <w:ilvl w:val="2"/>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 xml:space="preserve">Napięcie wyjściowe stacji ładowania: 150-1000V DC. </w:t>
      </w:r>
    </w:p>
    <w:p w14:paraId="746C6FF4" w14:textId="77777777" w:rsidR="00E9159C" w:rsidRPr="00EE2F6F" w:rsidRDefault="00E9159C" w:rsidP="00EE2F6F">
      <w:pPr>
        <w:pStyle w:val="Akapitzlist"/>
        <w:numPr>
          <w:ilvl w:val="2"/>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 xml:space="preserve">Współczynnik mocy większy bądź równy 0,98. </w:t>
      </w:r>
    </w:p>
    <w:p w14:paraId="2ED268C6" w14:textId="77777777" w:rsidR="00E9159C" w:rsidRPr="00EE2F6F" w:rsidRDefault="00E9159C" w:rsidP="00EE2F6F">
      <w:pPr>
        <w:pStyle w:val="Akapitzlist"/>
        <w:numPr>
          <w:ilvl w:val="2"/>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 xml:space="preserve">Współczynnik zawartości harmonicznych THDi ≤ 5%. </w:t>
      </w:r>
    </w:p>
    <w:p w14:paraId="6D615708" w14:textId="5A646F59" w:rsidR="00DF0414" w:rsidRPr="00EE2F6F" w:rsidRDefault="00E9159C" w:rsidP="00EE2F6F">
      <w:pPr>
        <w:pStyle w:val="Akapitzlist"/>
        <w:numPr>
          <w:ilvl w:val="2"/>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Moc wyjściowa stacji ładowania nie mniejsza niż 2</w:t>
      </w:r>
      <w:r w:rsidR="00DF0414" w:rsidRPr="00EE2F6F">
        <w:rPr>
          <w:rFonts w:ascii="Arial" w:hAnsi="Arial" w:cs="Arial"/>
          <w:sz w:val="20"/>
          <w:szCs w:val="20"/>
        </w:rPr>
        <w:t>2</w:t>
      </w:r>
      <w:r w:rsidRPr="00EE2F6F">
        <w:rPr>
          <w:rFonts w:ascii="Arial" w:hAnsi="Arial" w:cs="Arial"/>
          <w:sz w:val="20"/>
          <w:szCs w:val="20"/>
        </w:rPr>
        <w:t xml:space="preserve">0kW. </w:t>
      </w:r>
    </w:p>
    <w:p w14:paraId="391BACF6" w14:textId="77777777" w:rsidR="00DF0414" w:rsidRPr="00EE2F6F" w:rsidRDefault="00E9159C" w:rsidP="00EE2F6F">
      <w:pPr>
        <w:pStyle w:val="Akapitzlist"/>
        <w:numPr>
          <w:ilvl w:val="2"/>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 xml:space="preserve">Napięcie zasilania dla stacji ładowania: 3x400V AC, 50Hz. </w:t>
      </w:r>
    </w:p>
    <w:p w14:paraId="23364653" w14:textId="77777777" w:rsidR="00DF0414" w:rsidRPr="00EE2F6F" w:rsidRDefault="00E9159C" w:rsidP="00EE2F6F">
      <w:pPr>
        <w:pStyle w:val="Akapitzlist"/>
        <w:numPr>
          <w:ilvl w:val="2"/>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 xml:space="preserve">Maksymalny prąd ładowania 250A. </w:t>
      </w:r>
    </w:p>
    <w:p w14:paraId="0FD94D6A" w14:textId="77777777" w:rsidR="00DF0414" w:rsidRPr="00EE2F6F" w:rsidRDefault="00E9159C" w:rsidP="00EE2F6F">
      <w:pPr>
        <w:pStyle w:val="Akapitzlist"/>
        <w:numPr>
          <w:ilvl w:val="2"/>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Układ sieci TN-S / zgodnie z normą PN EN 50160 lub równoważny.</w:t>
      </w:r>
    </w:p>
    <w:p w14:paraId="35369B64" w14:textId="77777777" w:rsidR="00DF0414" w:rsidRPr="00EE2F6F" w:rsidRDefault="00E9159C" w:rsidP="00EE2F6F">
      <w:pPr>
        <w:pStyle w:val="Akapitzlist"/>
        <w:numPr>
          <w:ilvl w:val="2"/>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 xml:space="preserve">Współczynnik mocy musi być większy bądź równy 0,98 oraz THDi (Total Harmonic Distortion – Current) mniejsze bądź równe 5% dla mocy znamionowej ładowarki. </w:t>
      </w:r>
    </w:p>
    <w:p w14:paraId="4B53B2E8" w14:textId="77777777" w:rsidR="00DF0414" w:rsidRPr="00EE2F6F" w:rsidRDefault="00E9159C" w:rsidP="00EE2F6F">
      <w:pPr>
        <w:pStyle w:val="Akapitzlist"/>
        <w:numPr>
          <w:ilvl w:val="2"/>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 xml:space="preserve">Urządzenie musi umożliwiać ładowanie prądem stałym w trybach: CC (Constant Current), CV (Constant Voltage). </w:t>
      </w:r>
    </w:p>
    <w:p w14:paraId="31861BD0" w14:textId="68DB9799" w:rsidR="00E9159C" w:rsidRPr="00EE2F6F" w:rsidRDefault="00E9159C" w:rsidP="00EE2F6F">
      <w:pPr>
        <w:pStyle w:val="Akapitzlist"/>
        <w:numPr>
          <w:ilvl w:val="2"/>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 xml:space="preserve">Wymagane jest zabezpieczenie instalacji elektrycznej wraz ze stacją ładowania autobusów z napędem elektrycznym bezpiecznikiem dostosowanym do przewidywanego obciążenia. Instalacja elektryczna musi być zabezpieczona przed czynnikami środowiskowymi. Ponadto ładowarka musi być wyposażona w układ kontroli rezystancji izolacji obwodów wyjściowych. Awaria jednego z modułów ładowania powinna powodować jedynie ograniczenie mocy wyjściowej, a nie wyłączenie całej stacji. Ładowarka musi zapewniać możliwość ładowania ciągłego przy warunkach granicznych (maksymalna moc wejściowa, maksymalny prąd wyjściowego) z wyłączeniem czasu na prace serwisowe. </w:t>
      </w:r>
    </w:p>
    <w:p w14:paraId="66219527" w14:textId="77777777" w:rsidR="00713782" w:rsidRPr="00EE2F6F" w:rsidRDefault="00713782" w:rsidP="00EE2F6F">
      <w:pPr>
        <w:pStyle w:val="Default"/>
        <w:spacing w:line="276" w:lineRule="auto"/>
        <w:contextualSpacing/>
        <w:jc w:val="both"/>
        <w:rPr>
          <w:color w:val="auto"/>
          <w:sz w:val="20"/>
          <w:szCs w:val="20"/>
        </w:rPr>
      </w:pPr>
    </w:p>
    <w:p w14:paraId="1A0F76F1" w14:textId="26194344" w:rsidR="00AA7CD0" w:rsidRPr="00EE2F6F" w:rsidRDefault="00713782" w:rsidP="00EE2F6F">
      <w:pPr>
        <w:pStyle w:val="Default"/>
        <w:numPr>
          <w:ilvl w:val="1"/>
          <w:numId w:val="1"/>
        </w:numPr>
        <w:spacing w:line="276" w:lineRule="auto"/>
        <w:contextualSpacing/>
        <w:jc w:val="both"/>
        <w:rPr>
          <w:sz w:val="20"/>
          <w:szCs w:val="20"/>
        </w:rPr>
      </w:pPr>
      <w:r w:rsidRPr="00EE2F6F">
        <w:rPr>
          <w:sz w:val="20"/>
          <w:szCs w:val="20"/>
        </w:rPr>
        <w:t>Każda ładowarka wyposażona w licznik energii elektrycznej umożliwiający lokalny i zdalny odczyt zużycia energii dla całej stacji ładowania.</w:t>
      </w:r>
    </w:p>
    <w:p w14:paraId="3D3A0CC2" w14:textId="77777777" w:rsidR="00401BD1" w:rsidRPr="00EE2F6F" w:rsidRDefault="00401BD1" w:rsidP="00EE2F6F">
      <w:pPr>
        <w:pStyle w:val="Default"/>
        <w:spacing w:line="276" w:lineRule="auto"/>
        <w:ind w:left="1440"/>
        <w:contextualSpacing/>
        <w:jc w:val="both"/>
        <w:rPr>
          <w:sz w:val="20"/>
          <w:szCs w:val="20"/>
        </w:rPr>
      </w:pPr>
    </w:p>
    <w:p w14:paraId="483D60F4" w14:textId="4D311054" w:rsidR="00E75839" w:rsidRPr="00EE2F6F" w:rsidRDefault="00B34EE2" w:rsidP="00EE2F6F">
      <w:pPr>
        <w:pStyle w:val="Akapitzlist"/>
        <w:numPr>
          <w:ilvl w:val="1"/>
          <w:numId w:val="1"/>
        </w:numPr>
        <w:spacing w:after="0" w:line="276" w:lineRule="auto"/>
        <w:jc w:val="both"/>
        <w:rPr>
          <w:rFonts w:ascii="Arial" w:hAnsi="Arial" w:cs="Arial"/>
          <w:sz w:val="20"/>
          <w:szCs w:val="20"/>
        </w:rPr>
      </w:pPr>
      <w:r w:rsidRPr="00EE2F6F">
        <w:rPr>
          <w:rFonts w:ascii="Arial" w:hAnsi="Arial" w:cs="Arial"/>
          <w:sz w:val="20"/>
          <w:szCs w:val="20"/>
        </w:rPr>
        <w:t xml:space="preserve">W związku z charakterem Przedmiotu umowy </w:t>
      </w:r>
      <w:r w:rsidR="00E75839" w:rsidRPr="00EE2F6F">
        <w:rPr>
          <w:rFonts w:ascii="Arial" w:hAnsi="Arial" w:cs="Arial"/>
          <w:sz w:val="20"/>
          <w:szCs w:val="20"/>
        </w:rPr>
        <w:t>Wykonawca zobowiązany jest do współpracy ze wskazanym przez Zamawiającego dostawcą autobusów elektrycznych i zobowiązany jest mu przekazać i pozyskać od niego wszelkie niezbędne informacje zapewniające optymalną współpracę urządzeń oraz systemów  w celu zapewnienia kompatybilności autobusów elektrycznych z infrastrukturą ładowania pojazdów oraz z systemem dynamicznego zarządzania ładowaniem i systemem dynamicznego zarządzania ładowaniem. Zamawiający zobowiązuje się razem z Wykonawcą współpracować i pomagać Wykonawcy w kontaktach z dostawcą autobusów, jak również będzie uczestniczył wraz z Wykonawcą w pozyskiwaniu informacji od dostawcy autobusów.</w:t>
      </w:r>
    </w:p>
    <w:p w14:paraId="4FE77712" w14:textId="77777777" w:rsidR="00796260" w:rsidRPr="00EE2F6F" w:rsidRDefault="00796260" w:rsidP="00EE2F6F">
      <w:pPr>
        <w:pStyle w:val="Akapitzlist"/>
        <w:spacing w:after="0" w:line="276" w:lineRule="auto"/>
        <w:ind w:left="1440"/>
        <w:jc w:val="both"/>
        <w:rPr>
          <w:rFonts w:ascii="Arial" w:hAnsi="Arial" w:cs="Arial"/>
          <w:sz w:val="20"/>
          <w:szCs w:val="20"/>
        </w:rPr>
      </w:pPr>
    </w:p>
    <w:p w14:paraId="595867AE" w14:textId="77777777" w:rsidR="00796260" w:rsidRPr="00EE2F6F" w:rsidRDefault="00796260" w:rsidP="00EE2F6F">
      <w:pPr>
        <w:pStyle w:val="Akapitzlist"/>
        <w:numPr>
          <w:ilvl w:val="1"/>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 xml:space="preserve">Wykonawca przed przystąpieniem do prac ma obowiązek konsultacji i uzyskania pisemnej akceptacji Zamawiającego, wyglądu zewnętrznego i kolorystyki oraz miejsca posadowienia urządzeń. Zamawiający ma prawo konsultować przyjęte rozwiązania z zewnętrznymi jednostkami. </w:t>
      </w:r>
    </w:p>
    <w:p w14:paraId="2F8E726D" w14:textId="77777777" w:rsidR="00796260" w:rsidRPr="00EE2F6F" w:rsidRDefault="00796260" w:rsidP="00EE2F6F">
      <w:pPr>
        <w:pStyle w:val="Akapitzlist"/>
        <w:tabs>
          <w:tab w:val="left" w:pos="1134"/>
        </w:tabs>
        <w:spacing w:after="0" w:line="276" w:lineRule="auto"/>
        <w:ind w:left="1440"/>
        <w:jc w:val="both"/>
        <w:rPr>
          <w:rFonts w:ascii="Arial" w:hAnsi="Arial" w:cs="Arial"/>
          <w:sz w:val="20"/>
          <w:szCs w:val="20"/>
        </w:rPr>
      </w:pPr>
    </w:p>
    <w:p w14:paraId="06C88EE0" w14:textId="00299B03" w:rsidR="00796260" w:rsidRPr="00EE2F6F" w:rsidRDefault="00796260" w:rsidP="00EE2F6F">
      <w:pPr>
        <w:pStyle w:val="Akapitzlist"/>
        <w:numPr>
          <w:ilvl w:val="1"/>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Wykonawca odpowiada za podłączenie stacji ładowania do sieci zasilającej Zamawiającego.</w:t>
      </w:r>
    </w:p>
    <w:p w14:paraId="571DE198" w14:textId="77777777" w:rsidR="00796260" w:rsidRPr="00EE2F6F" w:rsidRDefault="00796260" w:rsidP="00EE2F6F">
      <w:pPr>
        <w:spacing w:after="0" w:line="276" w:lineRule="auto"/>
        <w:contextualSpacing/>
        <w:jc w:val="both"/>
        <w:rPr>
          <w:rFonts w:ascii="Arial" w:hAnsi="Arial" w:cs="Arial"/>
          <w:sz w:val="20"/>
          <w:szCs w:val="20"/>
        </w:rPr>
      </w:pPr>
    </w:p>
    <w:p w14:paraId="3064633B" w14:textId="77777777" w:rsidR="00796260" w:rsidRPr="00EE2F6F" w:rsidRDefault="00796260" w:rsidP="00EE2F6F">
      <w:pPr>
        <w:pStyle w:val="Akapitzlist"/>
        <w:numPr>
          <w:ilvl w:val="1"/>
          <w:numId w:val="1"/>
        </w:numPr>
        <w:spacing w:after="0" w:line="276" w:lineRule="auto"/>
        <w:jc w:val="both"/>
        <w:rPr>
          <w:rFonts w:ascii="Arial" w:hAnsi="Arial" w:cs="Arial"/>
          <w:sz w:val="20"/>
          <w:szCs w:val="20"/>
        </w:rPr>
      </w:pPr>
      <w:r w:rsidRPr="00EE2F6F">
        <w:rPr>
          <w:rFonts w:ascii="Arial" w:hAnsi="Arial" w:cs="Arial"/>
          <w:sz w:val="20"/>
          <w:szCs w:val="20"/>
        </w:rPr>
        <w:t>Zamawiający wymaga, aby oferowane urządzenia infrastruktury ładowania autobusów elektrycznych były:</w:t>
      </w:r>
    </w:p>
    <w:p w14:paraId="163F8E33" w14:textId="77777777" w:rsidR="00796260" w:rsidRPr="00EE2F6F" w:rsidRDefault="00796260" w:rsidP="00EE2F6F">
      <w:pPr>
        <w:pStyle w:val="Akapitzlist"/>
        <w:spacing w:after="0" w:line="276" w:lineRule="auto"/>
        <w:jc w:val="both"/>
        <w:rPr>
          <w:rFonts w:ascii="Arial" w:hAnsi="Arial" w:cs="Arial"/>
          <w:sz w:val="20"/>
          <w:szCs w:val="20"/>
        </w:rPr>
      </w:pPr>
    </w:p>
    <w:p w14:paraId="1F3F041C" w14:textId="77777777" w:rsidR="00796260" w:rsidRPr="00EE2F6F" w:rsidRDefault="00796260" w:rsidP="00EE2F6F">
      <w:pPr>
        <w:pStyle w:val="Akapitzlist"/>
        <w:numPr>
          <w:ilvl w:val="3"/>
          <w:numId w:val="1"/>
        </w:numPr>
        <w:spacing w:after="0" w:line="276" w:lineRule="auto"/>
        <w:jc w:val="both"/>
        <w:rPr>
          <w:rFonts w:ascii="Arial" w:hAnsi="Arial" w:cs="Arial"/>
          <w:sz w:val="20"/>
          <w:szCs w:val="20"/>
        </w:rPr>
      </w:pPr>
      <w:r w:rsidRPr="00EE2F6F">
        <w:rPr>
          <w:rFonts w:ascii="Arial" w:hAnsi="Arial" w:cs="Arial"/>
          <w:sz w:val="20"/>
          <w:szCs w:val="20"/>
        </w:rPr>
        <w:t xml:space="preserve">fabrycznie nowe, a rok produkcji nie później niż 2025; </w:t>
      </w:r>
    </w:p>
    <w:p w14:paraId="4F8D67E2" w14:textId="77777777" w:rsidR="00796260" w:rsidRPr="00EE2F6F" w:rsidRDefault="00796260" w:rsidP="00EE2F6F">
      <w:pPr>
        <w:pStyle w:val="Akapitzlist"/>
        <w:numPr>
          <w:ilvl w:val="3"/>
          <w:numId w:val="1"/>
        </w:numPr>
        <w:spacing w:after="0" w:line="276" w:lineRule="auto"/>
        <w:jc w:val="both"/>
        <w:rPr>
          <w:rFonts w:ascii="Arial" w:hAnsi="Arial" w:cs="Arial"/>
          <w:sz w:val="20"/>
          <w:szCs w:val="20"/>
        </w:rPr>
      </w:pPr>
      <w:r w:rsidRPr="00EE2F6F">
        <w:rPr>
          <w:rFonts w:ascii="Arial" w:hAnsi="Arial" w:cs="Arial"/>
          <w:sz w:val="20"/>
          <w:szCs w:val="20"/>
        </w:rPr>
        <w:t xml:space="preserve">jednego typu, marki oraz wariantu (w ramach danej funkcjonalności) co oznacza, że są one identyczne w szczególności pod względem konstrukcyjnym, parametrów technicznych itp.; </w:t>
      </w:r>
    </w:p>
    <w:p w14:paraId="7ED72E67" w14:textId="77777777" w:rsidR="00796260" w:rsidRPr="00EE2F6F" w:rsidRDefault="00796260" w:rsidP="00EE2F6F">
      <w:pPr>
        <w:pStyle w:val="Akapitzlist"/>
        <w:numPr>
          <w:ilvl w:val="3"/>
          <w:numId w:val="1"/>
        </w:numPr>
        <w:spacing w:after="0" w:line="276" w:lineRule="auto"/>
        <w:jc w:val="both"/>
        <w:rPr>
          <w:rFonts w:ascii="Arial" w:hAnsi="Arial" w:cs="Arial"/>
          <w:sz w:val="20"/>
          <w:szCs w:val="20"/>
        </w:rPr>
      </w:pPr>
      <w:r w:rsidRPr="00EE2F6F">
        <w:rPr>
          <w:rFonts w:ascii="Arial" w:hAnsi="Arial" w:cs="Arial"/>
          <w:sz w:val="20"/>
          <w:szCs w:val="20"/>
        </w:rPr>
        <w:t xml:space="preserve">konstrukcja stacji ładowania i zastosowane rozwiązania mają gwarantować co najmniej 15 lat eksploatacji (żywotność stacji). </w:t>
      </w:r>
    </w:p>
    <w:p w14:paraId="201C1570" w14:textId="77777777" w:rsidR="00796260" w:rsidRPr="00EE2F6F" w:rsidRDefault="00796260" w:rsidP="00EE2F6F">
      <w:pPr>
        <w:pStyle w:val="Akapitzlist"/>
        <w:numPr>
          <w:ilvl w:val="3"/>
          <w:numId w:val="1"/>
        </w:numPr>
        <w:spacing w:after="0" w:line="276" w:lineRule="auto"/>
        <w:jc w:val="both"/>
        <w:rPr>
          <w:rFonts w:ascii="Arial" w:hAnsi="Arial" w:cs="Arial"/>
          <w:sz w:val="20"/>
          <w:szCs w:val="20"/>
        </w:rPr>
      </w:pPr>
      <w:r w:rsidRPr="00EE2F6F">
        <w:rPr>
          <w:rFonts w:ascii="Arial" w:hAnsi="Arial" w:cs="Arial"/>
          <w:sz w:val="20"/>
          <w:szCs w:val="20"/>
        </w:rPr>
        <w:t>Zastosowane rozwiązania techniczne muszą być sprawdzone produkowane seryjnie i niezawodne;</w:t>
      </w:r>
    </w:p>
    <w:p w14:paraId="706F3271" w14:textId="77777777" w:rsidR="00796260" w:rsidRPr="00EE2F6F" w:rsidRDefault="00796260" w:rsidP="00EE2F6F">
      <w:pPr>
        <w:pStyle w:val="Akapitzlist"/>
        <w:numPr>
          <w:ilvl w:val="3"/>
          <w:numId w:val="1"/>
        </w:numPr>
        <w:spacing w:after="0" w:line="276" w:lineRule="auto"/>
        <w:jc w:val="both"/>
        <w:rPr>
          <w:rFonts w:ascii="Arial" w:hAnsi="Arial" w:cs="Arial"/>
          <w:sz w:val="20"/>
          <w:szCs w:val="20"/>
        </w:rPr>
      </w:pPr>
      <w:r w:rsidRPr="00EE2F6F">
        <w:rPr>
          <w:rFonts w:ascii="Arial" w:hAnsi="Arial" w:cs="Arial"/>
          <w:sz w:val="20"/>
          <w:szCs w:val="20"/>
        </w:rPr>
        <w:t>Zamawiający wymaga, aby oferowane urządzenia nie były urządzeniami prototypowymi.</w:t>
      </w:r>
    </w:p>
    <w:p w14:paraId="74EF0133" w14:textId="77777777" w:rsidR="00796260" w:rsidRPr="00EE2F6F" w:rsidRDefault="00796260" w:rsidP="00EE2F6F">
      <w:pPr>
        <w:pStyle w:val="Akapitzlist"/>
        <w:spacing w:after="0" w:line="276" w:lineRule="auto"/>
        <w:ind w:left="2880"/>
        <w:jc w:val="both"/>
        <w:rPr>
          <w:rFonts w:ascii="Arial" w:hAnsi="Arial" w:cs="Arial"/>
          <w:sz w:val="20"/>
          <w:szCs w:val="20"/>
        </w:rPr>
      </w:pPr>
    </w:p>
    <w:p w14:paraId="100DEDF4" w14:textId="77777777" w:rsidR="00796260" w:rsidRPr="00EE2F6F" w:rsidRDefault="00796260" w:rsidP="00EE2F6F">
      <w:pPr>
        <w:pStyle w:val="Akapitzlist"/>
        <w:numPr>
          <w:ilvl w:val="1"/>
          <w:numId w:val="1"/>
        </w:numPr>
        <w:spacing w:after="0" w:line="276" w:lineRule="auto"/>
        <w:jc w:val="both"/>
        <w:rPr>
          <w:rFonts w:ascii="Arial" w:hAnsi="Arial" w:cs="Arial"/>
          <w:sz w:val="20"/>
          <w:szCs w:val="20"/>
        </w:rPr>
      </w:pPr>
      <w:r w:rsidRPr="00EE2F6F">
        <w:rPr>
          <w:rFonts w:ascii="Arial" w:hAnsi="Arial" w:cs="Arial"/>
          <w:sz w:val="20"/>
          <w:szCs w:val="20"/>
        </w:rPr>
        <w:t xml:space="preserve">Wykonawca w okresie gwarancji zobowiązany jest wykonywać bez dodatkowych opłat obsługi, niezbędne pomiary elektryczne, przeglądy dostarczonych urządzeń zgodnie z warunkami gwarancji, DTR oraz obowiązującymi przepisami prawa zapewniając bez dodatkowych opłat wszelkie materiały eksploatacyjne niezbędne do wykonywania przywołanych wyżej czynności. </w:t>
      </w:r>
    </w:p>
    <w:p w14:paraId="0C7BD9E3" w14:textId="77777777" w:rsidR="00796260" w:rsidRPr="00EE2F6F" w:rsidRDefault="00796260" w:rsidP="00EE2F6F">
      <w:pPr>
        <w:pStyle w:val="Akapitzlist"/>
        <w:spacing w:after="0" w:line="276" w:lineRule="auto"/>
        <w:ind w:left="1440"/>
        <w:jc w:val="both"/>
        <w:rPr>
          <w:rFonts w:ascii="Arial" w:hAnsi="Arial" w:cs="Arial"/>
          <w:sz w:val="20"/>
          <w:szCs w:val="20"/>
        </w:rPr>
      </w:pPr>
    </w:p>
    <w:p w14:paraId="006DB42C" w14:textId="75BD5EDB" w:rsidR="00B34EE2" w:rsidRPr="00EE2F6F" w:rsidRDefault="00B34EE2" w:rsidP="00EE2F6F">
      <w:pPr>
        <w:pStyle w:val="Akapitzlist"/>
        <w:spacing w:after="0" w:line="276" w:lineRule="auto"/>
        <w:ind w:left="1440"/>
        <w:jc w:val="both"/>
        <w:rPr>
          <w:rFonts w:ascii="Arial" w:hAnsi="Arial" w:cs="Arial"/>
          <w:sz w:val="20"/>
          <w:szCs w:val="20"/>
        </w:rPr>
      </w:pPr>
    </w:p>
    <w:p w14:paraId="437CDA04" w14:textId="17CFA3A4" w:rsidR="00796260" w:rsidRPr="004E76CA" w:rsidRDefault="004E76CA" w:rsidP="004E76CA">
      <w:pPr>
        <w:tabs>
          <w:tab w:val="left" w:pos="1134"/>
        </w:tabs>
        <w:spacing w:after="0" w:line="276" w:lineRule="auto"/>
        <w:rPr>
          <w:rFonts w:ascii="Arial" w:hAnsi="Arial" w:cs="Arial"/>
          <w:b/>
          <w:bCs/>
          <w:sz w:val="20"/>
          <w:szCs w:val="20"/>
        </w:rPr>
      </w:pPr>
      <w:r>
        <w:rPr>
          <w:rFonts w:ascii="Arial" w:hAnsi="Arial" w:cs="Arial"/>
          <w:b/>
          <w:bCs/>
          <w:sz w:val="20"/>
          <w:szCs w:val="20"/>
        </w:rPr>
        <w:t xml:space="preserve"> </w:t>
      </w:r>
      <w:r w:rsidR="00796260" w:rsidRPr="004E76CA">
        <w:rPr>
          <w:rFonts w:ascii="Arial" w:hAnsi="Arial" w:cs="Arial"/>
          <w:b/>
          <w:bCs/>
          <w:sz w:val="20"/>
          <w:szCs w:val="20"/>
        </w:rPr>
        <w:t>SYSTEM DYNAMICZNEGO ZARZĄDZANIA ŁADOWANIEM</w:t>
      </w:r>
    </w:p>
    <w:p w14:paraId="5186D990" w14:textId="77777777" w:rsidR="00401BD1" w:rsidRPr="00EE2F6F" w:rsidRDefault="00401BD1" w:rsidP="00EE2F6F">
      <w:pPr>
        <w:pStyle w:val="Akapitzlist"/>
        <w:tabs>
          <w:tab w:val="left" w:pos="1134"/>
        </w:tabs>
        <w:spacing w:after="0" w:line="276" w:lineRule="auto"/>
        <w:ind w:left="1440"/>
        <w:jc w:val="both"/>
        <w:rPr>
          <w:rFonts w:ascii="Arial" w:hAnsi="Arial" w:cs="Arial"/>
          <w:sz w:val="20"/>
          <w:szCs w:val="20"/>
        </w:rPr>
      </w:pPr>
    </w:p>
    <w:p w14:paraId="0AD9DD45" w14:textId="1A8501B6" w:rsidR="00BA7002" w:rsidRPr="00EE2F6F" w:rsidRDefault="00BA7002" w:rsidP="00EE2F6F">
      <w:pPr>
        <w:pStyle w:val="Akapitzlist"/>
        <w:numPr>
          <w:ilvl w:val="1"/>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 xml:space="preserve">System dynamicznego </w:t>
      </w:r>
      <w:r w:rsidR="001F7BA2" w:rsidRPr="00EE2F6F">
        <w:rPr>
          <w:rFonts w:ascii="Arial" w:hAnsi="Arial" w:cs="Arial"/>
          <w:sz w:val="20"/>
          <w:szCs w:val="20"/>
        </w:rPr>
        <w:t>zarządzania ładowaniem</w:t>
      </w:r>
      <w:r w:rsidR="00694998" w:rsidRPr="00EE2F6F">
        <w:rPr>
          <w:rFonts w:ascii="Arial" w:hAnsi="Arial" w:cs="Arial"/>
          <w:sz w:val="20"/>
          <w:szCs w:val="20"/>
        </w:rPr>
        <w:t xml:space="preserve"> w oparciu o funkcję dynamicznego rozdziału mocy ładowania musi</w:t>
      </w:r>
      <w:r w:rsidRPr="00EE2F6F">
        <w:rPr>
          <w:rFonts w:ascii="Arial" w:hAnsi="Arial" w:cs="Arial"/>
          <w:sz w:val="20"/>
          <w:szCs w:val="20"/>
        </w:rPr>
        <w:t xml:space="preserve"> działa</w:t>
      </w:r>
      <w:r w:rsidR="00694998" w:rsidRPr="00EE2F6F">
        <w:rPr>
          <w:rFonts w:ascii="Arial" w:hAnsi="Arial" w:cs="Arial"/>
          <w:sz w:val="20"/>
          <w:szCs w:val="20"/>
        </w:rPr>
        <w:t>ć</w:t>
      </w:r>
      <w:r w:rsidRPr="00EE2F6F">
        <w:rPr>
          <w:rFonts w:ascii="Arial" w:hAnsi="Arial" w:cs="Arial"/>
          <w:sz w:val="20"/>
          <w:szCs w:val="20"/>
        </w:rPr>
        <w:t xml:space="preserve"> automatycznie, a w przypadku braku zajętości wszystkich punktów ładowania przydziela</w:t>
      </w:r>
      <w:r w:rsidR="00694998" w:rsidRPr="00EE2F6F">
        <w:rPr>
          <w:rFonts w:ascii="Arial" w:hAnsi="Arial" w:cs="Arial"/>
          <w:sz w:val="20"/>
          <w:szCs w:val="20"/>
        </w:rPr>
        <w:t>ć</w:t>
      </w:r>
      <w:r w:rsidRPr="00EE2F6F">
        <w:rPr>
          <w:rFonts w:ascii="Arial" w:hAnsi="Arial" w:cs="Arial"/>
          <w:sz w:val="20"/>
          <w:szCs w:val="20"/>
        </w:rPr>
        <w:t xml:space="preserve"> pojazdom wolną moc ładowania uwzględniając maksymalną moc ładowania jednego pojazdu nie większą niż 150 kW. </w:t>
      </w:r>
    </w:p>
    <w:p w14:paraId="630A6406" w14:textId="20F26C9C" w:rsidR="00BA7002" w:rsidRPr="00EE2F6F" w:rsidRDefault="00BA7002" w:rsidP="00EE2F6F">
      <w:pPr>
        <w:tabs>
          <w:tab w:val="left" w:pos="1134"/>
        </w:tabs>
        <w:spacing w:after="0" w:line="276" w:lineRule="auto"/>
        <w:ind w:left="1416"/>
        <w:contextualSpacing/>
        <w:jc w:val="both"/>
        <w:rPr>
          <w:rFonts w:ascii="Arial" w:hAnsi="Arial" w:cs="Arial"/>
          <w:sz w:val="20"/>
          <w:szCs w:val="20"/>
        </w:rPr>
      </w:pPr>
      <w:r w:rsidRPr="00EE2F6F">
        <w:rPr>
          <w:rFonts w:ascii="Arial" w:hAnsi="Arial" w:cs="Arial"/>
          <w:sz w:val="20"/>
          <w:szCs w:val="20"/>
        </w:rPr>
        <w:t xml:space="preserve">System dynamicznego podziału mocy i </w:t>
      </w:r>
      <w:r w:rsidR="00694998" w:rsidRPr="00EE2F6F">
        <w:rPr>
          <w:rFonts w:ascii="Arial" w:hAnsi="Arial" w:cs="Arial"/>
          <w:sz w:val="20"/>
          <w:szCs w:val="20"/>
        </w:rPr>
        <w:t xml:space="preserve">dynamicznego </w:t>
      </w:r>
      <w:r w:rsidRPr="00EE2F6F">
        <w:rPr>
          <w:rFonts w:ascii="Arial" w:hAnsi="Arial" w:cs="Arial"/>
          <w:sz w:val="20"/>
          <w:szCs w:val="20"/>
        </w:rPr>
        <w:t>zarządzania ładowaniem w oparciu o założony rozkład jazdy autobusów dokonuje automatycznego przydzielenia priorytetu i mocy ładowania dla pojazdów w celu realizacji założonych zadań przewozowych. System dynamicznego podziału mocy współpracuje z systemem zarządzania ładowaniem pojazdów.</w:t>
      </w:r>
    </w:p>
    <w:p w14:paraId="1478855C" w14:textId="77777777" w:rsidR="00BA7002" w:rsidRPr="00EE2F6F" w:rsidRDefault="00BA7002" w:rsidP="00EE2F6F">
      <w:pPr>
        <w:tabs>
          <w:tab w:val="left" w:pos="1134"/>
        </w:tabs>
        <w:spacing w:after="0" w:line="276" w:lineRule="auto"/>
        <w:contextualSpacing/>
        <w:jc w:val="both"/>
        <w:rPr>
          <w:rFonts w:ascii="Arial" w:hAnsi="Arial" w:cs="Arial"/>
          <w:sz w:val="20"/>
          <w:szCs w:val="20"/>
        </w:rPr>
      </w:pPr>
    </w:p>
    <w:p w14:paraId="6EA0E01A" w14:textId="2AE9D1BA" w:rsidR="00BA7002" w:rsidRPr="00EE2F6F" w:rsidRDefault="00BA7002" w:rsidP="00EE2F6F">
      <w:pPr>
        <w:pStyle w:val="Akapitzlist"/>
        <w:numPr>
          <w:ilvl w:val="1"/>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lastRenderedPageBreak/>
        <w:t xml:space="preserve">System </w:t>
      </w:r>
      <w:r w:rsidR="00A717C5" w:rsidRPr="00EE2F6F">
        <w:rPr>
          <w:rFonts w:ascii="Arial" w:hAnsi="Arial" w:cs="Arial"/>
          <w:sz w:val="20"/>
          <w:szCs w:val="20"/>
        </w:rPr>
        <w:t xml:space="preserve">dynamicznego </w:t>
      </w:r>
      <w:r w:rsidRPr="00EE2F6F">
        <w:rPr>
          <w:rFonts w:ascii="Arial" w:hAnsi="Arial" w:cs="Arial"/>
          <w:sz w:val="20"/>
          <w:szCs w:val="20"/>
        </w:rPr>
        <w:t>zarządzania ładowaniem pojazdów</w:t>
      </w:r>
      <w:r w:rsidR="00694998" w:rsidRPr="00EE2F6F">
        <w:rPr>
          <w:rFonts w:ascii="Arial" w:hAnsi="Arial" w:cs="Arial"/>
          <w:sz w:val="20"/>
          <w:szCs w:val="20"/>
        </w:rPr>
        <w:t xml:space="preserve"> wykorzystując funkcję dynamicznego rozdziału mocy realizowaną przez urządzenia infrastruktury ładowania</w:t>
      </w:r>
      <w:r w:rsidRPr="00EE2F6F">
        <w:rPr>
          <w:rFonts w:ascii="Arial" w:hAnsi="Arial" w:cs="Arial"/>
          <w:sz w:val="20"/>
          <w:szCs w:val="20"/>
        </w:rPr>
        <w:t xml:space="preserve"> posiada</w:t>
      </w:r>
      <w:r w:rsidR="00C459CD" w:rsidRPr="00EE2F6F">
        <w:rPr>
          <w:rFonts w:ascii="Arial" w:hAnsi="Arial" w:cs="Arial"/>
          <w:sz w:val="20"/>
          <w:szCs w:val="20"/>
        </w:rPr>
        <w:t xml:space="preserve"> i realizuje</w:t>
      </w:r>
      <w:r w:rsidRPr="00EE2F6F">
        <w:rPr>
          <w:rFonts w:ascii="Arial" w:hAnsi="Arial" w:cs="Arial"/>
          <w:sz w:val="20"/>
          <w:szCs w:val="20"/>
        </w:rPr>
        <w:t xml:space="preserve"> poniższe funkcje:</w:t>
      </w:r>
    </w:p>
    <w:p w14:paraId="2CC242CD" w14:textId="77777777" w:rsidR="00BA7002" w:rsidRPr="00EE2F6F" w:rsidRDefault="00BA7002" w:rsidP="00EE2F6F">
      <w:pPr>
        <w:pStyle w:val="Akapitzlist"/>
        <w:tabs>
          <w:tab w:val="left" w:pos="1134"/>
        </w:tabs>
        <w:spacing w:after="0" w:line="276" w:lineRule="auto"/>
        <w:ind w:left="1440"/>
        <w:jc w:val="both"/>
        <w:rPr>
          <w:rFonts w:ascii="Arial" w:hAnsi="Arial" w:cs="Arial"/>
          <w:sz w:val="20"/>
          <w:szCs w:val="20"/>
        </w:rPr>
      </w:pPr>
    </w:p>
    <w:p w14:paraId="338987F8" w14:textId="39F25BB5" w:rsidR="00BA7002" w:rsidRPr="00EE2F6F" w:rsidRDefault="00BA7002" w:rsidP="00EE2F6F">
      <w:pPr>
        <w:pStyle w:val="Akapitzlist"/>
        <w:numPr>
          <w:ilvl w:val="0"/>
          <w:numId w:val="4"/>
        </w:numPr>
        <w:tabs>
          <w:tab w:val="left" w:pos="1134"/>
        </w:tabs>
        <w:spacing w:after="0" w:line="276" w:lineRule="auto"/>
        <w:jc w:val="both"/>
        <w:rPr>
          <w:rFonts w:ascii="Arial" w:hAnsi="Arial" w:cs="Arial"/>
          <w:sz w:val="20"/>
          <w:szCs w:val="20"/>
        </w:rPr>
      </w:pPr>
      <w:r w:rsidRPr="00EE2F6F">
        <w:rPr>
          <w:rFonts w:ascii="Arial" w:hAnsi="Arial" w:cs="Arial"/>
          <w:sz w:val="20"/>
          <w:szCs w:val="20"/>
        </w:rPr>
        <w:t>Wyświetlania wszystkich stacji ładowania;</w:t>
      </w:r>
    </w:p>
    <w:p w14:paraId="3E31F23C" w14:textId="77777777" w:rsidR="00BA7002" w:rsidRPr="00EE2F6F" w:rsidRDefault="00BA7002" w:rsidP="00EE2F6F">
      <w:pPr>
        <w:pStyle w:val="Akapitzlist"/>
        <w:numPr>
          <w:ilvl w:val="0"/>
          <w:numId w:val="4"/>
        </w:numPr>
        <w:tabs>
          <w:tab w:val="left" w:pos="1134"/>
        </w:tabs>
        <w:spacing w:after="0" w:line="276" w:lineRule="auto"/>
        <w:jc w:val="both"/>
        <w:rPr>
          <w:rFonts w:ascii="Arial" w:hAnsi="Arial" w:cs="Arial"/>
          <w:sz w:val="20"/>
          <w:szCs w:val="20"/>
        </w:rPr>
      </w:pPr>
      <w:r w:rsidRPr="00EE2F6F">
        <w:rPr>
          <w:rFonts w:ascii="Arial" w:hAnsi="Arial" w:cs="Arial"/>
          <w:sz w:val="20"/>
          <w:szCs w:val="20"/>
        </w:rPr>
        <w:t>Wyświetlania statusów stacji ładowania;</w:t>
      </w:r>
    </w:p>
    <w:p w14:paraId="1D26CA08" w14:textId="77777777" w:rsidR="00BA7002" w:rsidRPr="00EE2F6F" w:rsidRDefault="00BA7002" w:rsidP="00EE2F6F">
      <w:pPr>
        <w:pStyle w:val="Akapitzlist"/>
        <w:numPr>
          <w:ilvl w:val="0"/>
          <w:numId w:val="4"/>
        </w:numPr>
        <w:tabs>
          <w:tab w:val="left" w:pos="1134"/>
        </w:tabs>
        <w:spacing w:after="0" w:line="276" w:lineRule="auto"/>
        <w:jc w:val="both"/>
        <w:rPr>
          <w:rFonts w:ascii="Arial" w:hAnsi="Arial" w:cs="Arial"/>
          <w:sz w:val="20"/>
          <w:szCs w:val="20"/>
        </w:rPr>
      </w:pPr>
      <w:r w:rsidRPr="00EE2F6F">
        <w:rPr>
          <w:rFonts w:ascii="Arial" w:hAnsi="Arial" w:cs="Arial"/>
          <w:sz w:val="20"/>
          <w:szCs w:val="20"/>
        </w:rPr>
        <w:t>Wyświetlania stanu ładowarki lub złącza;</w:t>
      </w:r>
    </w:p>
    <w:p w14:paraId="74214D66" w14:textId="77777777" w:rsidR="00BA7002" w:rsidRPr="00EE2F6F" w:rsidRDefault="00BA7002" w:rsidP="00EE2F6F">
      <w:pPr>
        <w:pStyle w:val="Akapitzlist"/>
        <w:numPr>
          <w:ilvl w:val="0"/>
          <w:numId w:val="4"/>
        </w:numPr>
        <w:tabs>
          <w:tab w:val="left" w:pos="1134"/>
        </w:tabs>
        <w:spacing w:after="0" w:line="276" w:lineRule="auto"/>
        <w:jc w:val="both"/>
        <w:rPr>
          <w:rFonts w:ascii="Arial" w:hAnsi="Arial" w:cs="Arial"/>
          <w:sz w:val="20"/>
          <w:szCs w:val="20"/>
        </w:rPr>
      </w:pPr>
      <w:r w:rsidRPr="00EE2F6F">
        <w:rPr>
          <w:rFonts w:ascii="Arial" w:hAnsi="Arial" w:cs="Arial"/>
          <w:sz w:val="20"/>
          <w:szCs w:val="20"/>
        </w:rPr>
        <w:t>Zatrzymania ładowania na złączu;</w:t>
      </w:r>
    </w:p>
    <w:p w14:paraId="3CA3409C" w14:textId="65CDA0C3" w:rsidR="00BA7002" w:rsidRPr="00EE2F6F" w:rsidRDefault="00BA7002" w:rsidP="00EE2F6F">
      <w:pPr>
        <w:pStyle w:val="Akapitzlist"/>
        <w:numPr>
          <w:ilvl w:val="0"/>
          <w:numId w:val="4"/>
        </w:numPr>
        <w:tabs>
          <w:tab w:val="left" w:pos="1134"/>
        </w:tabs>
        <w:spacing w:after="0" w:line="276" w:lineRule="auto"/>
        <w:jc w:val="both"/>
        <w:rPr>
          <w:rFonts w:ascii="Arial" w:hAnsi="Arial" w:cs="Arial"/>
          <w:sz w:val="20"/>
          <w:szCs w:val="20"/>
        </w:rPr>
      </w:pPr>
      <w:r w:rsidRPr="00EE2F6F">
        <w:rPr>
          <w:rFonts w:ascii="Arial" w:hAnsi="Arial" w:cs="Arial"/>
          <w:sz w:val="20"/>
          <w:szCs w:val="20"/>
        </w:rPr>
        <w:t>Implementacji harmonogramu ładowania pojazdów w oparciu o założony rozkład jazdy i dzienne przypisanie pojazdów w tym wynikające z tego godziny rozpoczęcia realizacji zadania przewozowego;</w:t>
      </w:r>
    </w:p>
    <w:p w14:paraId="548A4E58" w14:textId="5DCFD7FC" w:rsidR="00C459CD" w:rsidRPr="00EE2F6F" w:rsidRDefault="00C459CD" w:rsidP="00EE2F6F">
      <w:pPr>
        <w:pStyle w:val="Akapitzlist"/>
        <w:numPr>
          <w:ilvl w:val="0"/>
          <w:numId w:val="4"/>
        </w:numPr>
        <w:tabs>
          <w:tab w:val="left" w:pos="1134"/>
        </w:tabs>
        <w:spacing w:after="0" w:line="276" w:lineRule="auto"/>
        <w:jc w:val="both"/>
        <w:rPr>
          <w:rFonts w:ascii="Arial" w:hAnsi="Arial" w:cs="Arial"/>
          <w:sz w:val="20"/>
          <w:szCs w:val="20"/>
        </w:rPr>
      </w:pPr>
      <w:r w:rsidRPr="00EE2F6F">
        <w:rPr>
          <w:rFonts w:ascii="Arial" w:hAnsi="Arial" w:cs="Arial"/>
          <w:sz w:val="20"/>
          <w:szCs w:val="20"/>
        </w:rPr>
        <w:t>Komunikacji i widoczności stanu pojazdów</w:t>
      </w:r>
      <w:r w:rsidR="0093355D" w:rsidRPr="00EE2F6F">
        <w:rPr>
          <w:rFonts w:ascii="Arial" w:hAnsi="Arial" w:cs="Arial"/>
          <w:sz w:val="20"/>
          <w:szCs w:val="20"/>
        </w:rPr>
        <w:t xml:space="preserve"> w trybie rzeczywistym</w:t>
      </w:r>
      <w:r w:rsidRPr="00EE2F6F">
        <w:rPr>
          <w:rFonts w:ascii="Arial" w:hAnsi="Arial" w:cs="Arial"/>
          <w:sz w:val="20"/>
          <w:szCs w:val="20"/>
        </w:rPr>
        <w:t xml:space="preserve"> w tym bieżącego stanu naładowania zasobników energii;</w:t>
      </w:r>
    </w:p>
    <w:p w14:paraId="5DF27291" w14:textId="77777777" w:rsidR="00BA7002" w:rsidRPr="00EE2F6F" w:rsidRDefault="00BA7002" w:rsidP="00EE2F6F">
      <w:pPr>
        <w:pStyle w:val="Akapitzlist"/>
        <w:numPr>
          <w:ilvl w:val="0"/>
          <w:numId w:val="4"/>
        </w:numPr>
        <w:tabs>
          <w:tab w:val="left" w:pos="1134"/>
        </w:tabs>
        <w:spacing w:after="0" w:line="276" w:lineRule="auto"/>
        <w:jc w:val="both"/>
        <w:rPr>
          <w:rFonts w:ascii="Arial" w:hAnsi="Arial" w:cs="Arial"/>
          <w:sz w:val="20"/>
          <w:szCs w:val="20"/>
        </w:rPr>
      </w:pPr>
      <w:bookmarkStart w:id="3" w:name="_Hlk188509142"/>
      <w:r w:rsidRPr="00EE2F6F">
        <w:rPr>
          <w:rFonts w:ascii="Arial" w:hAnsi="Arial" w:cs="Arial"/>
          <w:sz w:val="20"/>
          <w:szCs w:val="20"/>
        </w:rPr>
        <w:t>Planowania harmonogramu ładowania</w:t>
      </w:r>
      <w:bookmarkEnd w:id="3"/>
      <w:r w:rsidRPr="00EE2F6F">
        <w:rPr>
          <w:rFonts w:ascii="Arial" w:hAnsi="Arial" w:cs="Arial"/>
          <w:sz w:val="20"/>
          <w:szCs w:val="20"/>
        </w:rPr>
        <w:t>;</w:t>
      </w:r>
    </w:p>
    <w:p w14:paraId="392212F9" w14:textId="77777777" w:rsidR="00BA7002" w:rsidRPr="00EE2F6F" w:rsidRDefault="00BA7002" w:rsidP="00EE2F6F">
      <w:pPr>
        <w:pStyle w:val="Akapitzlist"/>
        <w:numPr>
          <w:ilvl w:val="0"/>
          <w:numId w:val="4"/>
        </w:numPr>
        <w:tabs>
          <w:tab w:val="left" w:pos="1134"/>
        </w:tabs>
        <w:spacing w:after="0" w:line="276" w:lineRule="auto"/>
        <w:jc w:val="both"/>
        <w:rPr>
          <w:rFonts w:ascii="Arial" w:hAnsi="Arial" w:cs="Arial"/>
          <w:sz w:val="20"/>
          <w:szCs w:val="20"/>
        </w:rPr>
      </w:pPr>
      <w:bookmarkStart w:id="4" w:name="_Hlk188509159"/>
      <w:r w:rsidRPr="00EE2F6F">
        <w:rPr>
          <w:rFonts w:ascii="Arial" w:hAnsi="Arial" w:cs="Arial"/>
          <w:sz w:val="20"/>
          <w:szCs w:val="20"/>
        </w:rPr>
        <w:t>Dynamicznej zmiany priorytetów ładowania dla pojazdów w związku ze zmianami w planie przewozowym</w:t>
      </w:r>
      <w:bookmarkEnd w:id="4"/>
      <w:r w:rsidRPr="00EE2F6F">
        <w:rPr>
          <w:rFonts w:ascii="Arial" w:hAnsi="Arial" w:cs="Arial"/>
          <w:sz w:val="20"/>
          <w:szCs w:val="20"/>
        </w:rPr>
        <w:t>;</w:t>
      </w:r>
    </w:p>
    <w:p w14:paraId="6B3E9C51" w14:textId="77777777" w:rsidR="00BA7002" w:rsidRPr="00EE2F6F" w:rsidRDefault="00BA7002" w:rsidP="00EE2F6F">
      <w:pPr>
        <w:pStyle w:val="Akapitzlist"/>
        <w:numPr>
          <w:ilvl w:val="0"/>
          <w:numId w:val="4"/>
        </w:numPr>
        <w:tabs>
          <w:tab w:val="left" w:pos="1134"/>
        </w:tabs>
        <w:spacing w:after="0" w:line="276" w:lineRule="auto"/>
        <w:jc w:val="both"/>
        <w:rPr>
          <w:rFonts w:ascii="Arial" w:hAnsi="Arial" w:cs="Arial"/>
          <w:sz w:val="20"/>
          <w:szCs w:val="20"/>
        </w:rPr>
      </w:pPr>
      <w:r w:rsidRPr="00EE2F6F">
        <w:rPr>
          <w:rFonts w:ascii="Arial" w:hAnsi="Arial" w:cs="Arial"/>
          <w:sz w:val="20"/>
          <w:szCs w:val="20"/>
        </w:rPr>
        <w:t>Dynamicznej zmiany przydziału mocy ładowania dla konkretnych pojazdów;</w:t>
      </w:r>
    </w:p>
    <w:p w14:paraId="5BFFC2AA" w14:textId="77777777" w:rsidR="00BA7002" w:rsidRPr="00EE2F6F" w:rsidRDefault="00BA7002" w:rsidP="00EE2F6F">
      <w:pPr>
        <w:pStyle w:val="Akapitzlist"/>
        <w:numPr>
          <w:ilvl w:val="0"/>
          <w:numId w:val="4"/>
        </w:numPr>
        <w:tabs>
          <w:tab w:val="left" w:pos="1134"/>
        </w:tabs>
        <w:spacing w:after="0" w:line="276" w:lineRule="auto"/>
        <w:jc w:val="both"/>
        <w:rPr>
          <w:rFonts w:ascii="Arial" w:hAnsi="Arial" w:cs="Arial"/>
          <w:sz w:val="20"/>
          <w:szCs w:val="20"/>
        </w:rPr>
      </w:pPr>
      <w:bookmarkStart w:id="5" w:name="_Hlk188509174"/>
      <w:r w:rsidRPr="00EE2F6F">
        <w:rPr>
          <w:rFonts w:ascii="Arial" w:hAnsi="Arial" w:cs="Arial"/>
          <w:sz w:val="20"/>
          <w:szCs w:val="20"/>
        </w:rPr>
        <w:t>Monitorowania i informowania za pomocą statusów o rozbieżnościach w zaplanowanych sesjach ładowania w kontekście realizacji zadań przewozowych</w:t>
      </w:r>
      <w:bookmarkEnd w:id="5"/>
      <w:r w:rsidRPr="00EE2F6F">
        <w:rPr>
          <w:rFonts w:ascii="Arial" w:hAnsi="Arial" w:cs="Arial"/>
          <w:sz w:val="20"/>
          <w:szCs w:val="20"/>
        </w:rPr>
        <w:t>;</w:t>
      </w:r>
    </w:p>
    <w:p w14:paraId="7DDBDBAE" w14:textId="03B50FA4" w:rsidR="00BA7002" w:rsidRPr="00EE2F6F" w:rsidRDefault="00BA7002" w:rsidP="00EE2F6F">
      <w:pPr>
        <w:pStyle w:val="Akapitzlist"/>
        <w:numPr>
          <w:ilvl w:val="0"/>
          <w:numId w:val="4"/>
        </w:numPr>
        <w:tabs>
          <w:tab w:val="left" w:pos="1134"/>
        </w:tabs>
        <w:spacing w:after="0" w:line="276" w:lineRule="auto"/>
        <w:jc w:val="both"/>
        <w:rPr>
          <w:rFonts w:ascii="Arial" w:hAnsi="Arial" w:cs="Arial"/>
          <w:sz w:val="20"/>
          <w:szCs w:val="20"/>
        </w:rPr>
      </w:pPr>
      <w:r w:rsidRPr="00EE2F6F">
        <w:rPr>
          <w:rFonts w:ascii="Arial" w:hAnsi="Arial" w:cs="Arial"/>
          <w:sz w:val="20"/>
          <w:szCs w:val="20"/>
        </w:rPr>
        <w:t>Dostępu do panelu online</w:t>
      </w:r>
      <w:r w:rsidR="00BC5ADE" w:rsidRPr="00EE2F6F">
        <w:rPr>
          <w:rFonts w:ascii="Arial" w:hAnsi="Arial" w:cs="Arial"/>
          <w:sz w:val="20"/>
          <w:szCs w:val="20"/>
        </w:rPr>
        <w:t xml:space="preserve"> w formie webowej</w:t>
      </w:r>
      <w:r w:rsidRPr="00EE2F6F">
        <w:rPr>
          <w:rFonts w:ascii="Arial" w:hAnsi="Arial" w:cs="Arial"/>
          <w:sz w:val="20"/>
          <w:szCs w:val="20"/>
        </w:rPr>
        <w:t xml:space="preserve"> dla dyspozytora/przedstawicieli Zamawiającego do bieżącego podglądu/kontroli/dokonywania zmian w procesie ładowania autobusów;</w:t>
      </w:r>
    </w:p>
    <w:p w14:paraId="76879FF0" w14:textId="77777777" w:rsidR="00BA7002" w:rsidRPr="00EE2F6F" w:rsidRDefault="00BA7002" w:rsidP="00EE2F6F">
      <w:pPr>
        <w:pStyle w:val="Akapitzlist"/>
        <w:numPr>
          <w:ilvl w:val="0"/>
          <w:numId w:val="4"/>
        </w:numPr>
        <w:tabs>
          <w:tab w:val="left" w:pos="1134"/>
        </w:tabs>
        <w:spacing w:after="0" w:line="276" w:lineRule="auto"/>
        <w:jc w:val="both"/>
        <w:rPr>
          <w:rFonts w:ascii="Arial" w:hAnsi="Arial" w:cs="Arial"/>
          <w:sz w:val="20"/>
          <w:szCs w:val="20"/>
        </w:rPr>
      </w:pPr>
      <w:bookmarkStart w:id="6" w:name="_Hlk188509200"/>
      <w:r w:rsidRPr="00EE2F6F">
        <w:rPr>
          <w:rFonts w:ascii="Arial" w:hAnsi="Arial" w:cs="Arial"/>
          <w:sz w:val="20"/>
          <w:szCs w:val="20"/>
        </w:rPr>
        <w:t>Aktywacji/dezaktywacji/ustawienia parametrów prekondycjonowania pojazdów przed rozpoczęciem zadań przewozowych przy użyciu systemu ładowania zajezdniowego</w:t>
      </w:r>
      <w:bookmarkEnd w:id="6"/>
      <w:r w:rsidRPr="00EE2F6F">
        <w:rPr>
          <w:rFonts w:ascii="Arial" w:hAnsi="Arial" w:cs="Arial"/>
          <w:sz w:val="20"/>
          <w:szCs w:val="20"/>
        </w:rPr>
        <w:t>;</w:t>
      </w:r>
    </w:p>
    <w:p w14:paraId="4C0FB299" w14:textId="77777777" w:rsidR="00BA7002" w:rsidRPr="00EE2F6F" w:rsidRDefault="00BA7002" w:rsidP="00EE2F6F">
      <w:pPr>
        <w:pStyle w:val="Akapitzlist"/>
        <w:numPr>
          <w:ilvl w:val="0"/>
          <w:numId w:val="4"/>
        </w:numPr>
        <w:tabs>
          <w:tab w:val="left" w:pos="1134"/>
        </w:tabs>
        <w:spacing w:after="0" w:line="276" w:lineRule="auto"/>
        <w:jc w:val="both"/>
        <w:rPr>
          <w:rFonts w:ascii="Arial" w:hAnsi="Arial" w:cs="Arial"/>
          <w:sz w:val="20"/>
          <w:szCs w:val="20"/>
        </w:rPr>
      </w:pPr>
      <w:r w:rsidRPr="00EE2F6F">
        <w:rPr>
          <w:rFonts w:ascii="Arial" w:hAnsi="Arial" w:cs="Arial"/>
          <w:sz w:val="20"/>
          <w:szCs w:val="20"/>
        </w:rPr>
        <w:t>Monitoringu zdarzeń z udziałem systemu ładowania oraz pojazdów;</w:t>
      </w:r>
    </w:p>
    <w:p w14:paraId="11436D87" w14:textId="77777777" w:rsidR="00BA7002" w:rsidRPr="00EE2F6F" w:rsidRDefault="00BA7002" w:rsidP="00EE2F6F">
      <w:pPr>
        <w:pStyle w:val="Akapitzlist"/>
        <w:numPr>
          <w:ilvl w:val="0"/>
          <w:numId w:val="4"/>
        </w:numPr>
        <w:tabs>
          <w:tab w:val="left" w:pos="1134"/>
        </w:tabs>
        <w:spacing w:after="0" w:line="276" w:lineRule="auto"/>
        <w:jc w:val="both"/>
        <w:rPr>
          <w:rFonts w:ascii="Arial" w:hAnsi="Arial" w:cs="Arial"/>
          <w:sz w:val="20"/>
          <w:szCs w:val="20"/>
        </w:rPr>
      </w:pPr>
      <w:r w:rsidRPr="00EE2F6F">
        <w:rPr>
          <w:rFonts w:ascii="Arial" w:hAnsi="Arial" w:cs="Arial"/>
          <w:sz w:val="20"/>
          <w:szCs w:val="20"/>
        </w:rPr>
        <w:t>Monitoringu licznika zużytej energii w rozbiciu na poszczególne pojazdy i punkty ładowania;</w:t>
      </w:r>
    </w:p>
    <w:p w14:paraId="7C69FC36" w14:textId="77777777" w:rsidR="00401BD1" w:rsidRPr="00EE2F6F" w:rsidRDefault="00BA7002" w:rsidP="00EE2F6F">
      <w:pPr>
        <w:pStyle w:val="Akapitzlist"/>
        <w:numPr>
          <w:ilvl w:val="0"/>
          <w:numId w:val="4"/>
        </w:numPr>
        <w:tabs>
          <w:tab w:val="left" w:pos="1134"/>
        </w:tabs>
        <w:spacing w:after="0" w:line="276" w:lineRule="auto"/>
        <w:jc w:val="both"/>
        <w:rPr>
          <w:rFonts w:ascii="Arial" w:hAnsi="Arial" w:cs="Arial"/>
          <w:sz w:val="20"/>
          <w:szCs w:val="20"/>
        </w:rPr>
      </w:pPr>
      <w:r w:rsidRPr="00EE2F6F">
        <w:rPr>
          <w:rFonts w:ascii="Arial" w:hAnsi="Arial" w:cs="Arial"/>
          <w:sz w:val="20"/>
          <w:szCs w:val="20"/>
        </w:rPr>
        <w:t>Parametryzacje ładowania pojazdów pod kątem optymalizacji kosztowej energii w zależności od posiadanej taryfy (zmienne ceny prądu w dzień i w nocy);</w:t>
      </w:r>
    </w:p>
    <w:p w14:paraId="2FA313AB" w14:textId="0823534D" w:rsidR="00401BD1" w:rsidRPr="00EE2F6F" w:rsidRDefault="00B331B0" w:rsidP="00EE2F6F">
      <w:pPr>
        <w:pStyle w:val="Akapitzlist"/>
        <w:numPr>
          <w:ilvl w:val="0"/>
          <w:numId w:val="4"/>
        </w:numPr>
        <w:tabs>
          <w:tab w:val="left" w:pos="1134"/>
        </w:tabs>
        <w:spacing w:after="0" w:line="276" w:lineRule="auto"/>
        <w:jc w:val="both"/>
        <w:rPr>
          <w:rFonts w:ascii="Arial" w:hAnsi="Arial" w:cs="Arial"/>
          <w:sz w:val="20"/>
          <w:szCs w:val="20"/>
        </w:rPr>
      </w:pPr>
      <w:r w:rsidRPr="00EE2F6F">
        <w:rPr>
          <w:rFonts w:ascii="Arial" w:hAnsi="Arial" w:cs="Arial"/>
          <w:sz w:val="20"/>
          <w:szCs w:val="20"/>
        </w:rPr>
        <w:t>Dostęp do r</w:t>
      </w:r>
      <w:r w:rsidR="00BA7002" w:rsidRPr="00EE2F6F">
        <w:rPr>
          <w:rFonts w:ascii="Arial" w:hAnsi="Arial" w:cs="Arial"/>
          <w:sz w:val="20"/>
          <w:szCs w:val="20"/>
        </w:rPr>
        <w:t>aport</w:t>
      </w:r>
      <w:r w:rsidRPr="00EE2F6F">
        <w:rPr>
          <w:rFonts w:ascii="Arial" w:hAnsi="Arial" w:cs="Arial"/>
          <w:sz w:val="20"/>
          <w:szCs w:val="20"/>
        </w:rPr>
        <w:t>ów</w:t>
      </w:r>
      <w:r w:rsidR="00BA7002" w:rsidRPr="00EE2F6F">
        <w:rPr>
          <w:rFonts w:ascii="Arial" w:hAnsi="Arial" w:cs="Arial"/>
          <w:sz w:val="20"/>
          <w:szCs w:val="20"/>
        </w:rPr>
        <w:t xml:space="preserve"> oraz wykres</w:t>
      </w:r>
      <w:r w:rsidRPr="00EE2F6F">
        <w:rPr>
          <w:rFonts w:ascii="Arial" w:hAnsi="Arial" w:cs="Arial"/>
          <w:sz w:val="20"/>
          <w:szCs w:val="20"/>
        </w:rPr>
        <w:t>ów</w:t>
      </w:r>
      <w:r w:rsidR="00BA7002" w:rsidRPr="00EE2F6F">
        <w:rPr>
          <w:rFonts w:ascii="Arial" w:hAnsi="Arial" w:cs="Arial"/>
          <w:sz w:val="20"/>
          <w:szCs w:val="20"/>
        </w:rPr>
        <w:t xml:space="preserve"> dotycząc</w:t>
      </w:r>
      <w:r w:rsidRPr="00EE2F6F">
        <w:rPr>
          <w:rFonts w:ascii="Arial" w:hAnsi="Arial" w:cs="Arial"/>
          <w:sz w:val="20"/>
          <w:szCs w:val="20"/>
        </w:rPr>
        <w:t>ych</w:t>
      </w:r>
      <w:r w:rsidR="00BA7002" w:rsidRPr="00EE2F6F">
        <w:rPr>
          <w:rFonts w:ascii="Arial" w:hAnsi="Arial" w:cs="Arial"/>
          <w:sz w:val="20"/>
          <w:szCs w:val="20"/>
        </w:rPr>
        <w:t xml:space="preserve"> sesji ładowania</w:t>
      </w:r>
      <w:r w:rsidR="00401BD1" w:rsidRPr="00EE2F6F">
        <w:rPr>
          <w:rFonts w:ascii="Arial" w:hAnsi="Arial" w:cs="Arial"/>
          <w:sz w:val="20"/>
          <w:szCs w:val="20"/>
        </w:rPr>
        <w:t xml:space="preserve"> w tym: </w:t>
      </w:r>
    </w:p>
    <w:p w14:paraId="55353D51" w14:textId="624C9954" w:rsidR="00401BD1" w:rsidRPr="00EE2F6F" w:rsidRDefault="00401BD1" w:rsidP="00EE2F6F">
      <w:pPr>
        <w:pStyle w:val="Akapitzlist"/>
        <w:numPr>
          <w:ilvl w:val="0"/>
          <w:numId w:val="7"/>
        </w:numPr>
        <w:tabs>
          <w:tab w:val="left" w:pos="1134"/>
        </w:tabs>
        <w:spacing w:after="0" w:line="276" w:lineRule="auto"/>
        <w:jc w:val="both"/>
        <w:rPr>
          <w:rFonts w:ascii="Arial" w:hAnsi="Arial" w:cs="Arial"/>
          <w:sz w:val="20"/>
          <w:szCs w:val="20"/>
        </w:rPr>
      </w:pPr>
      <w:r w:rsidRPr="00EE2F6F">
        <w:rPr>
          <w:rFonts w:ascii="Arial" w:hAnsi="Arial" w:cs="Arial"/>
          <w:sz w:val="20"/>
          <w:szCs w:val="20"/>
        </w:rPr>
        <w:t xml:space="preserve">lista sesji ładowania wraz z parametrami zarejestrowanymi w kontekście każdej sesji ładowania, </w:t>
      </w:r>
    </w:p>
    <w:p w14:paraId="54B49B9E" w14:textId="77777777" w:rsidR="00B331B0" w:rsidRPr="00EE2F6F" w:rsidRDefault="00401BD1" w:rsidP="00EE2F6F">
      <w:pPr>
        <w:pStyle w:val="Default"/>
        <w:numPr>
          <w:ilvl w:val="0"/>
          <w:numId w:val="8"/>
        </w:numPr>
        <w:spacing w:line="276" w:lineRule="auto"/>
        <w:contextualSpacing/>
        <w:jc w:val="both"/>
        <w:rPr>
          <w:sz w:val="20"/>
          <w:szCs w:val="20"/>
        </w:rPr>
      </w:pPr>
      <w:r w:rsidRPr="00EE2F6F">
        <w:rPr>
          <w:sz w:val="20"/>
          <w:szCs w:val="20"/>
        </w:rPr>
        <w:t xml:space="preserve">lista sesji ładowania z podziałem na każdy ładowany pojazd elektryczny, - sumaryczna energia pobrana przez stacje ładowania w określonym czasie, - sumaryczna </w:t>
      </w:r>
      <w:r w:rsidR="00B331B0" w:rsidRPr="00EE2F6F">
        <w:rPr>
          <w:sz w:val="20"/>
          <w:szCs w:val="20"/>
        </w:rPr>
        <w:t>energii;</w:t>
      </w:r>
    </w:p>
    <w:p w14:paraId="0B44640A" w14:textId="13C5101E" w:rsidR="00B331B0" w:rsidRPr="00EE2F6F" w:rsidRDefault="00B331B0" w:rsidP="00EE2F6F">
      <w:pPr>
        <w:pStyle w:val="Default"/>
        <w:numPr>
          <w:ilvl w:val="0"/>
          <w:numId w:val="4"/>
        </w:numPr>
        <w:spacing w:line="276" w:lineRule="auto"/>
        <w:contextualSpacing/>
        <w:jc w:val="both"/>
        <w:rPr>
          <w:sz w:val="20"/>
          <w:szCs w:val="20"/>
        </w:rPr>
      </w:pPr>
      <w:r w:rsidRPr="00EE2F6F">
        <w:rPr>
          <w:sz w:val="20"/>
          <w:szCs w:val="20"/>
        </w:rPr>
        <w:t xml:space="preserve">dostęp do statystyk i danych historycznych, przeglądanie zarejestrowanych sesji ładowania wraz z następującymi parametrami: </w:t>
      </w:r>
    </w:p>
    <w:p w14:paraId="59BE9C03" w14:textId="77777777" w:rsidR="00B331B0" w:rsidRPr="00EE2F6F" w:rsidRDefault="00B331B0" w:rsidP="00EE2F6F">
      <w:pPr>
        <w:pStyle w:val="Default"/>
        <w:numPr>
          <w:ilvl w:val="0"/>
          <w:numId w:val="8"/>
        </w:numPr>
        <w:spacing w:line="276" w:lineRule="auto"/>
        <w:contextualSpacing/>
        <w:jc w:val="both"/>
        <w:rPr>
          <w:sz w:val="20"/>
          <w:szCs w:val="20"/>
        </w:rPr>
      </w:pPr>
      <w:r w:rsidRPr="00EE2F6F">
        <w:rPr>
          <w:sz w:val="20"/>
          <w:szCs w:val="20"/>
        </w:rPr>
        <w:t xml:space="preserve">data i czas rozpoczęcia sesji ładowania, </w:t>
      </w:r>
    </w:p>
    <w:p w14:paraId="00740AC4" w14:textId="77777777" w:rsidR="00B331B0" w:rsidRPr="00EE2F6F" w:rsidRDefault="00B331B0" w:rsidP="00EE2F6F">
      <w:pPr>
        <w:pStyle w:val="Default"/>
        <w:numPr>
          <w:ilvl w:val="0"/>
          <w:numId w:val="8"/>
        </w:numPr>
        <w:spacing w:line="276" w:lineRule="auto"/>
        <w:contextualSpacing/>
        <w:jc w:val="both"/>
        <w:rPr>
          <w:sz w:val="20"/>
          <w:szCs w:val="20"/>
        </w:rPr>
      </w:pPr>
      <w:r w:rsidRPr="00EE2F6F">
        <w:rPr>
          <w:sz w:val="20"/>
          <w:szCs w:val="20"/>
        </w:rPr>
        <w:t xml:space="preserve">data i czas zakończenia sesji ładowania, </w:t>
      </w:r>
    </w:p>
    <w:p w14:paraId="7ECDB55A" w14:textId="77777777" w:rsidR="00B331B0" w:rsidRPr="00EE2F6F" w:rsidRDefault="00B331B0" w:rsidP="00EE2F6F">
      <w:pPr>
        <w:pStyle w:val="Default"/>
        <w:numPr>
          <w:ilvl w:val="0"/>
          <w:numId w:val="8"/>
        </w:numPr>
        <w:spacing w:line="276" w:lineRule="auto"/>
        <w:contextualSpacing/>
        <w:jc w:val="both"/>
        <w:rPr>
          <w:sz w:val="20"/>
          <w:szCs w:val="20"/>
        </w:rPr>
      </w:pPr>
      <w:r w:rsidRPr="00EE2F6F">
        <w:rPr>
          <w:sz w:val="20"/>
          <w:szCs w:val="20"/>
        </w:rPr>
        <w:t xml:space="preserve">czas trwania sesji ładowania, </w:t>
      </w:r>
    </w:p>
    <w:p w14:paraId="34B327B9" w14:textId="77777777" w:rsidR="00B331B0" w:rsidRPr="00EE2F6F" w:rsidRDefault="00B331B0" w:rsidP="00EE2F6F">
      <w:pPr>
        <w:pStyle w:val="Default"/>
        <w:numPr>
          <w:ilvl w:val="0"/>
          <w:numId w:val="8"/>
        </w:numPr>
        <w:spacing w:line="276" w:lineRule="auto"/>
        <w:contextualSpacing/>
        <w:jc w:val="both"/>
        <w:rPr>
          <w:sz w:val="20"/>
          <w:szCs w:val="20"/>
        </w:rPr>
      </w:pPr>
      <w:r w:rsidRPr="00EE2F6F">
        <w:rPr>
          <w:sz w:val="20"/>
          <w:szCs w:val="20"/>
        </w:rPr>
        <w:t xml:space="preserve">wartość licznika energii wyjściowej, dla początku sesji ładowania, </w:t>
      </w:r>
    </w:p>
    <w:p w14:paraId="5807A41F" w14:textId="77777777" w:rsidR="00B331B0" w:rsidRPr="00EE2F6F" w:rsidRDefault="00B331B0" w:rsidP="00EE2F6F">
      <w:pPr>
        <w:pStyle w:val="Default"/>
        <w:numPr>
          <w:ilvl w:val="0"/>
          <w:numId w:val="8"/>
        </w:numPr>
        <w:spacing w:line="276" w:lineRule="auto"/>
        <w:contextualSpacing/>
        <w:jc w:val="both"/>
        <w:rPr>
          <w:sz w:val="20"/>
          <w:szCs w:val="20"/>
        </w:rPr>
      </w:pPr>
      <w:r w:rsidRPr="00EE2F6F">
        <w:rPr>
          <w:sz w:val="20"/>
          <w:szCs w:val="20"/>
        </w:rPr>
        <w:t xml:space="preserve">wartość licznika energii wyjściowej, dla końca sesji ładowania, </w:t>
      </w:r>
    </w:p>
    <w:p w14:paraId="383010C7" w14:textId="77777777" w:rsidR="00B331B0" w:rsidRPr="00EE2F6F" w:rsidRDefault="00B331B0" w:rsidP="00EE2F6F">
      <w:pPr>
        <w:pStyle w:val="Default"/>
        <w:numPr>
          <w:ilvl w:val="0"/>
          <w:numId w:val="8"/>
        </w:numPr>
        <w:spacing w:line="276" w:lineRule="auto"/>
        <w:contextualSpacing/>
        <w:jc w:val="both"/>
        <w:rPr>
          <w:sz w:val="20"/>
          <w:szCs w:val="20"/>
        </w:rPr>
      </w:pPr>
      <w:r w:rsidRPr="00EE2F6F">
        <w:rPr>
          <w:sz w:val="20"/>
          <w:szCs w:val="20"/>
        </w:rPr>
        <w:t xml:space="preserve">łączna energia pobrana przez pojazd w czasie sesji ładowania – wyjściowa, </w:t>
      </w:r>
    </w:p>
    <w:p w14:paraId="27008221" w14:textId="77777777" w:rsidR="00B331B0" w:rsidRPr="00EE2F6F" w:rsidRDefault="00B331B0" w:rsidP="00EE2F6F">
      <w:pPr>
        <w:pStyle w:val="Default"/>
        <w:numPr>
          <w:ilvl w:val="0"/>
          <w:numId w:val="8"/>
        </w:numPr>
        <w:spacing w:line="276" w:lineRule="auto"/>
        <w:contextualSpacing/>
        <w:jc w:val="both"/>
        <w:rPr>
          <w:sz w:val="20"/>
          <w:szCs w:val="20"/>
        </w:rPr>
      </w:pPr>
      <w:r w:rsidRPr="00EE2F6F">
        <w:rPr>
          <w:sz w:val="20"/>
          <w:szCs w:val="20"/>
        </w:rPr>
        <w:t xml:space="preserve">łączna energia pobrana przez stacje ładowania w czasie sesji ładowania – wejściowa, </w:t>
      </w:r>
    </w:p>
    <w:p w14:paraId="598CEBAD" w14:textId="77777777" w:rsidR="00B331B0" w:rsidRPr="00EE2F6F" w:rsidRDefault="00B331B0" w:rsidP="00EE2F6F">
      <w:pPr>
        <w:pStyle w:val="Default"/>
        <w:numPr>
          <w:ilvl w:val="0"/>
          <w:numId w:val="8"/>
        </w:numPr>
        <w:spacing w:line="276" w:lineRule="auto"/>
        <w:contextualSpacing/>
        <w:jc w:val="both"/>
        <w:rPr>
          <w:sz w:val="20"/>
          <w:szCs w:val="20"/>
        </w:rPr>
      </w:pPr>
      <w:r w:rsidRPr="00EE2F6F">
        <w:rPr>
          <w:sz w:val="20"/>
          <w:szCs w:val="20"/>
        </w:rPr>
        <w:t xml:space="preserve">początkowy poziom naładowania baterii trakcyjnych (SoC) ładowanego pojazdu, </w:t>
      </w:r>
    </w:p>
    <w:p w14:paraId="0E3A34D3" w14:textId="77777777" w:rsidR="00B331B0" w:rsidRPr="00EE2F6F" w:rsidRDefault="00B331B0" w:rsidP="00EE2F6F">
      <w:pPr>
        <w:pStyle w:val="Default"/>
        <w:numPr>
          <w:ilvl w:val="0"/>
          <w:numId w:val="8"/>
        </w:numPr>
        <w:spacing w:line="276" w:lineRule="auto"/>
        <w:contextualSpacing/>
        <w:jc w:val="both"/>
        <w:rPr>
          <w:sz w:val="20"/>
          <w:szCs w:val="20"/>
        </w:rPr>
      </w:pPr>
      <w:r w:rsidRPr="00EE2F6F">
        <w:rPr>
          <w:sz w:val="20"/>
          <w:szCs w:val="20"/>
        </w:rPr>
        <w:lastRenderedPageBreak/>
        <w:t xml:space="preserve">końcowy poziom naładowania baterii trakcyjnych (SoC) ładowanego pojazdu, </w:t>
      </w:r>
    </w:p>
    <w:p w14:paraId="6A09487C" w14:textId="77777777" w:rsidR="00B331B0" w:rsidRPr="00EE2F6F" w:rsidRDefault="00B331B0" w:rsidP="00EE2F6F">
      <w:pPr>
        <w:pStyle w:val="Default"/>
        <w:numPr>
          <w:ilvl w:val="0"/>
          <w:numId w:val="8"/>
        </w:numPr>
        <w:spacing w:line="276" w:lineRule="auto"/>
        <w:contextualSpacing/>
        <w:jc w:val="both"/>
        <w:rPr>
          <w:sz w:val="20"/>
          <w:szCs w:val="20"/>
        </w:rPr>
      </w:pPr>
      <w:r w:rsidRPr="00EE2F6F">
        <w:rPr>
          <w:sz w:val="20"/>
          <w:szCs w:val="20"/>
        </w:rPr>
        <w:t xml:space="preserve">ilość energii przekazanej do pojazdu, wyrażona w procentach, jako różnica pomiędzy początkowym i końcowym poziomem naładowania baterii trakcyjnej (SoC), </w:t>
      </w:r>
    </w:p>
    <w:p w14:paraId="012EA1FB" w14:textId="77777777" w:rsidR="00B331B0" w:rsidRPr="00EE2F6F" w:rsidRDefault="00B331B0" w:rsidP="00EE2F6F">
      <w:pPr>
        <w:pStyle w:val="Default"/>
        <w:numPr>
          <w:ilvl w:val="0"/>
          <w:numId w:val="8"/>
        </w:numPr>
        <w:spacing w:line="276" w:lineRule="auto"/>
        <w:contextualSpacing/>
        <w:jc w:val="both"/>
        <w:rPr>
          <w:sz w:val="20"/>
          <w:szCs w:val="20"/>
        </w:rPr>
      </w:pPr>
      <w:r w:rsidRPr="00EE2F6F">
        <w:rPr>
          <w:sz w:val="20"/>
          <w:szCs w:val="20"/>
        </w:rPr>
        <w:t xml:space="preserve">identyfikator pojazdu przedstawiony jako numer boczny pojazdu (numer identyfikacyjny stosowany przez Użytkownika), </w:t>
      </w:r>
    </w:p>
    <w:p w14:paraId="7508C0FE" w14:textId="77777777" w:rsidR="00B331B0" w:rsidRPr="00EE2F6F" w:rsidRDefault="00B331B0" w:rsidP="00EE2F6F">
      <w:pPr>
        <w:pStyle w:val="Default"/>
        <w:numPr>
          <w:ilvl w:val="0"/>
          <w:numId w:val="8"/>
        </w:numPr>
        <w:spacing w:line="276" w:lineRule="auto"/>
        <w:contextualSpacing/>
        <w:jc w:val="both"/>
        <w:rPr>
          <w:sz w:val="20"/>
          <w:szCs w:val="20"/>
        </w:rPr>
      </w:pPr>
      <w:r w:rsidRPr="00EE2F6F">
        <w:rPr>
          <w:sz w:val="20"/>
          <w:szCs w:val="20"/>
        </w:rPr>
        <w:t xml:space="preserve">powód zakończenia ładowania, </w:t>
      </w:r>
    </w:p>
    <w:p w14:paraId="6BE0D3EC" w14:textId="77777777" w:rsidR="00B331B0" w:rsidRPr="00EE2F6F" w:rsidRDefault="00B331B0" w:rsidP="00EE2F6F">
      <w:pPr>
        <w:pStyle w:val="Default"/>
        <w:numPr>
          <w:ilvl w:val="0"/>
          <w:numId w:val="8"/>
        </w:numPr>
        <w:spacing w:line="276" w:lineRule="auto"/>
        <w:contextualSpacing/>
        <w:jc w:val="both"/>
        <w:rPr>
          <w:sz w:val="20"/>
          <w:szCs w:val="20"/>
        </w:rPr>
      </w:pPr>
      <w:r w:rsidRPr="00EE2F6F">
        <w:rPr>
          <w:sz w:val="20"/>
          <w:szCs w:val="20"/>
        </w:rPr>
        <w:t xml:space="preserve">wykresy zawierające informacje o zmieniających się parametrach ładowania, przesyłanych okresowo przez stacje ładowania w trakcie procesu ładowania: </w:t>
      </w:r>
    </w:p>
    <w:p w14:paraId="2B2EEFA9" w14:textId="77777777" w:rsidR="00B331B0" w:rsidRPr="00EE2F6F" w:rsidRDefault="00B331B0" w:rsidP="00EE2F6F">
      <w:pPr>
        <w:pStyle w:val="Default"/>
        <w:numPr>
          <w:ilvl w:val="0"/>
          <w:numId w:val="8"/>
        </w:numPr>
        <w:spacing w:line="276" w:lineRule="auto"/>
        <w:contextualSpacing/>
        <w:jc w:val="both"/>
        <w:rPr>
          <w:sz w:val="20"/>
          <w:szCs w:val="20"/>
        </w:rPr>
      </w:pPr>
      <w:r w:rsidRPr="00EE2F6F">
        <w:rPr>
          <w:sz w:val="20"/>
          <w:szCs w:val="20"/>
        </w:rPr>
        <w:t xml:space="preserve">napięcie i prąd wyjściowy, </w:t>
      </w:r>
    </w:p>
    <w:p w14:paraId="42ACE1AA" w14:textId="77777777" w:rsidR="00B331B0" w:rsidRPr="00EE2F6F" w:rsidRDefault="00B331B0" w:rsidP="00EE2F6F">
      <w:pPr>
        <w:pStyle w:val="Default"/>
        <w:numPr>
          <w:ilvl w:val="0"/>
          <w:numId w:val="8"/>
        </w:numPr>
        <w:spacing w:line="276" w:lineRule="auto"/>
        <w:contextualSpacing/>
        <w:jc w:val="both"/>
        <w:rPr>
          <w:sz w:val="20"/>
          <w:szCs w:val="20"/>
        </w:rPr>
      </w:pPr>
      <w:r w:rsidRPr="00EE2F6F">
        <w:rPr>
          <w:sz w:val="20"/>
          <w:szCs w:val="20"/>
        </w:rPr>
        <w:t xml:space="preserve">SoC- stopień naładowania baterii trakcyjnych) </w:t>
      </w:r>
    </w:p>
    <w:p w14:paraId="4190DFF3" w14:textId="5E90F3C7" w:rsidR="00401BD1" w:rsidRPr="00EE2F6F" w:rsidRDefault="00B331B0" w:rsidP="00EE2F6F">
      <w:pPr>
        <w:pStyle w:val="Default"/>
        <w:numPr>
          <w:ilvl w:val="0"/>
          <w:numId w:val="8"/>
        </w:numPr>
        <w:spacing w:line="276" w:lineRule="auto"/>
        <w:contextualSpacing/>
        <w:jc w:val="both"/>
        <w:rPr>
          <w:sz w:val="20"/>
          <w:szCs w:val="20"/>
        </w:rPr>
      </w:pPr>
      <w:r w:rsidRPr="00EE2F6F">
        <w:rPr>
          <w:sz w:val="20"/>
          <w:szCs w:val="20"/>
        </w:rPr>
        <w:t>moc chwilowa wyjściowa.</w:t>
      </w:r>
    </w:p>
    <w:p w14:paraId="1AFB6C63" w14:textId="77777777" w:rsidR="00401BD1" w:rsidRPr="00EE2F6F" w:rsidRDefault="00401BD1" w:rsidP="00EE2F6F">
      <w:pPr>
        <w:pStyle w:val="Default"/>
        <w:spacing w:line="276" w:lineRule="auto"/>
        <w:ind w:left="2880"/>
        <w:contextualSpacing/>
        <w:jc w:val="both"/>
        <w:rPr>
          <w:sz w:val="20"/>
          <w:szCs w:val="20"/>
        </w:rPr>
      </w:pPr>
    </w:p>
    <w:p w14:paraId="72BDE190" w14:textId="77777777" w:rsidR="00D91CC2" w:rsidRPr="00EE2F6F" w:rsidRDefault="00D91CC2" w:rsidP="00EE2F6F">
      <w:pPr>
        <w:pStyle w:val="Default"/>
        <w:numPr>
          <w:ilvl w:val="1"/>
          <w:numId w:val="1"/>
        </w:numPr>
        <w:spacing w:line="276" w:lineRule="auto"/>
        <w:contextualSpacing/>
        <w:jc w:val="both"/>
        <w:rPr>
          <w:sz w:val="20"/>
          <w:szCs w:val="20"/>
        </w:rPr>
      </w:pPr>
      <w:r w:rsidRPr="00EE2F6F">
        <w:rPr>
          <w:sz w:val="20"/>
          <w:szCs w:val="20"/>
        </w:rPr>
        <w:t>Zarządzanie uprawnieniami operatorów systemu dynamicznego zarządzania ładowaniem</w:t>
      </w:r>
    </w:p>
    <w:p w14:paraId="79833411" w14:textId="77777777" w:rsidR="00D91CC2" w:rsidRPr="00EE2F6F" w:rsidRDefault="00D91CC2" w:rsidP="00EE2F6F">
      <w:pPr>
        <w:pStyle w:val="Default"/>
        <w:numPr>
          <w:ilvl w:val="2"/>
          <w:numId w:val="1"/>
        </w:numPr>
        <w:spacing w:line="276" w:lineRule="auto"/>
        <w:contextualSpacing/>
        <w:jc w:val="both"/>
        <w:rPr>
          <w:sz w:val="20"/>
          <w:szCs w:val="20"/>
        </w:rPr>
      </w:pPr>
      <w:r w:rsidRPr="00EE2F6F">
        <w:rPr>
          <w:sz w:val="20"/>
          <w:szCs w:val="20"/>
        </w:rPr>
        <w:t xml:space="preserve">operator standardowy – tylko podgląd informacji, </w:t>
      </w:r>
    </w:p>
    <w:p w14:paraId="3971599A" w14:textId="77777777" w:rsidR="00D91CC2" w:rsidRPr="00EE2F6F" w:rsidRDefault="00D91CC2" w:rsidP="00EE2F6F">
      <w:pPr>
        <w:pStyle w:val="Default"/>
        <w:numPr>
          <w:ilvl w:val="2"/>
          <w:numId w:val="1"/>
        </w:numPr>
        <w:spacing w:line="276" w:lineRule="auto"/>
        <w:contextualSpacing/>
        <w:jc w:val="both"/>
        <w:rPr>
          <w:sz w:val="20"/>
          <w:szCs w:val="20"/>
        </w:rPr>
      </w:pPr>
      <w:r w:rsidRPr="00EE2F6F">
        <w:rPr>
          <w:sz w:val="20"/>
          <w:szCs w:val="20"/>
        </w:rPr>
        <w:t xml:space="preserve">operator zaawansowany – podgląd i możliwość konfiguracji systemu dynamicznego zarządzania ładowaniem </w:t>
      </w:r>
    </w:p>
    <w:p w14:paraId="4C87324D" w14:textId="77777777" w:rsidR="00D91CC2" w:rsidRPr="00EE2F6F" w:rsidRDefault="00D91CC2" w:rsidP="00EE2F6F">
      <w:pPr>
        <w:pStyle w:val="Default"/>
        <w:numPr>
          <w:ilvl w:val="2"/>
          <w:numId w:val="1"/>
        </w:numPr>
        <w:spacing w:line="276" w:lineRule="auto"/>
        <w:contextualSpacing/>
        <w:jc w:val="both"/>
        <w:rPr>
          <w:sz w:val="20"/>
          <w:szCs w:val="20"/>
        </w:rPr>
      </w:pPr>
      <w:r w:rsidRPr="00EE2F6F">
        <w:rPr>
          <w:sz w:val="20"/>
          <w:szCs w:val="20"/>
        </w:rPr>
        <w:t xml:space="preserve">administrator – pełne uprawnienia do podglądu i modyfikacji wszystkich parametrów systemu. </w:t>
      </w:r>
    </w:p>
    <w:p w14:paraId="79A18724" w14:textId="77777777" w:rsidR="00D91CC2" w:rsidRPr="00EE2F6F" w:rsidRDefault="00D91CC2" w:rsidP="00EE2F6F">
      <w:pPr>
        <w:pStyle w:val="Default"/>
        <w:spacing w:line="276" w:lineRule="auto"/>
        <w:contextualSpacing/>
        <w:jc w:val="both"/>
        <w:rPr>
          <w:color w:val="auto"/>
          <w:sz w:val="20"/>
          <w:szCs w:val="20"/>
        </w:rPr>
      </w:pPr>
    </w:p>
    <w:p w14:paraId="44CA61BF" w14:textId="77777777" w:rsidR="00D91CC2" w:rsidRPr="00EE2F6F" w:rsidRDefault="00D91CC2" w:rsidP="00EE2F6F">
      <w:pPr>
        <w:pStyle w:val="Default"/>
        <w:numPr>
          <w:ilvl w:val="1"/>
          <w:numId w:val="1"/>
        </w:numPr>
        <w:spacing w:line="276" w:lineRule="auto"/>
        <w:contextualSpacing/>
        <w:jc w:val="both"/>
        <w:rPr>
          <w:sz w:val="20"/>
          <w:szCs w:val="20"/>
        </w:rPr>
      </w:pPr>
      <w:r w:rsidRPr="00EE2F6F">
        <w:rPr>
          <w:sz w:val="20"/>
          <w:szCs w:val="20"/>
        </w:rPr>
        <w:t xml:space="preserve">System dynamicznego zarządzania ładowania w wersji podstawowej będzie autoryzował i uwierzytelniał pojazdy ładowane za pomocą odczytania numeru pojazdu po podłączeniu do stacji ładowania. </w:t>
      </w:r>
    </w:p>
    <w:p w14:paraId="2314A4FF" w14:textId="77777777" w:rsidR="00D91CC2" w:rsidRPr="00EE2F6F" w:rsidRDefault="00D91CC2" w:rsidP="00EE2F6F">
      <w:pPr>
        <w:pStyle w:val="Default"/>
        <w:spacing w:line="276" w:lineRule="auto"/>
        <w:contextualSpacing/>
        <w:jc w:val="both"/>
        <w:rPr>
          <w:color w:val="auto"/>
          <w:sz w:val="20"/>
          <w:szCs w:val="20"/>
        </w:rPr>
      </w:pPr>
    </w:p>
    <w:p w14:paraId="6A0A7E7C" w14:textId="0DCF4411" w:rsidR="00D91CC2" w:rsidRPr="00EE2F6F" w:rsidRDefault="00332045" w:rsidP="00EE2F6F">
      <w:pPr>
        <w:pStyle w:val="Default"/>
        <w:numPr>
          <w:ilvl w:val="1"/>
          <w:numId w:val="1"/>
        </w:numPr>
        <w:spacing w:line="276" w:lineRule="auto"/>
        <w:contextualSpacing/>
        <w:jc w:val="both"/>
        <w:rPr>
          <w:sz w:val="20"/>
          <w:szCs w:val="20"/>
        </w:rPr>
      </w:pPr>
      <w:r w:rsidRPr="00EE2F6F">
        <w:rPr>
          <w:sz w:val="20"/>
          <w:szCs w:val="20"/>
        </w:rPr>
        <w:t>W celu realizacji funkcjonalności systemu dynamicznego zarządzania ładowaniem w</w:t>
      </w:r>
      <w:r w:rsidR="00D91CC2" w:rsidRPr="00EE2F6F">
        <w:rPr>
          <w:sz w:val="20"/>
          <w:szCs w:val="20"/>
        </w:rPr>
        <w:t>szystkie stacje ładowania pojazdów objęte przedmiotowym zamówieniem będ</w:t>
      </w:r>
      <w:r w:rsidR="00B769B9" w:rsidRPr="00EE2F6F">
        <w:rPr>
          <w:sz w:val="20"/>
          <w:szCs w:val="20"/>
        </w:rPr>
        <w:t>ą</w:t>
      </w:r>
      <w:r w:rsidR="00D91CC2" w:rsidRPr="00EE2F6F">
        <w:rPr>
          <w:sz w:val="20"/>
          <w:szCs w:val="20"/>
        </w:rPr>
        <w:t xml:space="preserve"> zgodn</w:t>
      </w:r>
      <w:r w:rsidR="00B769B9" w:rsidRPr="00EE2F6F">
        <w:rPr>
          <w:sz w:val="20"/>
          <w:szCs w:val="20"/>
        </w:rPr>
        <w:t>e</w:t>
      </w:r>
      <w:r w:rsidR="00D91CC2" w:rsidRPr="00EE2F6F">
        <w:rPr>
          <w:sz w:val="20"/>
          <w:szCs w:val="20"/>
        </w:rPr>
        <w:t xml:space="preserve"> z protokołem OCPP 1.6 (JSON) lub równoważnym - umożliwi to w przyszłości podłączanie przez Użytkownika innych stacji do systemu. </w:t>
      </w:r>
    </w:p>
    <w:p w14:paraId="2FA34F90" w14:textId="77777777" w:rsidR="00D91CC2" w:rsidRPr="00EE2F6F" w:rsidRDefault="00D91CC2" w:rsidP="00EE2F6F">
      <w:pPr>
        <w:pStyle w:val="Default"/>
        <w:spacing w:line="276" w:lineRule="auto"/>
        <w:contextualSpacing/>
        <w:jc w:val="both"/>
        <w:rPr>
          <w:color w:val="auto"/>
          <w:sz w:val="20"/>
          <w:szCs w:val="20"/>
        </w:rPr>
      </w:pPr>
    </w:p>
    <w:p w14:paraId="27300C19" w14:textId="6373093B" w:rsidR="00D91CC2" w:rsidRPr="00EE2F6F" w:rsidRDefault="000E52DC" w:rsidP="00EE2F6F">
      <w:pPr>
        <w:pStyle w:val="Default"/>
        <w:numPr>
          <w:ilvl w:val="1"/>
          <w:numId w:val="1"/>
        </w:numPr>
        <w:spacing w:line="276" w:lineRule="auto"/>
        <w:contextualSpacing/>
        <w:jc w:val="both"/>
        <w:rPr>
          <w:sz w:val="20"/>
          <w:szCs w:val="20"/>
        </w:rPr>
      </w:pPr>
      <w:r w:rsidRPr="00EE2F6F">
        <w:rPr>
          <w:sz w:val="20"/>
          <w:szCs w:val="20"/>
        </w:rPr>
        <w:t>W ramach systemu dynamicznego zarządzania ładowaniem z</w:t>
      </w:r>
      <w:r w:rsidR="00D91CC2" w:rsidRPr="00EE2F6F">
        <w:rPr>
          <w:sz w:val="20"/>
          <w:szCs w:val="20"/>
        </w:rPr>
        <w:t xml:space="preserve">godnie z OCPP 1.6 (JSON) system będzie rejestrował informacje w relacyjnej bazie danych, która stanowić musi element systemu. </w:t>
      </w:r>
    </w:p>
    <w:p w14:paraId="794CEB2D" w14:textId="77777777" w:rsidR="00D91CC2" w:rsidRPr="00EE2F6F" w:rsidRDefault="00D91CC2" w:rsidP="00EE2F6F">
      <w:pPr>
        <w:pStyle w:val="Default"/>
        <w:spacing w:line="276" w:lineRule="auto"/>
        <w:contextualSpacing/>
        <w:jc w:val="both"/>
        <w:rPr>
          <w:color w:val="auto"/>
          <w:sz w:val="20"/>
          <w:szCs w:val="20"/>
        </w:rPr>
      </w:pPr>
    </w:p>
    <w:p w14:paraId="16E72439" w14:textId="77777777" w:rsidR="00D91CC2" w:rsidRPr="00EE2F6F" w:rsidRDefault="00D91CC2" w:rsidP="00EE2F6F">
      <w:pPr>
        <w:pStyle w:val="Default"/>
        <w:numPr>
          <w:ilvl w:val="1"/>
          <w:numId w:val="1"/>
        </w:numPr>
        <w:spacing w:line="276" w:lineRule="auto"/>
        <w:contextualSpacing/>
        <w:jc w:val="both"/>
        <w:rPr>
          <w:sz w:val="20"/>
          <w:szCs w:val="20"/>
        </w:rPr>
      </w:pPr>
      <w:r w:rsidRPr="00EE2F6F">
        <w:rPr>
          <w:sz w:val="20"/>
          <w:szCs w:val="20"/>
        </w:rPr>
        <w:t xml:space="preserve">System dynamicznego zarządzania ładowaniem musi posiadać konsolę graficzną dla Użytkownika, która będzie zrealizowana w technologii web-owej. Na stacjach roboczych operatorów systemu, nie będzie wymagana instalacja żadnych dodatkowych komponentów – konsola będzie w całości uruchamiana w przeglądarce web-owej. Zamawiający nie dopuszcza rozwiązania, zarówno serwera systemu, jak i jego konsoli zrealizowanych w sposób, który ogranicza ich uruchamianie do wybranego środowiska systemowego. Wszystkie komponenty Systemu muszą mieć możliwość instalacji i uruchomienia co najmniej w środowiskach Microsoft Windows / Linux. </w:t>
      </w:r>
    </w:p>
    <w:p w14:paraId="3C655063" w14:textId="77777777" w:rsidR="00D91CC2" w:rsidRPr="00EE2F6F" w:rsidRDefault="00D91CC2" w:rsidP="00EE2F6F">
      <w:pPr>
        <w:pStyle w:val="Default"/>
        <w:spacing w:line="276" w:lineRule="auto"/>
        <w:contextualSpacing/>
        <w:jc w:val="both"/>
        <w:rPr>
          <w:color w:val="auto"/>
          <w:sz w:val="20"/>
          <w:szCs w:val="20"/>
        </w:rPr>
      </w:pPr>
    </w:p>
    <w:p w14:paraId="6926486B" w14:textId="77777777" w:rsidR="00796260" w:rsidRPr="00EE2F6F" w:rsidRDefault="00796260" w:rsidP="00EE2F6F">
      <w:pPr>
        <w:pStyle w:val="Default"/>
        <w:spacing w:line="276" w:lineRule="auto"/>
        <w:contextualSpacing/>
        <w:jc w:val="center"/>
        <w:rPr>
          <w:b/>
          <w:bCs/>
          <w:color w:val="auto"/>
          <w:sz w:val="20"/>
          <w:szCs w:val="20"/>
        </w:rPr>
      </w:pPr>
    </w:p>
    <w:p w14:paraId="2292474D" w14:textId="6E01354F" w:rsidR="00796260" w:rsidRPr="00EE2F6F" w:rsidRDefault="00796260" w:rsidP="004E76CA">
      <w:pPr>
        <w:pStyle w:val="Default"/>
        <w:spacing w:line="276" w:lineRule="auto"/>
        <w:contextualSpacing/>
        <w:rPr>
          <w:b/>
          <w:bCs/>
          <w:sz w:val="20"/>
          <w:szCs w:val="20"/>
        </w:rPr>
      </w:pPr>
      <w:r w:rsidRPr="00EE2F6F">
        <w:rPr>
          <w:b/>
          <w:bCs/>
          <w:sz w:val="20"/>
          <w:szCs w:val="20"/>
        </w:rPr>
        <w:t>SYSTEM MONITOROWANIA STACJI ŁADOWANIA</w:t>
      </w:r>
    </w:p>
    <w:p w14:paraId="5BD8104E" w14:textId="77777777" w:rsidR="00796260" w:rsidRPr="00EE2F6F" w:rsidRDefault="00796260" w:rsidP="00EE2F6F">
      <w:pPr>
        <w:pStyle w:val="Default"/>
        <w:spacing w:line="276" w:lineRule="auto"/>
        <w:contextualSpacing/>
        <w:jc w:val="both"/>
        <w:rPr>
          <w:color w:val="auto"/>
          <w:sz w:val="20"/>
          <w:szCs w:val="20"/>
        </w:rPr>
      </w:pPr>
    </w:p>
    <w:p w14:paraId="15C9A9DA" w14:textId="5C6C07CB" w:rsidR="00D91CC2" w:rsidRPr="00EE2F6F" w:rsidRDefault="00D91CC2" w:rsidP="00EE2F6F">
      <w:pPr>
        <w:pStyle w:val="Default"/>
        <w:numPr>
          <w:ilvl w:val="1"/>
          <w:numId w:val="1"/>
        </w:numPr>
        <w:spacing w:line="276" w:lineRule="auto"/>
        <w:contextualSpacing/>
        <w:jc w:val="both"/>
        <w:rPr>
          <w:sz w:val="20"/>
          <w:szCs w:val="20"/>
        </w:rPr>
      </w:pPr>
      <w:r w:rsidRPr="00EE2F6F">
        <w:rPr>
          <w:sz w:val="20"/>
          <w:szCs w:val="20"/>
        </w:rPr>
        <w:t>Zamawiający wymaga od Wykonawcy dostarczenia systemu</w:t>
      </w:r>
      <w:r w:rsidR="001A19AF" w:rsidRPr="00EE2F6F">
        <w:rPr>
          <w:sz w:val="20"/>
          <w:szCs w:val="20"/>
        </w:rPr>
        <w:t xml:space="preserve"> monitoringu  stacji ładowania</w:t>
      </w:r>
      <w:r w:rsidRPr="00EE2F6F">
        <w:rPr>
          <w:sz w:val="20"/>
          <w:szCs w:val="20"/>
        </w:rPr>
        <w:t xml:space="preserve"> wraz z licencjami, który będzie w stanie monitorować minimum 25 punktów ładowania</w:t>
      </w:r>
      <w:r w:rsidR="00055599">
        <w:rPr>
          <w:sz w:val="20"/>
          <w:szCs w:val="20"/>
        </w:rPr>
        <w:t>.</w:t>
      </w:r>
      <w:r w:rsidRPr="00EE2F6F">
        <w:rPr>
          <w:sz w:val="20"/>
          <w:szCs w:val="20"/>
        </w:rPr>
        <w:t xml:space="preserve"> System musi dawać możliwość rozbudowy liczby monitorowanych urządzeń. </w:t>
      </w:r>
    </w:p>
    <w:p w14:paraId="7CFF6395" w14:textId="77777777" w:rsidR="00D91CC2" w:rsidRPr="00EE2F6F" w:rsidRDefault="00D91CC2" w:rsidP="00EE2F6F">
      <w:pPr>
        <w:pStyle w:val="Default"/>
        <w:spacing w:line="276" w:lineRule="auto"/>
        <w:ind w:left="1440"/>
        <w:contextualSpacing/>
        <w:jc w:val="both"/>
        <w:rPr>
          <w:sz w:val="20"/>
          <w:szCs w:val="20"/>
        </w:rPr>
      </w:pPr>
    </w:p>
    <w:p w14:paraId="12514A7F" w14:textId="4F35FA18" w:rsidR="00401BD1" w:rsidRPr="00EE2F6F" w:rsidRDefault="00401BD1" w:rsidP="00EE2F6F">
      <w:pPr>
        <w:pStyle w:val="Default"/>
        <w:numPr>
          <w:ilvl w:val="1"/>
          <w:numId w:val="1"/>
        </w:numPr>
        <w:spacing w:line="276" w:lineRule="auto"/>
        <w:contextualSpacing/>
        <w:jc w:val="both"/>
        <w:rPr>
          <w:sz w:val="20"/>
          <w:szCs w:val="20"/>
        </w:rPr>
      </w:pPr>
      <w:r w:rsidRPr="00EE2F6F">
        <w:rPr>
          <w:sz w:val="20"/>
          <w:szCs w:val="20"/>
        </w:rPr>
        <w:t>Zarządzanie uprawnieniami operatorów</w:t>
      </w:r>
      <w:r w:rsidR="00FD2B65" w:rsidRPr="00EE2F6F">
        <w:rPr>
          <w:sz w:val="20"/>
          <w:szCs w:val="20"/>
        </w:rPr>
        <w:t xml:space="preserve"> systemu monitorowania stacji ładowania.</w:t>
      </w:r>
    </w:p>
    <w:p w14:paraId="35BC71D0" w14:textId="77777777" w:rsidR="00401BD1" w:rsidRPr="00EE2F6F" w:rsidRDefault="00401BD1" w:rsidP="00EE2F6F">
      <w:pPr>
        <w:pStyle w:val="Default"/>
        <w:spacing w:line="276" w:lineRule="auto"/>
        <w:contextualSpacing/>
        <w:jc w:val="both"/>
        <w:rPr>
          <w:sz w:val="20"/>
          <w:szCs w:val="20"/>
        </w:rPr>
      </w:pPr>
    </w:p>
    <w:p w14:paraId="43133114" w14:textId="216F605C" w:rsidR="00401BD1" w:rsidRPr="00EE2F6F" w:rsidRDefault="00401BD1" w:rsidP="00EE2F6F">
      <w:pPr>
        <w:pStyle w:val="Default"/>
        <w:numPr>
          <w:ilvl w:val="0"/>
          <w:numId w:val="10"/>
        </w:numPr>
        <w:spacing w:line="276" w:lineRule="auto"/>
        <w:contextualSpacing/>
        <w:jc w:val="both"/>
        <w:rPr>
          <w:sz w:val="20"/>
          <w:szCs w:val="20"/>
        </w:rPr>
      </w:pPr>
      <w:r w:rsidRPr="00EE2F6F">
        <w:rPr>
          <w:sz w:val="20"/>
          <w:szCs w:val="20"/>
        </w:rPr>
        <w:t>System</w:t>
      </w:r>
      <w:r w:rsidR="005877EF" w:rsidRPr="00EE2F6F">
        <w:rPr>
          <w:sz w:val="20"/>
          <w:szCs w:val="20"/>
        </w:rPr>
        <w:t xml:space="preserve"> monitorowania stacji ładowania</w:t>
      </w:r>
      <w:r w:rsidRPr="00EE2F6F">
        <w:rPr>
          <w:sz w:val="20"/>
          <w:szCs w:val="20"/>
        </w:rPr>
        <w:t xml:space="preserve"> musi mieć możliwość przypisania jednej z 3 roli do każdego konta operatora systemu; </w:t>
      </w:r>
    </w:p>
    <w:p w14:paraId="67FE8544" w14:textId="3232DC60" w:rsidR="00401BD1" w:rsidRPr="00EE2F6F" w:rsidRDefault="00401BD1" w:rsidP="00EE2F6F">
      <w:pPr>
        <w:pStyle w:val="Default"/>
        <w:numPr>
          <w:ilvl w:val="0"/>
          <w:numId w:val="10"/>
        </w:numPr>
        <w:spacing w:line="276" w:lineRule="auto"/>
        <w:contextualSpacing/>
        <w:jc w:val="both"/>
        <w:rPr>
          <w:sz w:val="20"/>
          <w:szCs w:val="20"/>
        </w:rPr>
      </w:pPr>
      <w:r w:rsidRPr="00EE2F6F">
        <w:rPr>
          <w:sz w:val="20"/>
          <w:szCs w:val="20"/>
        </w:rPr>
        <w:t xml:space="preserve">System musi posiadać następujące role: </w:t>
      </w:r>
    </w:p>
    <w:p w14:paraId="2A4B794A" w14:textId="77777777" w:rsidR="00401BD1" w:rsidRPr="00EE2F6F" w:rsidRDefault="00401BD1" w:rsidP="00EE2F6F">
      <w:pPr>
        <w:pStyle w:val="Default"/>
        <w:numPr>
          <w:ilvl w:val="0"/>
          <w:numId w:val="8"/>
        </w:numPr>
        <w:spacing w:line="276" w:lineRule="auto"/>
        <w:contextualSpacing/>
        <w:jc w:val="both"/>
        <w:rPr>
          <w:sz w:val="20"/>
          <w:szCs w:val="20"/>
        </w:rPr>
      </w:pPr>
      <w:r w:rsidRPr="00EE2F6F">
        <w:rPr>
          <w:sz w:val="20"/>
          <w:szCs w:val="20"/>
        </w:rPr>
        <w:t xml:space="preserve">operator standardowy – tylko podgląd informacji, </w:t>
      </w:r>
    </w:p>
    <w:p w14:paraId="6A8D4391" w14:textId="77777777" w:rsidR="00401BD1" w:rsidRPr="00EE2F6F" w:rsidRDefault="00401BD1" w:rsidP="00EE2F6F">
      <w:pPr>
        <w:pStyle w:val="Default"/>
        <w:numPr>
          <w:ilvl w:val="0"/>
          <w:numId w:val="8"/>
        </w:numPr>
        <w:spacing w:line="276" w:lineRule="auto"/>
        <w:contextualSpacing/>
        <w:jc w:val="both"/>
        <w:rPr>
          <w:sz w:val="20"/>
          <w:szCs w:val="20"/>
        </w:rPr>
      </w:pPr>
      <w:r w:rsidRPr="00EE2F6F">
        <w:rPr>
          <w:sz w:val="20"/>
          <w:szCs w:val="20"/>
        </w:rPr>
        <w:t xml:space="preserve">operator zaawansowany – podgląd i możliwość konfiguracji systemu w zakresie zarządzania stacjami ładowania (dodawanie, modyfikacja), </w:t>
      </w:r>
    </w:p>
    <w:p w14:paraId="347C429B" w14:textId="14DC82A9" w:rsidR="00401BD1" w:rsidRPr="00EE2F6F" w:rsidRDefault="00401BD1" w:rsidP="00EE2F6F">
      <w:pPr>
        <w:pStyle w:val="Default"/>
        <w:numPr>
          <w:ilvl w:val="0"/>
          <w:numId w:val="8"/>
        </w:numPr>
        <w:spacing w:line="276" w:lineRule="auto"/>
        <w:contextualSpacing/>
        <w:jc w:val="both"/>
        <w:rPr>
          <w:sz w:val="20"/>
          <w:szCs w:val="20"/>
        </w:rPr>
      </w:pPr>
      <w:r w:rsidRPr="00EE2F6F">
        <w:rPr>
          <w:sz w:val="20"/>
          <w:szCs w:val="20"/>
        </w:rPr>
        <w:t xml:space="preserve">administrator – pełne uprawnienia do podglądu i modyfikacji wszystkich parametrów systemu. </w:t>
      </w:r>
    </w:p>
    <w:p w14:paraId="1E13FDD1" w14:textId="54BE470A" w:rsidR="00401BD1" w:rsidRPr="00EE2F6F" w:rsidRDefault="00401BD1" w:rsidP="00EE2F6F">
      <w:pPr>
        <w:pStyle w:val="Default"/>
        <w:numPr>
          <w:ilvl w:val="0"/>
          <w:numId w:val="10"/>
        </w:numPr>
        <w:spacing w:line="276" w:lineRule="auto"/>
        <w:contextualSpacing/>
        <w:jc w:val="both"/>
        <w:rPr>
          <w:sz w:val="20"/>
          <w:szCs w:val="20"/>
        </w:rPr>
      </w:pPr>
      <w:r w:rsidRPr="00EE2F6F">
        <w:rPr>
          <w:sz w:val="20"/>
          <w:szCs w:val="20"/>
        </w:rPr>
        <w:t xml:space="preserve">System będzie gromadził wszystkie notyfikacje (zwanym alertami) generowane przez stacje ładowania i na podstawie reguł określonych przez Użytkownika będzie przekazywał na bieżąco notyfikacje ze stacji ładowania do wskazanych operatorów za pomocą poczty elektronicznej. </w:t>
      </w:r>
    </w:p>
    <w:p w14:paraId="7FFCF5AA" w14:textId="6371AC70" w:rsidR="00401BD1" w:rsidRPr="00EE2F6F" w:rsidRDefault="00401BD1" w:rsidP="00EE2F6F">
      <w:pPr>
        <w:pStyle w:val="Default"/>
        <w:numPr>
          <w:ilvl w:val="0"/>
          <w:numId w:val="10"/>
        </w:numPr>
        <w:spacing w:line="276" w:lineRule="auto"/>
        <w:contextualSpacing/>
        <w:jc w:val="both"/>
        <w:rPr>
          <w:sz w:val="20"/>
          <w:szCs w:val="20"/>
        </w:rPr>
      </w:pPr>
      <w:r w:rsidRPr="00EE2F6F">
        <w:rPr>
          <w:sz w:val="20"/>
          <w:szCs w:val="20"/>
        </w:rPr>
        <w:t xml:space="preserve">System wraz z jego komponentami (w tym baza danych) zostanie dostarczony z niezbędnymi licencjami umożliwiającymi użytkowanie systemu przez Użytkownika w pełnym zakresie w odniesieniu do wszystkich dostarczonych stacji oraz z uwzględnieniem następujących parametrów: </w:t>
      </w:r>
    </w:p>
    <w:p w14:paraId="39F4E637" w14:textId="4DEFE385" w:rsidR="00401BD1" w:rsidRPr="00EE2F6F" w:rsidRDefault="00401BD1" w:rsidP="00EE2F6F">
      <w:pPr>
        <w:pStyle w:val="Default"/>
        <w:numPr>
          <w:ilvl w:val="0"/>
          <w:numId w:val="10"/>
        </w:numPr>
        <w:spacing w:line="276" w:lineRule="auto"/>
        <w:contextualSpacing/>
        <w:jc w:val="both"/>
        <w:rPr>
          <w:sz w:val="20"/>
          <w:szCs w:val="20"/>
        </w:rPr>
      </w:pPr>
      <w:r w:rsidRPr="00EE2F6F">
        <w:rPr>
          <w:sz w:val="20"/>
          <w:szCs w:val="20"/>
        </w:rPr>
        <w:t xml:space="preserve">minimum 10 kont operatorów systemu. </w:t>
      </w:r>
    </w:p>
    <w:p w14:paraId="32F73708" w14:textId="77777777" w:rsidR="00FD2B65" w:rsidRPr="00EE2F6F" w:rsidRDefault="00FD2B65" w:rsidP="00EE2F6F">
      <w:pPr>
        <w:pStyle w:val="Default"/>
        <w:spacing w:line="276" w:lineRule="auto"/>
        <w:contextualSpacing/>
        <w:jc w:val="both"/>
        <w:rPr>
          <w:sz w:val="20"/>
          <w:szCs w:val="20"/>
        </w:rPr>
      </w:pPr>
    </w:p>
    <w:p w14:paraId="45925AEF" w14:textId="77777777" w:rsidR="007A0F21" w:rsidRPr="00EE2F6F" w:rsidRDefault="007A0F21" w:rsidP="00EE2F6F">
      <w:pPr>
        <w:pStyle w:val="Default"/>
        <w:spacing w:line="276" w:lineRule="auto"/>
        <w:contextualSpacing/>
        <w:jc w:val="both"/>
        <w:rPr>
          <w:sz w:val="20"/>
          <w:szCs w:val="20"/>
        </w:rPr>
      </w:pPr>
    </w:p>
    <w:p w14:paraId="67032E32" w14:textId="69228FFB" w:rsidR="00C50908" w:rsidRPr="00EE2F6F" w:rsidRDefault="00C50908" w:rsidP="00EE2F6F">
      <w:pPr>
        <w:pStyle w:val="Default"/>
        <w:numPr>
          <w:ilvl w:val="1"/>
          <w:numId w:val="1"/>
        </w:numPr>
        <w:spacing w:line="276" w:lineRule="auto"/>
        <w:contextualSpacing/>
        <w:jc w:val="both"/>
        <w:rPr>
          <w:sz w:val="20"/>
          <w:szCs w:val="20"/>
        </w:rPr>
      </w:pPr>
      <w:r w:rsidRPr="00EE2F6F">
        <w:rPr>
          <w:sz w:val="20"/>
          <w:szCs w:val="20"/>
        </w:rPr>
        <w:t xml:space="preserve">Zamawiający wymaga od Wykonawcy dostarczenia systemu monitorowania </w:t>
      </w:r>
      <w:r w:rsidR="00FD2B65" w:rsidRPr="00EE2F6F">
        <w:rPr>
          <w:sz w:val="20"/>
          <w:szCs w:val="20"/>
        </w:rPr>
        <w:t>stacji ładowania</w:t>
      </w:r>
      <w:r w:rsidRPr="00EE2F6F">
        <w:rPr>
          <w:sz w:val="20"/>
          <w:szCs w:val="20"/>
        </w:rPr>
        <w:t>.</w:t>
      </w:r>
    </w:p>
    <w:p w14:paraId="243CF75E" w14:textId="77777777" w:rsidR="00C50908" w:rsidRPr="00EE2F6F" w:rsidRDefault="00C50908" w:rsidP="00EE2F6F">
      <w:pPr>
        <w:pStyle w:val="Akapitzlist"/>
        <w:spacing w:after="0" w:line="276" w:lineRule="auto"/>
        <w:jc w:val="both"/>
        <w:rPr>
          <w:rFonts w:ascii="Arial" w:hAnsi="Arial" w:cs="Arial"/>
          <w:sz w:val="20"/>
          <w:szCs w:val="20"/>
        </w:rPr>
      </w:pPr>
    </w:p>
    <w:p w14:paraId="787E66DC" w14:textId="23E65950" w:rsidR="00C50908" w:rsidRPr="00EE2F6F" w:rsidRDefault="00C50908" w:rsidP="00EE2F6F">
      <w:pPr>
        <w:pStyle w:val="Default"/>
        <w:spacing w:line="276" w:lineRule="auto"/>
        <w:ind w:left="1440"/>
        <w:contextualSpacing/>
        <w:jc w:val="both"/>
        <w:rPr>
          <w:sz w:val="20"/>
          <w:szCs w:val="20"/>
        </w:rPr>
      </w:pPr>
      <w:r w:rsidRPr="00EE2F6F">
        <w:rPr>
          <w:sz w:val="20"/>
          <w:szCs w:val="20"/>
        </w:rPr>
        <w:t>Wszystkie dane przetwarzane przez system i dane konfiguracyjne muszą być przechowywane w relacyjnej bazie danych. Zarządzanie punktami ładowania zgodnie z protokołem OCPP.</w:t>
      </w:r>
    </w:p>
    <w:p w14:paraId="46767206" w14:textId="4D5B3316" w:rsidR="00C50908" w:rsidRPr="00EE2F6F" w:rsidRDefault="00C50908" w:rsidP="00EE2F6F">
      <w:pPr>
        <w:pStyle w:val="Default"/>
        <w:spacing w:line="276" w:lineRule="auto"/>
        <w:ind w:left="1440"/>
        <w:contextualSpacing/>
        <w:jc w:val="both"/>
        <w:rPr>
          <w:sz w:val="20"/>
          <w:szCs w:val="20"/>
        </w:rPr>
      </w:pPr>
      <w:r w:rsidRPr="00EE2F6F">
        <w:rPr>
          <w:sz w:val="20"/>
          <w:szCs w:val="20"/>
        </w:rPr>
        <w:t>System musi umożliwiać monitorowanie danych</w:t>
      </w:r>
      <w:r w:rsidR="001F7BA2" w:rsidRPr="00EE2F6F">
        <w:rPr>
          <w:sz w:val="20"/>
          <w:szCs w:val="20"/>
        </w:rPr>
        <w:t xml:space="preserve"> z infrastruktury ładowania w tym:</w:t>
      </w:r>
    </w:p>
    <w:p w14:paraId="53F42A3E" w14:textId="4E620081" w:rsidR="00C50908" w:rsidRPr="00EE2F6F" w:rsidRDefault="00C50908" w:rsidP="00EE2F6F">
      <w:pPr>
        <w:pStyle w:val="Default"/>
        <w:spacing w:line="276" w:lineRule="auto"/>
        <w:contextualSpacing/>
        <w:jc w:val="both"/>
        <w:rPr>
          <w:sz w:val="20"/>
          <w:szCs w:val="20"/>
        </w:rPr>
      </w:pPr>
    </w:p>
    <w:p w14:paraId="179D0606" w14:textId="74B8334E" w:rsidR="00C50908" w:rsidRPr="00EE2F6F" w:rsidRDefault="001F7BA2" w:rsidP="00EE2F6F">
      <w:pPr>
        <w:pStyle w:val="Default"/>
        <w:numPr>
          <w:ilvl w:val="0"/>
          <w:numId w:val="22"/>
        </w:numPr>
        <w:spacing w:line="276" w:lineRule="auto"/>
        <w:contextualSpacing/>
        <w:jc w:val="both"/>
        <w:rPr>
          <w:sz w:val="20"/>
          <w:szCs w:val="20"/>
        </w:rPr>
      </w:pPr>
      <w:r w:rsidRPr="00EE2F6F">
        <w:rPr>
          <w:sz w:val="20"/>
          <w:szCs w:val="20"/>
        </w:rPr>
        <w:t>Szybki i prosty dostęp do podstawowych danych z każdego punktu ładowania,</w:t>
      </w:r>
    </w:p>
    <w:p w14:paraId="4B4CE8A4" w14:textId="5688ED19" w:rsidR="001F7BA2" w:rsidRPr="00EE2F6F" w:rsidRDefault="001F7BA2" w:rsidP="00EE2F6F">
      <w:pPr>
        <w:pStyle w:val="Default"/>
        <w:numPr>
          <w:ilvl w:val="0"/>
          <w:numId w:val="22"/>
        </w:numPr>
        <w:spacing w:line="276" w:lineRule="auto"/>
        <w:contextualSpacing/>
        <w:jc w:val="both"/>
        <w:rPr>
          <w:sz w:val="20"/>
          <w:szCs w:val="20"/>
        </w:rPr>
      </w:pPr>
      <w:r w:rsidRPr="00EE2F6F">
        <w:rPr>
          <w:sz w:val="20"/>
          <w:szCs w:val="20"/>
        </w:rPr>
        <w:t>Dane historyczne: statusy, ładowane pojazdu, pobrana energia, alerty,</w:t>
      </w:r>
    </w:p>
    <w:p w14:paraId="43760E92" w14:textId="59479A8B" w:rsidR="001F7BA2" w:rsidRPr="00EE2F6F" w:rsidRDefault="001F7BA2" w:rsidP="00EE2F6F">
      <w:pPr>
        <w:pStyle w:val="Default"/>
        <w:numPr>
          <w:ilvl w:val="0"/>
          <w:numId w:val="22"/>
        </w:numPr>
        <w:spacing w:line="276" w:lineRule="auto"/>
        <w:contextualSpacing/>
        <w:jc w:val="both"/>
        <w:rPr>
          <w:sz w:val="20"/>
          <w:szCs w:val="20"/>
        </w:rPr>
      </w:pPr>
      <w:r w:rsidRPr="00EE2F6F">
        <w:rPr>
          <w:sz w:val="20"/>
          <w:szCs w:val="20"/>
        </w:rPr>
        <w:t>Wizualizację procesu ładowania w tym: wykresy monitorowanych parametrów oraz podgląd ładowarek wraz z ich stanem na mapie,</w:t>
      </w:r>
    </w:p>
    <w:p w14:paraId="531C4904" w14:textId="422AE78E" w:rsidR="001F7BA2" w:rsidRPr="00EE2F6F" w:rsidRDefault="001F7BA2" w:rsidP="00EE2F6F">
      <w:pPr>
        <w:pStyle w:val="Default"/>
        <w:numPr>
          <w:ilvl w:val="0"/>
          <w:numId w:val="22"/>
        </w:numPr>
        <w:spacing w:line="276" w:lineRule="auto"/>
        <w:contextualSpacing/>
        <w:jc w:val="both"/>
        <w:rPr>
          <w:sz w:val="20"/>
          <w:szCs w:val="20"/>
        </w:rPr>
      </w:pPr>
      <w:r w:rsidRPr="00EE2F6F">
        <w:rPr>
          <w:sz w:val="20"/>
          <w:szCs w:val="20"/>
        </w:rPr>
        <w:t>Eksport danych do .xlsx, .csv, .txt i generator raportów,</w:t>
      </w:r>
    </w:p>
    <w:p w14:paraId="7F7890B7" w14:textId="32B533BE" w:rsidR="001F7BA2" w:rsidRPr="00EE2F6F" w:rsidRDefault="001F7BA2" w:rsidP="00EE2F6F">
      <w:pPr>
        <w:pStyle w:val="Default"/>
        <w:numPr>
          <w:ilvl w:val="0"/>
          <w:numId w:val="22"/>
        </w:numPr>
        <w:spacing w:line="276" w:lineRule="auto"/>
        <w:contextualSpacing/>
        <w:jc w:val="both"/>
        <w:rPr>
          <w:sz w:val="20"/>
          <w:szCs w:val="20"/>
        </w:rPr>
      </w:pPr>
      <w:r w:rsidRPr="00EE2F6F">
        <w:rPr>
          <w:sz w:val="20"/>
          <w:szCs w:val="20"/>
        </w:rPr>
        <w:t>Powiadomienia e-mail, SMS i powiadomienia w aplikacji,</w:t>
      </w:r>
    </w:p>
    <w:p w14:paraId="3EBBEB4B" w14:textId="4AE4D076" w:rsidR="001F7BA2" w:rsidRPr="00EE2F6F" w:rsidRDefault="001F7BA2" w:rsidP="00EE2F6F">
      <w:pPr>
        <w:pStyle w:val="Default"/>
        <w:numPr>
          <w:ilvl w:val="0"/>
          <w:numId w:val="22"/>
        </w:numPr>
        <w:spacing w:line="276" w:lineRule="auto"/>
        <w:contextualSpacing/>
        <w:jc w:val="both"/>
        <w:rPr>
          <w:sz w:val="20"/>
          <w:szCs w:val="20"/>
        </w:rPr>
      </w:pPr>
      <w:r w:rsidRPr="00EE2F6F">
        <w:rPr>
          <w:sz w:val="20"/>
          <w:szCs w:val="20"/>
        </w:rPr>
        <w:t>Zdalne sterowanie, diagnostyka i konfiguracja punktów ładowania,</w:t>
      </w:r>
    </w:p>
    <w:p w14:paraId="69C8FC5D" w14:textId="3436837D" w:rsidR="001F7BA2" w:rsidRPr="00EE2F6F" w:rsidRDefault="001F7BA2" w:rsidP="00EE2F6F">
      <w:pPr>
        <w:pStyle w:val="Default"/>
        <w:numPr>
          <w:ilvl w:val="0"/>
          <w:numId w:val="22"/>
        </w:numPr>
        <w:spacing w:line="276" w:lineRule="auto"/>
        <w:contextualSpacing/>
        <w:jc w:val="both"/>
        <w:rPr>
          <w:sz w:val="20"/>
          <w:szCs w:val="20"/>
        </w:rPr>
      </w:pPr>
      <w:r w:rsidRPr="00EE2F6F">
        <w:rPr>
          <w:sz w:val="20"/>
          <w:szCs w:val="20"/>
        </w:rPr>
        <w:t>Dostęp przez przeglądarkę internetową,</w:t>
      </w:r>
    </w:p>
    <w:p w14:paraId="1D3A8711" w14:textId="47B3B999" w:rsidR="001F7BA2" w:rsidRPr="00EE2F6F" w:rsidRDefault="001F7BA2" w:rsidP="00EE2F6F">
      <w:pPr>
        <w:pStyle w:val="Default"/>
        <w:numPr>
          <w:ilvl w:val="0"/>
          <w:numId w:val="22"/>
        </w:numPr>
        <w:spacing w:line="276" w:lineRule="auto"/>
        <w:contextualSpacing/>
        <w:jc w:val="both"/>
        <w:rPr>
          <w:sz w:val="20"/>
          <w:szCs w:val="20"/>
        </w:rPr>
      </w:pPr>
      <w:r w:rsidRPr="00EE2F6F">
        <w:rPr>
          <w:sz w:val="20"/>
          <w:szCs w:val="20"/>
        </w:rPr>
        <w:t>Zarządzanie uprawnieniami użytkowników.</w:t>
      </w:r>
    </w:p>
    <w:p w14:paraId="7623457B" w14:textId="77777777" w:rsidR="009306D6" w:rsidRPr="00EE2F6F" w:rsidRDefault="009306D6" w:rsidP="00EE2F6F">
      <w:pPr>
        <w:pStyle w:val="Default"/>
        <w:spacing w:line="276" w:lineRule="auto"/>
        <w:contextualSpacing/>
        <w:jc w:val="both"/>
        <w:rPr>
          <w:sz w:val="20"/>
          <w:szCs w:val="20"/>
          <w:highlight w:val="yellow"/>
        </w:rPr>
      </w:pPr>
    </w:p>
    <w:p w14:paraId="6EC6C69E" w14:textId="77777777" w:rsidR="00386BE6" w:rsidRPr="00EE2F6F" w:rsidRDefault="00386BE6" w:rsidP="00EE2F6F">
      <w:pPr>
        <w:pStyle w:val="Default"/>
        <w:spacing w:line="276" w:lineRule="auto"/>
        <w:contextualSpacing/>
        <w:jc w:val="center"/>
        <w:rPr>
          <w:b/>
          <w:bCs/>
          <w:sz w:val="20"/>
          <w:szCs w:val="20"/>
        </w:rPr>
      </w:pPr>
    </w:p>
    <w:p w14:paraId="3AC8D149" w14:textId="2C8B158E" w:rsidR="00796260" w:rsidRPr="00EE2F6F" w:rsidRDefault="00796260" w:rsidP="004E76CA">
      <w:pPr>
        <w:pStyle w:val="Default"/>
        <w:spacing w:line="276" w:lineRule="auto"/>
        <w:contextualSpacing/>
        <w:rPr>
          <w:b/>
          <w:bCs/>
          <w:sz w:val="20"/>
          <w:szCs w:val="20"/>
        </w:rPr>
      </w:pPr>
      <w:r w:rsidRPr="00EE2F6F">
        <w:rPr>
          <w:b/>
          <w:bCs/>
          <w:sz w:val="20"/>
          <w:szCs w:val="20"/>
        </w:rPr>
        <w:t>DOKUMENTACJA</w:t>
      </w:r>
    </w:p>
    <w:p w14:paraId="1900B078" w14:textId="77777777" w:rsidR="00BA001E" w:rsidRPr="00EE2F6F" w:rsidRDefault="00BA001E" w:rsidP="00EE2F6F">
      <w:pPr>
        <w:tabs>
          <w:tab w:val="left" w:pos="1134"/>
        </w:tabs>
        <w:spacing w:after="0" w:line="276" w:lineRule="auto"/>
        <w:contextualSpacing/>
        <w:jc w:val="both"/>
        <w:rPr>
          <w:rFonts w:ascii="Arial" w:hAnsi="Arial" w:cs="Arial"/>
          <w:sz w:val="20"/>
          <w:szCs w:val="20"/>
        </w:rPr>
      </w:pPr>
    </w:p>
    <w:p w14:paraId="23127C2A" w14:textId="77777777" w:rsidR="00BA001E" w:rsidRPr="00EE2F6F" w:rsidRDefault="00BA001E" w:rsidP="00EE2F6F">
      <w:pPr>
        <w:pStyle w:val="Akapitzlist"/>
        <w:numPr>
          <w:ilvl w:val="1"/>
          <w:numId w:val="1"/>
        </w:numPr>
        <w:tabs>
          <w:tab w:val="left" w:pos="1134"/>
        </w:tabs>
        <w:spacing w:after="0" w:line="276" w:lineRule="auto"/>
        <w:jc w:val="both"/>
        <w:rPr>
          <w:rFonts w:ascii="Arial" w:hAnsi="Arial" w:cs="Arial"/>
          <w:sz w:val="20"/>
          <w:szCs w:val="20"/>
        </w:rPr>
      </w:pPr>
      <w:r w:rsidRPr="00EE2F6F">
        <w:rPr>
          <w:rFonts w:ascii="Arial" w:hAnsi="Arial" w:cs="Arial"/>
          <w:sz w:val="20"/>
          <w:szCs w:val="20"/>
        </w:rPr>
        <w:t xml:space="preserve">Wykonawca zobowiązany jest do dostarczenia dokumentacji powykonawczej i eksploatacyjnej obejmującej m.in.: </w:t>
      </w:r>
    </w:p>
    <w:p w14:paraId="51022F94" w14:textId="77777777" w:rsidR="00BA001E" w:rsidRPr="00EE2F6F" w:rsidRDefault="00BA001E" w:rsidP="00EE2F6F">
      <w:pPr>
        <w:pStyle w:val="Akapitzlist"/>
        <w:tabs>
          <w:tab w:val="left" w:pos="1134"/>
        </w:tabs>
        <w:spacing w:after="0" w:line="276" w:lineRule="auto"/>
        <w:ind w:left="1440"/>
        <w:jc w:val="both"/>
        <w:rPr>
          <w:rFonts w:ascii="Arial" w:hAnsi="Arial" w:cs="Arial"/>
          <w:sz w:val="20"/>
          <w:szCs w:val="20"/>
        </w:rPr>
      </w:pPr>
    </w:p>
    <w:p w14:paraId="77428F69" w14:textId="77777777" w:rsidR="00BA001E" w:rsidRPr="00EE2F6F" w:rsidRDefault="00BA001E" w:rsidP="00EE2F6F">
      <w:pPr>
        <w:pStyle w:val="Akapitzlist"/>
        <w:tabs>
          <w:tab w:val="left" w:pos="1134"/>
        </w:tabs>
        <w:spacing w:after="0" w:line="276" w:lineRule="auto"/>
        <w:ind w:left="1440"/>
        <w:jc w:val="both"/>
        <w:rPr>
          <w:rFonts w:ascii="Arial" w:hAnsi="Arial" w:cs="Arial"/>
          <w:sz w:val="20"/>
          <w:szCs w:val="20"/>
        </w:rPr>
      </w:pPr>
      <w:r w:rsidRPr="00EE2F6F">
        <w:rPr>
          <w:rFonts w:ascii="Arial" w:hAnsi="Arial" w:cs="Arial"/>
          <w:sz w:val="20"/>
          <w:szCs w:val="20"/>
        </w:rPr>
        <w:t xml:space="preserve">a) dokumentację fabryczną (dtr), </w:t>
      </w:r>
    </w:p>
    <w:p w14:paraId="31A66B4D" w14:textId="77777777" w:rsidR="00BA001E" w:rsidRPr="00EE2F6F" w:rsidRDefault="00BA001E" w:rsidP="00EE2F6F">
      <w:pPr>
        <w:pStyle w:val="Akapitzlist"/>
        <w:tabs>
          <w:tab w:val="left" w:pos="1134"/>
        </w:tabs>
        <w:spacing w:after="0" w:line="276" w:lineRule="auto"/>
        <w:ind w:left="1440"/>
        <w:jc w:val="both"/>
        <w:rPr>
          <w:rFonts w:ascii="Arial" w:hAnsi="Arial" w:cs="Arial"/>
          <w:sz w:val="20"/>
          <w:szCs w:val="20"/>
        </w:rPr>
      </w:pPr>
      <w:r w:rsidRPr="00EE2F6F">
        <w:rPr>
          <w:rFonts w:ascii="Arial" w:hAnsi="Arial" w:cs="Arial"/>
          <w:sz w:val="20"/>
          <w:szCs w:val="20"/>
        </w:rPr>
        <w:t xml:space="preserve">b) certyfikaty dla urządzeń, które są objęte certyfikowaniem, </w:t>
      </w:r>
    </w:p>
    <w:p w14:paraId="3FC1D2F8" w14:textId="77777777" w:rsidR="00BA001E" w:rsidRPr="00EE2F6F" w:rsidRDefault="00BA001E" w:rsidP="00EE2F6F">
      <w:pPr>
        <w:pStyle w:val="Akapitzlist"/>
        <w:tabs>
          <w:tab w:val="left" w:pos="1134"/>
        </w:tabs>
        <w:spacing w:after="0" w:line="276" w:lineRule="auto"/>
        <w:ind w:left="1440"/>
        <w:jc w:val="both"/>
        <w:rPr>
          <w:rFonts w:ascii="Arial" w:hAnsi="Arial" w:cs="Arial"/>
          <w:sz w:val="20"/>
          <w:szCs w:val="20"/>
        </w:rPr>
      </w:pPr>
      <w:r w:rsidRPr="00EE2F6F">
        <w:rPr>
          <w:rFonts w:ascii="Arial" w:hAnsi="Arial" w:cs="Arial"/>
          <w:sz w:val="20"/>
          <w:szCs w:val="20"/>
        </w:rPr>
        <w:t xml:space="preserve">c) atesty, deklaracje producentów lub inne dokumenty dopuszczające wyroby do stosowania, </w:t>
      </w:r>
    </w:p>
    <w:p w14:paraId="3AD2605B" w14:textId="77777777" w:rsidR="00BA001E" w:rsidRPr="00EE2F6F" w:rsidRDefault="00BA001E" w:rsidP="00EE2F6F">
      <w:pPr>
        <w:pStyle w:val="Akapitzlist"/>
        <w:tabs>
          <w:tab w:val="left" w:pos="1134"/>
        </w:tabs>
        <w:spacing w:after="0" w:line="276" w:lineRule="auto"/>
        <w:ind w:left="1440"/>
        <w:jc w:val="both"/>
        <w:rPr>
          <w:rFonts w:ascii="Arial" w:hAnsi="Arial" w:cs="Arial"/>
          <w:sz w:val="20"/>
          <w:szCs w:val="20"/>
        </w:rPr>
      </w:pPr>
      <w:r w:rsidRPr="00EE2F6F">
        <w:rPr>
          <w:rFonts w:ascii="Arial" w:hAnsi="Arial" w:cs="Arial"/>
          <w:sz w:val="20"/>
          <w:szCs w:val="20"/>
        </w:rPr>
        <w:t xml:space="preserve">d) protokoły odbiorów częściowych i końcowych, </w:t>
      </w:r>
    </w:p>
    <w:p w14:paraId="7FFC2F7A" w14:textId="77777777" w:rsidR="00BA001E" w:rsidRPr="00EE2F6F" w:rsidRDefault="00BA001E" w:rsidP="00EE2F6F">
      <w:pPr>
        <w:pStyle w:val="Akapitzlist"/>
        <w:tabs>
          <w:tab w:val="left" w:pos="1134"/>
        </w:tabs>
        <w:spacing w:after="0" w:line="276" w:lineRule="auto"/>
        <w:ind w:left="1440"/>
        <w:jc w:val="both"/>
        <w:rPr>
          <w:rFonts w:ascii="Arial" w:hAnsi="Arial" w:cs="Arial"/>
          <w:sz w:val="20"/>
          <w:szCs w:val="20"/>
        </w:rPr>
      </w:pPr>
      <w:r w:rsidRPr="00EE2F6F">
        <w:rPr>
          <w:rFonts w:ascii="Arial" w:hAnsi="Arial" w:cs="Arial"/>
          <w:sz w:val="20"/>
          <w:szCs w:val="20"/>
        </w:rPr>
        <w:t xml:space="preserve">e) protokoły z przeprowadzonych badań po montażowych, </w:t>
      </w:r>
    </w:p>
    <w:p w14:paraId="55B42314" w14:textId="77777777" w:rsidR="00BA001E" w:rsidRPr="00EE2F6F" w:rsidRDefault="00BA001E" w:rsidP="00EE2F6F">
      <w:pPr>
        <w:pStyle w:val="Akapitzlist"/>
        <w:tabs>
          <w:tab w:val="left" w:pos="1134"/>
        </w:tabs>
        <w:spacing w:after="0" w:line="276" w:lineRule="auto"/>
        <w:ind w:left="1440"/>
        <w:jc w:val="both"/>
        <w:rPr>
          <w:rFonts w:ascii="Arial" w:hAnsi="Arial" w:cs="Arial"/>
          <w:sz w:val="20"/>
          <w:szCs w:val="20"/>
        </w:rPr>
      </w:pPr>
      <w:r w:rsidRPr="00EE2F6F">
        <w:rPr>
          <w:rFonts w:ascii="Arial" w:hAnsi="Arial" w:cs="Arial"/>
          <w:sz w:val="20"/>
          <w:szCs w:val="20"/>
        </w:rPr>
        <w:lastRenderedPageBreak/>
        <w:t xml:space="preserve">f) instrukcje eksploatacyjne, </w:t>
      </w:r>
    </w:p>
    <w:p w14:paraId="32EFA3B6" w14:textId="77777777" w:rsidR="00BA001E" w:rsidRPr="00EE2F6F" w:rsidRDefault="00BA001E" w:rsidP="00EE2F6F">
      <w:pPr>
        <w:pStyle w:val="Akapitzlist"/>
        <w:tabs>
          <w:tab w:val="left" w:pos="1134"/>
        </w:tabs>
        <w:spacing w:after="0" w:line="276" w:lineRule="auto"/>
        <w:ind w:left="1440"/>
        <w:jc w:val="both"/>
        <w:rPr>
          <w:rFonts w:ascii="Arial" w:hAnsi="Arial" w:cs="Arial"/>
          <w:sz w:val="20"/>
          <w:szCs w:val="20"/>
        </w:rPr>
      </w:pPr>
      <w:r w:rsidRPr="00EE2F6F">
        <w:rPr>
          <w:rFonts w:ascii="Arial" w:hAnsi="Arial" w:cs="Arial"/>
          <w:sz w:val="20"/>
          <w:szCs w:val="20"/>
        </w:rPr>
        <w:t xml:space="preserve">g) instrukcje obsługi, </w:t>
      </w:r>
    </w:p>
    <w:p w14:paraId="65509CCA" w14:textId="77777777" w:rsidR="00796260" w:rsidRPr="00EE2F6F" w:rsidRDefault="00BA001E" w:rsidP="00EE2F6F">
      <w:pPr>
        <w:pStyle w:val="Akapitzlist"/>
        <w:tabs>
          <w:tab w:val="left" w:pos="1134"/>
        </w:tabs>
        <w:spacing w:after="0" w:line="276" w:lineRule="auto"/>
        <w:ind w:left="1440"/>
        <w:jc w:val="both"/>
        <w:rPr>
          <w:rFonts w:ascii="Arial" w:hAnsi="Arial" w:cs="Arial"/>
          <w:sz w:val="20"/>
          <w:szCs w:val="20"/>
        </w:rPr>
      </w:pPr>
      <w:r w:rsidRPr="00EE2F6F">
        <w:rPr>
          <w:rFonts w:ascii="Arial" w:hAnsi="Arial" w:cs="Arial"/>
          <w:sz w:val="20"/>
          <w:szCs w:val="20"/>
        </w:rPr>
        <w:t xml:space="preserve">h) zatwierdzone instrukcje eksploatacyjno-ruchowe, </w:t>
      </w:r>
    </w:p>
    <w:p w14:paraId="6FCC357D" w14:textId="3773DB27" w:rsidR="00BA001E" w:rsidRPr="00EE2F6F" w:rsidRDefault="00BA001E" w:rsidP="00EE2F6F">
      <w:pPr>
        <w:pStyle w:val="Akapitzlist"/>
        <w:tabs>
          <w:tab w:val="left" w:pos="1134"/>
        </w:tabs>
        <w:spacing w:after="0" w:line="276" w:lineRule="auto"/>
        <w:ind w:left="1440"/>
        <w:jc w:val="both"/>
        <w:rPr>
          <w:rFonts w:ascii="Arial" w:hAnsi="Arial" w:cs="Arial"/>
          <w:sz w:val="20"/>
          <w:szCs w:val="20"/>
        </w:rPr>
      </w:pPr>
      <w:r w:rsidRPr="00EE2F6F">
        <w:rPr>
          <w:rFonts w:ascii="Arial" w:hAnsi="Arial" w:cs="Arial"/>
          <w:sz w:val="20"/>
          <w:szCs w:val="20"/>
        </w:rPr>
        <w:t xml:space="preserve">i) protokoły wykonania badania technicznego przez Urząd Dozoru Technicznego z wynikiem pozytywnym. </w:t>
      </w:r>
    </w:p>
    <w:p w14:paraId="402BED0F" w14:textId="77777777" w:rsidR="00BA001E" w:rsidRPr="00EE2F6F" w:rsidRDefault="00BA001E" w:rsidP="00EE2F6F">
      <w:pPr>
        <w:pStyle w:val="Akapitzlist"/>
        <w:tabs>
          <w:tab w:val="left" w:pos="1134"/>
        </w:tabs>
        <w:spacing w:after="0" w:line="276" w:lineRule="auto"/>
        <w:ind w:left="1440"/>
        <w:jc w:val="both"/>
        <w:rPr>
          <w:rFonts w:ascii="Arial" w:hAnsi="Arial" w:cs="Arial"/>
          <w:sz w:val="20"/>
          <w:szCs w:val="20"/>
        </w:rPr>
      </w:pPr>
    </w:p>
    <w:p w14:paraId="72D6EAF0" w14:textId="3F0F2852" w:rsidR="00386BE6" w:rsidRPr="004E76CA" w:rsidRDefault="00386BE6" w:rsidP="004E76CA">
      <w:pPr>
        <w:tabs>
          <w:tab w:val="left" w:pos="1134"/>
        </w:tabs>
        <w:spacing w:after="0" w:line="276" w:lineRule="auto"/>
        <w:rPr>
          <w:rFonts w:ascii="Arial" w:hAnsi="Arial" w:cs="Arial"/>
          <w:sz w:val="20"/>
          <w:szCs w:val="20"/>
        </w:rPr>
      </w:pPr>
      <w:r w:rsidRPr="004E76CA">
        <w:rPr>
          <w:rFonts w:ascii="Arial" w:hAnsi="Arial" w:cs="Arial"/>
          <w:b/>
          <w:bCs/>
          <w:sz w:val="20"/>
          <w:szCs w:val="20"/>
        </w:rPr>
        <w:t>SZKOLENIA</w:t>
      </w:r>
    </w:p>
    <w:bookmarkEnd w:id="0"/>
    <w:p w14:paraId="625F5FB1" w14:textId="77777777" w:rsidR="003745F9" w:rsidRPr="00EE2F6F" w:rsidRDefault="003745F9" w:rsidP="00EE2F6F">
      <w:pPr>
        <w:pStyle w:val="Akapitzlist"/>
        <w:spacing w:after="0" w:line="276" w:lineRule="auto"/>
        <w:ind w:left="1430"/>
        <w:jc w:val="center"/>
        <w:rPr>
          <w:rFonts w:ascii="Arial" w:hAnsi="Arial" w:cs="Arial"/>
          <w:sz w:val="20"/>
          <w:szCs w:val="20"/>
        </w:rPr>
      </w:pPr>
    </w:p>
    <w:p w14:paraId="2678A003" w14:textId="5EE5358F" w:rsidR="001771F0" w:rsidRPr="00EE2F6F" w:rsidRDefault="003745F9" w:rsidP="000D00DA">
      <w:pPr>
        <w:pStyle w:val="Akapitzlist"/>
        <w:numPr>
          <w:ilvl w:val="1"/>
          <w:numId w:val="1"/>
        </w:numPr>
        <w:spacing w:after="0" w:line="276" w:lineRule="auto"/>
        <w:jc w:val="both"/>
        <w:rPr>
          <w:rFonts w:ascii="Arial" w:eastAsia="Times New Roman" w:hAnsi="Arial" w:cs="Arial"/>
          <w:sz w:val="20"/>
          <w:szCs w:val="20"/>
        </w:rPr>
      </w:pPr>
      <w:r w:rsidRPr="00EE2F6F">
        <w:rPr>
          <w:rFonts w:ascii="Arial" w:eastAsia="Times New Roman" w:hAnsi="Arial" w:cs="Arial"/>
          <w:sz w:val="20"/>
          <w:szCs w:val="20"/>
        </w:rPr>
        <w:t>Wymagania w stosunku do szkoleń z infrastruktury ładowania:</w:t>
      </w:r>
    </w:p>
    <w:p w14:paraId="1AFE2D85" w14:textId="77777777" w:rsidR="001771F0" w:rsidRPr="00EE2F6F" w:rsidRDefault="001771F0" w:rsidP="00EE2F6F">
      <w:pPr>
        <w:pStyle w:val="Default"/>
        <w:spacing w:line="276" w:lineRule="auto"/>
        <w:contextualSpacing/>
        <w:jc w:val="both"/>
        <w:rPr>
          <w:color w:val="auto"/>
          <w:sz w:val="20"/>
          <w:szCs w:val="20"/>
        </w:rPr>
      </w:pPr>
    </w:p>
    <w:p w14:paraId="242515B2" w14:textId="0C92922F" w:rsidR="001771F0" w:rsidRPr="00EE2F6F" w:rsidRDefault="001771F0" w:rsidP="00EE2F6F">
      <w:pPr>
        <w:pStyle w:val="Default"/>
        <w:spacing w:line="276" w:lineRule="auto"/>
        <w:ind w:left="708"/>
        <w:contextualSpacing/>
        <w:jc w:val="both"/>
        <w:rPr>
          <w:sz w:val="20"/>
          <w:szCs w:val="20"/>
        </w:rPr>
      </w:pPr>
      <w:r w:rsidRPr="00EE2F6F">
        <w:rPr>
          <w:sz w:val="20"/>
          <w:szCs w:val="20"/>
        </w:rPr>
        <w:t xml:space="preserve">Wykonawca w ramach dostawy i uruchomienia systemu ładowania oraz systemu monitoringu </w:t>
      </w:r>
      <w:r w:rsidR="00FD2B65" w:rsidRPr="00EE2F6F">
        <w:rPr>
          <w:sz w:val="20"/>
          <w:szCs w:val="20"/>
        </w:rPr>
        <w:t xml:space="preserve">infrastruktury ładowania </w:t>
      </w:r>
      <w:r w:rsidRPr="00EE2F6F">
        <w:rPr>
          <w:sz w:val="20"/>
          <w:szCs w:val="20"/>
        </w:rPr>
        <w:t>/ nadzoru nad stacjami ładowania przeprowadzi instruktaż</w:t>
      </w:r>
      <w:r w:rsidR="00F04E3E" w:rsidRPr="00EE2F6F">
        <w:rPr>
          <w:sz w:val="20"/>
          <w:szCs w:val="20"/>
        </w:rPr>
        <w:t>.</w:t>
      </w:r>
      <w:r w:rsidR="009B2758" w:rsidRPr="00EE2F6F">
        <w:rPr>
          <w:sz w:val="20"/>
          <w:szCs w:val="20"/>
        </w:rPr>
        <w:t xml:space="preserve"> </w:t>
      </w:r>
      <w:r w:rsidR="009B2758" w:rsidRPr="00EE2F6F">
        <w:rPr>
          <w:sz w:val="20"/>
          <w:szCs w:val="20"/>
        </w:rPr>
        <w:tab/>
        <w:t>Wykonawca ponosi koszty przeprowadzenia szkolenia łącznie z materiałami szkoleniowymi.</w:t>
      </w:r>
    </w:p>
    <w:p w14:paraId="3DBE00FE" w14:textId="77777777" w:rsidR="001771F0" w:rsidRPr="00EE2F6F" w:rsidRDefault="001771F0" w:rsidP="00EE2F6F">
      <w:pPr>
        <w:pStyle w:val="Default"/>
        <w:spacing w:line="276" w:lineRule="auto"/>
        <w:ind w:left="708"/>
        <w:contextualSpacing/>
        <w:jc w:val="both"/>
        <w:rPr>
          <w:sz w:val="20"/>
          <w:szCs w:val="20"/>
        </w:rPr>
      </w:pPr>
    </w:p>
    <w:p w14:paraId="3D38D402" w14:textId="55BF637B" w:rsidR="001771F0" w:rsidRPr="00EE2F6F" w:rsidRDefault="001771F0" w:rsidP="00EE2F6F">
      <w:pPr>
        <w:pStyle w:val="Default"/>
        <w:spacing w:line="276" w:lineRule="auto"/>
        <w:ind w:left="708"/>
        <w:contextualSpacing/>
        <w:jc w:val="both"/>
        <w:rPr>
          <w:sz w:val="20"/>
          <w:szCs w:val="20"/>
        </w:rPr>
      </w:pPr>
      <w:r w:rsidRPr="00EE2F6F">
        <w:rPr>
          <w:sz w:val="20"/>
          <w:szCs w:val="20"/>
        </w:rPr>
        <w:t xml:space="preserve">Zamawiający wymaga, aby instruktaż odbył się w grupach tematycznych: </w:t>
      </w:r>
    </w:p>
    <w:p w14:paraId="482A325C" w14:textId="77777777" w:rsidR="001771F0" w:rsidRPr="00EE2F6F" w:rsidRDefault="001771F0" w:rsidP="00EE2F6F">
      <w:pPr>
        <w:pStyle w:val="Default"/>
        <w:spacing w:line="276" w:lineRule="auto"/>
        <w:contextualSpacing/>
        <w:jc w:val="both"/>
        <w:rPr>
          <w:sz w:val="20"/>
          <w:szCs w:val="20"/>
        </w:rPr>
      </w:pPr>
    </w:p>
    <w:p w14:paraId="407260CB" w14:textId="69C3BF20" w:rsidR="005E47D7" w:rsidRPr="00EE2F6F" w:rsidRDefault="001771F0" w:rsidP="00EE2F6F">
      <w:pPr>
        <w:pStyle w:val="Default"/>
        <w:numPr>
          <w:ilvl w:val="0"/>
          <w:numId w:val="21"/>
        </w:numPr>
        <w:spacing w:line="276" w:lineRule="auto"/>
        <w:contextualSpacing/>
        <w:jc w:val="both"/>
        <w:rPr>
          <w:sz w:val="20"/>
          <w:szCs w:val="20"/>
        </w:rPr>
      </w:pPr>
      <w:r w:rsidRPr="00EE2F6F">
        <w:rPr>
          <w:sz w:val="20"/>
          <w:szCs w:val="20"/>
        </w:rPr>
        <w:t>instruktaż serwisu z zakresu obsługi oraz diagnostyki sy</w:t>
      </w:r>
      <w:r w:rsidR="009B2758" w:rsidRPr="00EE2F6F">
        <w:rPr>
          <w:sz w:val="20"/>
          <w:szCs w:val="20"/>
        </w:rPr>
        <w:t>s</w:t>
      </w:r>
      <w:r w:rsidRPr="00EE2F6F">
        <w:rPr>
          <w:sz w:val="20"/>
          <w:szCs w:val="20"/>
        </w:rPr>
        <w:t>temu – maksymalnie 4 osoby</w:t>
      </w:r>
      <w:r w:rsidR="00A717C5" w:rsidRPr="00EE2F6F">
        <w:rPr>
          <w:sz w:val="20"/>
          <w:szCs w:val="20"/>
        </w:rPr>
        <w:t xml:space="preserve"> – w wybranej lokalizacji oraz w siedzibie Zamawiającego</w:t>
      </w:r>
      <w:r w:rsidRPr="00EE2F6F">
        <w:rPr>
          <w:sz w:val="20"/>
          <w:szCs w:val="20"/>
        </w:rPr>
        <w:t>,</w:t>
      </w:r>
    </w:p>
    <w:p w14:paraId="04270A5B" w14:textId="7B5C04FB" w:rsidR="001771F0" w:rsidRPr="00EE2F6F" w:rsidRDefault="001771F0" w:rsidP="00EE2F6F">
      <w:pPr>
        <w:pStyle w:val="Default"/>
        <w:numPr>
          <w:ilvl w:val="0"/>
          <w:numId w:val="21"/>
        </w:numPr>
        <w:spacing w:line="276" w:lineRule="auto"/>
        <w:contextualSpacing/>
        <w:jc w:val="both"/>
        <w:rPr>
          <w:sz w:val="20"/>
          <w:szCs w:val="20"/>
        </w:rPr>
      </w:pPr>
      <w:r w:rsidRPr="00EE2F6F">
        <w:rPr>
          <w:sz w:val="20"/>
          <w:szCs w:val="20"/>
        </w:rPr>
        <w:t>instruktaż użytkowy z zakresu bieżącej eksploatacji systemu ładowania mający na celu przygotowanie pracowników do obsługi systemu ładowania w szczególności systemu monitoringu/ nadzoru nad stacjami ładowania – maksymalnie 10 osób</w:t>
      </w:r>
      <w:r w:rsidR="00A717C5" w:rsidRPr="00EE2F6F">
        <w:rPr>
          <w:sz w:val="20"/>
          <w:szCs w:val="20"/>
        </w:rPr>
        <w:t xml:space="preserve"> – w siedzibie Zamawiającego,</w:t>
      </w:r>
    </w:p>
    <w:p w14:paraId="68C4ED85" w14:textId="71245EBA" w:rsidR="001771F0" w:rsidRPr="00EE2F6F" w:rsidRDefault="001771F0" w:rsidP="00EE2F6F">
      <w:pPr>
        <w:pStyle w:val="Default"/>
        <w:numPr>
          <w:ilvl w:val="0"/>
          <w:numId w:val="20"/>
        </w:numPr>
        <w:spacing w:line="276" w:lineRule="auto"/>
        <w:contextualSpacing/>
        <w:jc w:val="both"/>
        <w:rPr>
          <w:sz w:val="20"/>
          <w:szCs w:val="20"/>
        </w:rPr>
      </w:pPr>
      <w:r w:rsidRPr="00EE2F6F">
        <w:rPr>
          <w:sz w:val="20"/>
          <w:szCs w:val="20"/>
        </w:rPr>
        <w:t>instruktaż dla administratorów systemu monitoringu/ nadzoru nad stacjami ładowania – maksymalnie 3 osoby</w:t>
      </w:r>
      <w:r w:rsidR="00A717C5" w:rsidRPr="00EE2F6F">
        <w:rPr>
          <w:sz w:val="20"/>
          <w:szCs w:val="20"/>
        </w:rPr>
        <w:t xml:space="preserve"> – w siedzibie Zamawiającego,</w:t>
      </w:r>
    </w:p>
    <w:p w14:paraId="6F8594F4" w14:textId="10D795C6" w:rsidR="00645697" w:rsidRPr="00EE2F6F" w:rsidRDefault="00B32C62" w:rsidP="00EE2F6F">
      <w:pPr>
        <w:pStyle w:val="Default"/>
        <w:numPr>
          <w:ilvl w:val="0"/>
          <w:numId w:val="20"/>
        </w:numPr>
        <w:spacing w:line="276" w:lineRule="auto"/>
        <w:contextualSpacing/>
        <w:jc w:val="both"/>
        <w:rPr>
          <w:sz w:val="20"/>
          <w:szCs w:val="20"/>
        </w:rPr>
      </w:pPr>
      <w:r w:rsidRPr="00EE2F6F">
        <w:rPr>
          <w:sz w:val="20"/>
          <w:szCs w:val="20"/>
        </w:rPr>
        <w:t>i</w:t>
      </w:r>
      <w:r w:rsidR="00645697" w:rsidRPr="00EE2F6F">
        <w:rPr>
          <w:sz w:val="20"/>
          <w:szCs w:val="20"/>
        </w:rPr>
        <w:t xml:space="preserve">nstruktaż </w:t>
      </w:r>
      <w:r w:rsidR="00AB7141" w:rsidRPr="00EE2F6F">
        <w:rPr>
          <w:sz w:val="20"/>
          <w:szCs w:val="20"/>
        </w:rPr>
        <w:t xml:space="preserve">dla </w:t>
      </w:r>
      <w:r w:rsidR="00A10C03" w:rsidRPr="00EE2F6F">
        <w:rPr>
          <w:sz w:val="20"/>
          <w:szCs w:val="20"/>
        </w:rPr>
        <w:t xml:space="preserve">kierowców autobusów z zakresu </w:t>
      </w:r>
      <w:r w:rsidR="003165C4" w:rsidRPr="00EE2F6F">
        <w:rPr>
          <w:sz w:val="20"/>
          <w:szCs w:val="20"/>
        </w:rPr>
        <w:t xml:space="preserve">realizacji procesu ładowania pojazdów </w:t>
      </w:r>
      <w:r w:rsidR="00930B28" w:rsidRPr="00EE2F6F">
        <w:rPr>
          <w:sz w:val="20"/>
          <w:szCs w:val="20"/>
        </w:rPr>
        <w:t xml:space="preserve">– do </w:t>
      </w:r>
      <w:r w:rsidR="002F7F9E" w:rsidRPr="00EE2F6F">
        <w:rPr>
          <w:sz w:val="20"/>
          <w:szCs w:val="20"/>
        </w:rPr>
        <w:t xml:space="preserve">40 osób sumarycznie we wszystkich </w:t>
      </w:r>
      <w:r w:rsidR="00B11078" w:rsidRPr="00EE2F6F">
        <w:rPr>
          <w:sz w:val="20"/>
          <w:szCs w:val="20"/>
        </w:rPr>
        <w:t>wskazanych lokalizacjach</w:t>
      </w:r>
      <w:r w:rsidR="00A717C5" w:rsidRPr="00EE2F6F">
        <w:rPr>
          <w:sz w:val="20"/>
          <w:szCs w:val="20"/>
        </w:rPr>
        <w:t xml:space="preserve"> – w każdej z trzech wskazanych lokalizacji,</w:t>
      </w:r>
    </w:p>
    <w:p w14:paraId="4CC10783" w14:textId="4DCA6265" w:rsidR="001771F0" w:rsidRPr="00EE2F6F" w:rsidRDefault="006C3A2D" w:rsidP="000D00DA">
      <w:pPr>
        <w:pStyle w:val="Default"/>
        <w:numPr>
          <w:ilvl w:val="0"/>
          <w:numId w:val="20"/>
        </w:numPr>
        <w:spacing w:line="276" w:lineRule="auto"/>
        <w:contextualSpacing/>
        <w:jc w:val="both"/>
        <w:rPr>
          <w:sz w:val="20"/>
          <w:szCs w:val="20"/>
        </w:rPr>
      </w:pPr>
      <w:r w:rsidRPr="00EE2F6F">
        <w:rPr>
          <w:rFonts w:eastAsia="Times New Roman"/>
          <w:sz w:val="20"/>
          <w:szCs w:val="20"/>
        </w:rPr>
        <w:t>Szkolenia odbywać się będą wyłącznie w języku polskim</w:t>
      </w:r>
      <w:r w:rsidR="00386BE6" w:rsidRPr="00EE2F6F">
        <w:rPr>
          <w:sz w:val="20"/>
          <w:szCs w:val="20"/>
        </w:rPr>
        <w:t>.</w:t>
      </w:r>
    </w:p>
    <w:p w14:paraId="69704F96" w14:textId="77777777" w:rsidR="00386BE6" w:rsidRPr="00EE2F6F" w:rsidRDefault="00386BE6" w:rsidP="00EE2F6F">
      <w:pPr>
        <w:pStyle w:val="Default"/>
        <w:spacing w:line="276" w:lineRule="auto"/>
        <w:ind w:left="720"/>
        <w:contextualSpacing/>
        <w:jc w:val="both"/>
        <w:rPr>
          <w:sz w:val="20"/>
          <w:szCs w:val="20"/>
        </w:rPr>
      </w:pPr>
    </w:p>
    <w:p w14:paraId="244A1079" w14:textId="0F282A62" w:rsidR="001771F0" w:rsidRPr="00EE2F6F" w:rsidRDefault="001771F0" w:rsidP="00EE2F6F">
      <w:pPr>
        <w:pStyle w:val="Default"/>
        <w:spacing w:line="276" w:lineRule="auto"/>
        <w:contextualSpacing/>
        <w:jc w:val="both"/>
        <w:rPr>
          <w:sz w:val="20"/>
          <w:szCs w:val="20"/>
        </w:rPr>
      </w:pPr>
      <w:r w:rsidRPr="00EE2F6F">
        <w:rPr>
          <w:sz w:val="20"/>
          <w:szCs w:val="20"/>
        </w:rPr>
        <w:t xml:space="preserve">Po zakończeniu instruktażu personel Użytkownika będzie w stanie przeprowadzić diagnostykę działania systemu i określić zakres czynności niezbędnych do przeprowadzenia napraw, a także wprowadzania zmian i korekt. </w:t>
      </w:r>
      <w:r w:rsidR="00017048" w:rsidRPr="00017048">
        <w:rPr>
          <w:sz w:val="20"/>
          <w:szCs w:val="20"/>
        </w:rPr>
        <w:t>Zamawiający przekaże Wykonawcy imienny wykaz uczestników każdego szkolenia najpóźniej 2 dni przed planowanym terminem danego szkolenia. Wykonawca zobowiązany jest wystawić każdemu uczestnikowi szkolenia po pozytywnym jego ukończeniu zaświadczenie potwierdzające ukończenie szkolenia.</w:t>
      </w:r>
    </w:p>
    <w:p w14:paraId="0629516E" w14:textId="77777777" w:rsidR="001771F0" w:rsidRPr="000D00DA" w:rsidRDefault="001771F0" w:rsidP="00EE2F6F">
      <w:pPr>
        <w:spacing w:after="0" w:line="276" w:lineRule="auto"/>
        <w:ind w:left="1416"/>
        <w:contextualSpacing/>
        <w:jc w:val="both"/>
        <w:rPr>
          <w:rFonts w:ascii="Arial" w:eastAsia="Times New Roman" w:hAnsi="Arial" w:cs="Arial"/>
          <w:sz w:val="20"/>
          <w:szCs w:val="20"/>
        </w:rPr>
      </w:pPr>
    </w:p>
    <w:p w14:paraId="58AC4C9F" w14:textId="588BCD2C" w:rsidR="003745F9" w:rsidRPr="00EE2F6F" w:rsidRDefault="003745F9" w:rsidP="00EE2F6F">
      <w:pPr>
        <w:pStyle w:val="Akapitzlist"/>
        <w:spacing w:after="0" w:line="276" w:lineRule="auto"/>
        <w:ind w:left="1430"/>
        <w:jc w:val="both"/>
        <w:rPr>
          <w:rFonts w:ascii="Arial" w:hAnsi="Arial" w:cs="Arial"/>
          <w:sz w:val="20"/>
          <w:szCs w:val="20"/>
        </w:rPr>
      </w:pPr>
    </w:p>
    <w:p w14:paraId="7DE45FF3" w14:textId="261DD033" w:rsidR="003745F9" w:rsidRPr="00EE2F6F" w:rsidRDefault="003745F9" w:rsidP="00EE2F6F">
      <w:pPr>
        <w:pStyle w:val="Akapitzlist"/>
        <w:spacing w:after="0" w:line="276" w:lineRule="auto"/>
        <w:ind w:left="1440"/>
        <w:jc w:val="both"/>
        <w:rPr>
          <w:rFonts w:ascii="Arial" w:hAnsi="Arial" w:cs="Arial"/>
          <w:sz w:val="20"/>
          <w:szCs w:val="20"/>
        </w:rPr>
      </w:pPr>
    </w:p>
    <w:p w14:paraId="2E854C7E" w14:textId="77777777" w:rsidR="00D27AF1" w:rsidRPr="00EE2F6F" w:rsidRDefault="00D27AF1" w:rsidP="00EE2F6F">
      <w:pPr>
        <w:spacing w:after="0" w:line="276" w:lineRule="auto"/>
        <w:ind w:left="1080"/>
        <w:contextualSpacing/>
        <w:jc w:val="both"/>
        <w:rPr>
          <w:rFonts w:ascii="Arial" w:hAnsi="Arial" w:cs="Arial"/>
          <w:sz w:val="20"/>
          <w:szCs w:val="20"/>
        </w:rPr>
      </w:pPr>
    </w:p>
    <w:sectPr w:rsidR="00D27AF1" w:rsidRPr="00EE2F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6C7BAA5"/>
    <w:multiLevelType w:val="hybridMultilevel"/>
    <w:tmpl w:val="CF521232"/>
    <w:lvl w:ilvl="0" w:tplc="FFFFFFFF">
      <w:start w:val="1"/>
      <w:numFmt w:val="lowerLetter"/>
      <w:lvlText w:val=""/>
      <w:lvlJc w:val="left"/>
    </w:lvl>
    <w:lvl w:ilvl="1" w:tplc="6A746CDC">
      <w:start w:val="1"/>
      <w:numFmt w:val="lowerLetter"/>
      <w:lvlText w:val="%2."/>
      <w:lvlJc w:val="left"/>
      <w:pPr>
        <w:ind w:left="360" w:hanging="360"/>
      </w:pPr>
      <w:rPr>
        <w:rFonts w:ascii="Arial" w:eastAsiaTheme="minorHAnsi" w:hAnsi="Arial" w:cs="Arial"/>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15F1F6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9AD27A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F13F0D"/>
    <w:multiLevelType w:val="hybridMultilevel"/>
    <w:tmpl w:val="40E85EC6"/>
    <w:lvl w:ilvl="0" w:tplc="04150001">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4" w15:restartNumberingAfterBreak="0">
    <w:nsid w:val="0956D90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0B2376F"/>
    <w:multiLevelType w:val="hybridMultilevel"/>
    <w:tmpl w:val="A84037BA"/>
    <w:lvl w:ilvl="0" w:tplc="04150019">
      <w:start w:val="1"/>
      <w:numFmt w:val="lowerLetter"/>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 w15:restartNumberingAfterBreak="0">
    <w:nsid w:val="1F2A58D8"/>
    <w:multiLevelType w:val="hybridMultilevel"/>
    <w:tmpl w:val="88EC38D2"/>
    <w:lvl w:ilvl="0" w:tplc="04150001">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7" w15:restartNumberingAfterBreak="0">
    <w:nsid w:val="2A6940B7"/>
    <w:multiLevelType w:val="hybridMultilevel"/>
    <w:tmpl w:val="C38EC108"/>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8" w15:restartNumberingAfterBreak="0">
    <w:nsid w:val="3B236359"/>
    <w:multiLevelType w:val="hybridMultilevel"/>
    <w:tmpl w:val="A8B0ED86"/>
    <w:lvl w:ilvl="0" w:tplc="04150019">
      <w:start w:val="5"/>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1215244"/>
    <w:multiLevelType w:val="multilevel"/>
    <w:tmpl w:val="1C88D55E"/>
    <w:lvl w:ilvl="0">
      <w:start w:val="22"/>
      <w:numFmt w:val="upperRoman"/>
      <w:lvlText w:val="%1."/>
      <w:lvlJc w:val="left"/>
      <w:pPr>
        <w:ind w:left="1077" w:hanging="717"/>
      </w:pPr>
      <w:rPr>
        <w:rFonts w:hint="default"/>
      </w:rPr>
    </w:lvl>
    <w:lvl w:ilvl="1">
      <w:start w:val="1"/>
      <w:numFmt w:val="decimal"/>
      <w:lvlText w:val="%2."/>
      <w:lvlJc w:val="left"/>
      <w:pPr>
        <w:ind w:left="1440" w:hanging="363"/>
      </w:pPr>
      <w:rPr>
        <w:rFonts w:hint="default"/>
      </w:rPr>
    </w:lvl>
    <w:lvl w:ilvl="2">
      <w:start w:val="1"/>
      <w:numFmt w:val="lowerLetter"/>
      <w:lvlText w:val="%3."/>
      <w:lvlJc w:val="right"/>
      <w:pPr>
        <w:ind w:left="2160" w:hanging="18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0" w15:restartNumberingAfterBreak="0">
    <w:nsid w:val="4C580C6C"/>
    <w:multiLevelType w:val="hybridMultilevel"/>
    <w:tmpl w:val="A8DA5986"/>
    <w:lvl w:ilvl="0" w:tplc="F7088BC0">
      <w:start w:val="1"/>
      <w:numFmt w:val="lowerLetter"/>
      <w:lvlText w:val="%1."/>
      <w:lvlJc w:val="left"/>
      <w:pPr>
        <w:ind w:left="2160" w:hanging="360"/>
      </w:pPr>
      <w:rPr>
        <w:rFonts w:ascii="Arial" w:eastAsiaTheme="minorHAnsi" w:hAnsi="Arial" w:cs="Arial"/>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1" w15:restartNumberingAfterBreak="0">
    <w:nsid w:val="4CA0304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4CA81F21"/>
    <w:multiLevelType w:val="hybridMultilevel"/>
    <w:tmpl w:val="D242D6A6"/>
    <w:lvl w:ilvl="0" w:tplc="04150017">
      <w:start w:val="3"/>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FD31CBC"/>
    <w:multiLevelType w:val="hybridMultilevel"/>
    <w:tmpl w:val="225A5454"/>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4" w15:restartNumberingAfterBreak="0">
    <w:nsid w:val="52B70694"/>
    <w:multiLevelType w:val="hybridMultilevel"/>
    <w:tmpl w:val="B2C85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375686"/>
    <w:multiLevelType w:val="hybridMultilevel"/>
    <w:tmpl w:val="EC3EA618"/>
    <w:lvl w:ilvl="0" w:tplc="5D10A69E">
      <w:start w:val="1"/>
      <w:numFmt w:val="lowerLetter"/>
      <w:lvlText w:val="%1."/>
      <w:lvlJc w:val="left"/>
      <w:pPr>
        <w:ind w:left="2160" w:hanging="360"/>
      </w:pPr>
      <w:rPr>
        <w:rFonts w:ascii="Arial" w:eastAsiaTheme="minorHAnsi" w:hAnsi="Arial" w:cs="Arial"/>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6" w15:restartNumberingAfterBreak="0">
    <w:nsid w:val="5EE77F2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602E7D34"/>
    <w:multiLevelType w:val="hybridMultilevel"/>
    <w:tmpl w:val="9DC88E10"/>
    <w:lvl w:ilvl="0" w:tplc="48CC3EAC">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8" w15:restartNumberingAfterBreak="0">
    <w:nsid w:val="6D10C6C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71811FD2"/>
    <w:multiLevelType w:val="hybridMultilevel"/>
    <w:tmpl w:val="7EE204CC"/>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0" w15:restartNumberingAfterBreak="0">
    <w:nsid w:val="71D82BD9"/>
    <w:multiLevelType w:val="hybridMultilevel"/>
    <w:tmpl w:val="977E557C"/>
    <w:lvl w:ilvl="0" w:tplc="05141796">
      <w:start w:val="1"/>
      <w:numFmt w:val="lowerLetter"/>
      <w:lvlText w:val="%1."/>
      <w:lvlJc w:val="left"/>
      <w:pPr>
        <w:ind w:left="2160" w:hanging="360"/>
      </w:pPr>
      <w:rPr>
        <w:rFonts w:ascii="Arial" w:eastAsiaTheme="minorHAnsi" w:hAnsi="Arial" w:cs="Arial"/>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1" w15:restartNumberingAfterBreak="0">
    <w:nsid w:val="73C33DC8"/>
    <w:multiLevelType w:val="hybridMultilevel"/>
    <w:tmpl w:val="616E1EC6"/>
    <w:lvl w:ilvl="0" w:tplc="04150017">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9A866B6"/>
    <w:multiLevelType w:val="multilevel"/>
    <w:tmpl w:val="71065D7A"/>
    <w:lvl w:ilvl="0">
      <w:start w:val="1"/>
      <w:numFmt w:val="upperRoman"/>
      <w:lvlText w:val="%1."/>
      <w:lvlJc w:val="left"/>
      <w:pPr>
        <w:ind w:left="1430" w:hanging="720"/>
      </w:pPr>
      <w:rPr>
        <w:rFonts w:hint="default"/>
      </w:rPr>
    </w:lvl>
    <w:lvl w:ilvl="1">
      <w:start w:val="1"/>
      <w:numFmt w:val="decimal"/>
      <w:lvlText w:val="%2."/>
      <w:lvlJc w:val="left"/>
      <w:pPr>
        <w:ind w:left="1440" w:hanging="360"/>
      </w:pPr>
      <w:rPr>
        <w:rFonts w:hint="default"/>
        <w:b w:val="0"/>
        <w:bCs/>
        <w:strike w:val="0"/>
      </w:rPr>
    </w:lvl>
    <w:lvl w:ilvl="2">
      <w:start w:val="1"/>
      <w:numFmt w:val="lowerLetter"/>
      <w:lvlText w:val="%3."/>
      <w:lvlJc w:val="right"/>
      <w:pPr>
        <w:ind w:left="2160" w:hanging="180"/>
      </w:pPr>
      <w:rPr>
        <w:rFonts w:hint="default"/>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7A624477"/>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681054857">
    <w:abstractNumId w:val="22"/>
  </w:num>
  <w:num w:numId="2" w16cid:durableId="1048070046">
    <w:abstractNumId w:val="7"/>
  </w:num>
  <w:num w:numId="3" w16cid:durableId="657806811">
    <w:abstractNumId w:val="20"/>
  </w:num>
  <w:num w:numId="4" w16cid:durableId="243145127">
    <w:abstractNumId w:val="10"/>
  </w:num>
  <w:num w:numId="5" w16cid:durableId="814640687">
    <w:abstractNumId w:val="15"/>
  </w:num>
  <w:num w:numId="6" w16cid:durableId="1479229618">
    <w:abstractNumId w:val="2"/>
  </w:num>
  <w:num w:numId="7" w16cid:durableId="1599215223">
    <w:abstractNumId w:val="3"/>
  </w:num>
  <w:num w:numId="8" w16cid:durableId="2031879825">
    <w:abstractNumId w:val="6"/>
  </w:num>
  <w:num w:numId="9" w16cid:durableId="789205693">
    <w:abstractNumId w:val="0"/>
  </w:num>
  <w:num w:numId="10" w16cid:durableId="1671593799">
    <w:abstractNumId w:val="5"/>
  </w:num>
  <w:num w:numId="11" w16cid:durableId="405031948">
    <w:abstractNumId w:val="16"/>
  </w:num>
  <w:num w:numId="12" w16cid:durableId="1586453849">
    <w:abstractNumId w:val="1"/>
  </w:num>
  <w:num w:numId="13" w16cid:durableId="567499111">
    <w:abstractNumId w:val="11"/>
  </w:num>
  <w:num w:numId="14" w16cid:durableId="337536230">
    <w:abstractNumId w:val="9"/>
  </w:num>
  <w:num w:numId="15" w16cid:durableId="1744109622">
    <w:abstractNumId w:val="8"/>
  </w:num>
  <w:num w:numId="16" w16cid:durableId="1577059090">
    <w:abstractNumId w:val="4"/>
  </w:num>
  <w:num w:numId="17" w16cid:durableId="97600895">
    <w:abstractNumId w:val="18"/>
  </w:num>
  <w:num w:numId="18" w16cid:durableId="1653170512">
    <w:abstractNumId w:val="23"/>
  </w:num>
  <w:num w:numId="19" w16cid:durableId="1834685336">
    <w:abstractNumId w:val="12"/>
  </w:num>
  <w:num w:numId="20" w16cid:durableId="1051033055">
    <w:abstractNumId w:val="21"/>
  </w:num>
  <w:num w:numId="21" w16cid:durableId="287273866">
    <w:abstractNumId w:val="14"/>
  </w:num>
  <w:num w:numId="22" w16cid:durableId="932544352">
    <w:abstractNumId w:val="13"/>
  </w:num>
  <w:num w:numId="23" w16cid:durableId="968896974">
    <w:abstractNumId w:val="19"/>
  </w:num>
  <w:num w:numId="24" w16cid:durableId="36444585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8B9"/>
    <w:rsid w:val="00000CCD"/>
    <w:rsid w:val="00017048"/>
    <w:rsid w:val="00042BDF"/>
    <w:rsid w:val="000430AE"/>
    <w:rsid w:val="00055599"/>
    <w:rsid w:val="000C785B"/>
    <w:rsid w:val="000D00DA"/>
    <w:rsid w:val="000D54F0"/>
    <w:rsid w:val="000E52DC"/>
    <w:rsid w:val="000F54B1"/>
    <w:rsid w:val="00116D75"/>
    <w:rsid w:val="00132143"/>
    <w:rsid w:val="001411F5"/>
    <w:rsid w:val="0017691D"/>
    <w:rsid w:val="001771F0"/>
    <w:rsid w:val="001A19AF"/>
    <w:rsid w:val="001C4832"/>
    <w:rsid w:val="001F7BA2"/>
    <w:rsid w:val="00203E14"/>
    <w:rsid w:val="00205125"/>
    <w:rsid w:val="00261E30"/>
    <w:rsid w:val="00291519"/>
    <w:rsid w:val="002C0E22"/>
    <w:rsid w:val="002C3AB3"/>
    <w:rsid w:val="002D2717"/>
    <w:rsid w:val="002F7F9E"/>
    <w:rsid w:val="00303474"/>
    <w:rsid w:val="003165C4"/>
    <w:rsid w:val="00332045"/>
    <w:rsid w:val="00333F8B"/>
    <w:rsid w:val="003377E9"/>
    <w:rsid w:val="00341EB2"/>
    <w:rsid w:val="00352D5A"/>
    <w:rsid w:val="003638B9"/>
    <w:rsid w:val="003734B6"/>
    <w:rsid w:val="003745F9"/>
    <w:rsid w:val="00386BE6"/>
    <w:rsid w:val="003A0843"/>
    <w:rsid w:val="003C6006"/>
    <w:rsid w:val="003C6BC9"/>
    <w:rsid w:val="003D59A4"/>
    <w:rsid w:val="003E2E39"/>
    <w:rsid w:val="003E6A6B"/>
    <w:rsid w:val="00401BD1"/>
    <w:rsid w:val="00405008"/>
    <w:rsid w:val="004225CF"/>
    <w:rsid w:val="004E76CA"/>
    <w:rsid w:val="005863CB"/>
    <w:rsid w:val="005877EF"/>
    <w:rsid w:val="0059086A"/>
    <w:rsid w:val="005B4173"/>
    <w:rsid w:val="005E47D7"/>
    <w:rsid w:val="006009CD"/>
    <w:rsid w:val="00606AF5"/>
    <w:rsid w:val="006236BC"/>
    <w:rsid w:val="006439A2"/>
    <w:rsid w:val="00643AEA"/>
    <w:rsid w:val="00645697"/>
    <w:rsid w:val="00694998"/>
    <w:rsid w:val="006A2461"/>
    <w:rsid w:val="006C3A2D"/>
    <w:rsid w:val="00713782"/>
    <w:rsid w:val="00723364"/>
    <w:rsid w:val="00796260"/>
    <w:rsid w:val="007A0F21"/>
    <w:rsid w:val="00800D20"/>
    <w:rsid w:val="008127BD"/>
    <w:rsid w:val="00841A9A"/>
    <w:rsid w:val="00865386"/>
    <w:rsid w:val="008842BC"/>
    <w:rsid w:val="008A3516"/>
    <w:rsid w:val="008B0747"/>
    <w:rsid w:val="008E1322"/>
    <w:rsid w:val="008E2A75"/>
    <w:rsid w:val="009306D6"/>
    <w:rsid w:val="00930B28"/>
    <w:rsid w:val="0093355D"/>
    <w:rsid w:val="00934586"/>
    <w:rsid w:val="00977F16"/>
    <w:rsid w:val="009A37D5"/>
    <w:rsid w:val="009B2758"/>
    <w:rsid w:val="00A05738"/>
    <w:rsid w:val="00A10C03"/>
    <w:rsid w:val="00A67161"/>
    <w:rsid w:val="00A67428"/>
    <w:rsid w:val="00A717C5"/>
    <w:rsid w:val="00A74AC2"/>
    <w:rsid w:val="00A83C0F"/>
    <w:rsid w:val="00A931B3"/>
    <w:rsid w:val="00AA7CD0"/>
    <w:rsid w:val="00AB23B4"/>
    <w:rsid w:val="00AB4E5A"/>
    <w:rsid w:val="00AB7141"/>
    <w:rsid w:val="00AC5D01"/>
    <w:rsid w:val="00AD3BA9"/>
    <w:rsid w:val="00B11078"/>
    <w:rsid w:val="00B32C62"/>
    <w:rsid w:val="00B331B0"/>
    <w:rsid w:val="00B34EE2"/>
    <w:rsid w:val="00B417C5"/>
    <w:rsid w:val="00B7396C"/>
    <w:rsid w:val="00B769B9"/>
    <w:rsid w:val="00BA001E"/>
    <w:rsid w:val="00BA7002"/>
    <w:rsid w:val="00BC5ADE"/>
    <w:rsid w:val="00BE72B8"/>
    <w:rsid w:val="00C302D0"/>
    <w:rsid w:val="00C459CD"/>
    <w:rsid w:val="00C50908"/>
    <w:rsid w:val="00C71E33"/>
    <w:rsid w:val="00CD5F89"/>
    <w:rsid w:val="00CF25FD"/>
    <w:rsid w:val="00D27AF1"/>
    <w:rsid w:val="00D50CD1"/>
    <w:rsid w:val="00D72AB7"/>
    <w:rsid w:val="00D91CC2"/>
    <w:rsid w:val="00DD2A76"/>
    <w:rsid w:val="00DF0414"/>
    <w:rsid w:val="00DF6094"/>
    <w:rsid w:val="00E53499"/>
    <w:rsid w:val="00E75839"/>
    <w:rsid w:val="00E9159C"/>
    <w:rsid w:val="00EE2F6F"/>
    <w:rsid w:val="00F04E3E"/>
    <w:rsid w:val="00F64FA4"/>
    <w:rsid w:val="00FA79B8"/>
    <w:rsid w:val="00FD2B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1EC16"/>
  <w15:chartTrackingRefBased/>
  <w15:docId w15:val="{ADB8A377-08D0-439A-97A9-C4E938722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A7002"/>
    <w:rPr>
      <w:kern w:val="0"/>
      <w14:ligatures w14:val="none"/>
    </w:rPr>
  </w:style>
  <w:style w:type="paragraph" w:styleId="Nagwek1">
    <w:name w:val="heading 1"/>
    <w:basedOn w:val="Normalny"/>
    <w:next w:val="Normalny"/>
    <w:link w:val="Nagwek1Znak"/>
    <w:uiPriority w:val="9"/>
    <w:qFormat/>
    <w:rsid w:val="003638B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3638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3638B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3638B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3638B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3638B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638B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638B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638B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638B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3638B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3638B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3638B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3638B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3638B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638B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638B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638B9"/>
    <w:rPr>
      <w:rFonts w:eastAsiaTheme="majorEastAsia" w:cstheme="majorBidi"/>
      <w:color w:val="272727" w:themeColor="text1" w:themeTint="D8"/>
    </w:rPr>
  </w:style>
  <w:style w:type="paragraph" w:styleId="Tytu">
    <w:name w:val="Title"/>
    <w:basedOn w:val="Normalny"/>
    <w:next w:val="Normalny"/>
    <w:link w:val="TytuZnak"/>
    <w:uiPriority w:val="10"/>
    <w:qFormat/>
    <w:rsid w:val="003638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638B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638B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638B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638B9"/>
    <w:pPr>
      <w:spacing w:before="160"/>
      <w:jc w:val="center"/>
    </w:pPr>
    <w:rPr>
      <w:i/>
      <w:iCs/>
      <w:color w:val="404040" w:themeColor="text1" w:themeTint="BF"/>
    </w:rPr>
  </w:style>
  <w:style w:type="character" w:customStyle="1" w:styleId="CytatZnak">
    <w:name w:val="Cytat Znak"/>
    <w:basedOn w:val="Domylnaczcionkaakapitu"/>
    <w:link w:val="Cytat"/>
    <w:uiPriority w:val="29"/>
    <w:rsid w:val="003638B9"/>
    <w:rPr>
      <w:i/>
      <w:iCs/>
      <w:color w:val="404040" w:themeColor="text1" w:themeTint="BF"/>
    </w:rPr>
  </w:style>
  <w:style w:type="paragraph" w:styleId="Akapitzlist">
    <w:name w:val="List Paragraph"/>
    <w:aliases w:val="BulletC,CW_Lista,Nagłowek 3,Numerowanie,L1,Preambuła,Akapit z listą BS,Kolorowa lista — akcent 11,Dot pt,F5 List Paragraph,Recommendation,List Paragraph11,lp1,maz_wyliczenie,opis dzialania,K-P_odwolanie,A_wyliczenie,Akapit z listą 1,Tabel"/>
    <w:basedOn w:val="Normalny"/>
    <w:link w:val="AkapitzlistZnak"/>
    <w:uiPriority w:val="34"/>
    <w:qFormat/>
    <w:rsid w:val="003638B9"/>
    <w:pPr>
      <w:ind w:left="720"/>
      <w:contextualSpacing/>
    </w:pPr>
  </w:style>
  <w:style w:type="character" w:styleId="Wyrnienieintensywne">
    <w:name w:val="Intense Emphasis"/>
    <w:basedOn w:val="Domylnaczcionkaakapitu"/>
    <w:uiPriority w:val="21"/>
    <w:qFormat/>
    <w:rsid w:val="003638B9"/>
    <w:rPr>
      <w:i/>
      <w:iCs/>
      <w:color w:val="0F4761" w:themeColor="accent1" w:themeShade="BF"/>
    </w:rPr>
  </w:style>
  <w:style w:type="paragraph" w:styleId="Cytatintensywny">
    <w:name w:val="Intense Quote"/>
    <w:basedOn w:val="Normalny"/>
    <w:next w:val="Normalny"/>
    <w:link w:val="CytatintensywnyZnak"/>
    <w:uiPriority w:val="30"/>
    <w:qFormat/>
    <w:rsid w:val="003638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3638B9"/>
    <w:rPr>
      <w:i/>
      <w:iCs/>
      <w:color w:val="0F4761" w:themeColor="accent1" w:themeShade="BF"/>
    </w:rPr>
  </w:style>
  <w:style w:type="character" w:styleId="Odwoanieintensywne">
    <w:name w:val="Intense Reference"/>
    <w:basedOn w:val="Domylnaczcionkaakapitu"/>
    <w:uiPriority w:val="32"/>
    <w:qFormat/>
    <w:rsid w:val="003638B9"/>
    <w:rPr>
      <w:b/>
      <w:bCs/>
      <w:smallCaps/>
      <w:color w:val="0F4761" w:themeColor="accent1" w:themeShade="BF"/>
      <w:spacing w:val="5"/>
    </w:rPr>
  </w:style>
  <w:style w:type="character" w:customStyle="1" w:styleId="AkapitzlistZnak">
    <w:name w:val="Akapit z listą Znak"/>
    <w:aliases w:val="BulletC Znak,CW_Lista Znak,Nagłowek 3 Znak,Numerowanie Znak,L1 Znak,Preambuła Znak,Akapit z listą BS Znak,Kolorowa lista — akcent 11 Znak,Dot pt Znak,F5 List Paragraph Znak,Recommendation Znak,List Paragraph11 Znak,lp1 Znak"/>
    <w:link w:val="Akapitzlist"/>
    <w:uiPriority w:val="34"/>
    <w:qFormat/>
    <w:locked/>
    <w:rsid w:val="00BA7002"/>
  </w:style>
  <w:style w:type="paragraph" w:customStyle="1" w:styleId="Default">
    <w:name w:val="Default"/>
    <w:rsid w:val="00D27AF1"/>
    <w:pPr>
      <w:autoSpaceDE w:val="0"/>
      <w:autoSpaceDN w:val="0"/>
      <w:adjustRightInd w:val="0"/>
      <w:spacing w:after="0" w:line="240" w:lineRule="auto"/>
    </w:pPr>
    <w:rPr>
      <w:rFonts w:ascii="Arial" w:hAnsi="Arial" w:cs="Arial"/>
      <w:color w:val="000000"/>
      <w:kern w:val="0"/>
      <w:sz w:val="24"/>
      <w:szCs w:val="24"/>
    </w:rPr>
  </w:style>
  <w:style w:type="character" w:styleId="Odwoaniedokomentarza">
    <w:name w:val="annotation reference"/>
    <w:basedOn w:val="Domylnaczcionkaakapitu"/>
    <w:uiPriority w:val="99"/>
    <w:semiHidden/>
    <w:unhideWhenUsed/>
    <w:rsid w:val="002C0E22"/>
    <w:rPr>
      <w:sz w:val="16"/>
      <w:szCs w:val="16"/>
    </w:rPr>
  </w:style>
  <w:style w:type="paragraph" w:styleId="Tekstkomentarza">
    <w:name w:val="annotation text"/>
    <w:basedOn w:val="Normalny"/>
    <w:link w:val="TekstkomentarzaZnak"/>
    <w:uiPriority w:val="99"/>
    <w:unhideWhenUsed/>
    <w:rsid w:val="002C0E22"/>
    <w:pPr>
      <w:spacing w:line="240" w:lineRule="auto"/>
    </w:pPr>
    <w:rPr>
      <w:sz w:val="20"/>
      <w:szCs w:val="20"/>
    </w:rPr>
  </w:style>
  <w:style w:type="character" w:customStyle="1" w:styleId="TekstkomentarzaZnak">
    <w:name w:val="Tekst komentarza Znak"/>
    <w:basedOn w:val="Domylnaczcionkaakapitu"/>
    <w:link w:val="Tekstkomentarza"/>
    <w:uiPriority w:val="99"/>
    <w:rsid w:val="002C0E22"/>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2C0E22"/>
    <w:rPr>
      <w:b/>
      <w:bCs/>
    </w:rPr>
  </w:style>
  <w:style w:type="character" w:customStyle="1" w:styleId="TematkomentarzaZnak">
    <w:name w:val="Temat komentarza Znak"/>
    <w:basedOn w:val="TekstkomentarzaZnak"/>
    <w:link w:val="Tematkomentarza"/>
    <w:uiPriority w:val="99"/>
    <w:semiHidden/>
    <w:rsid w:val="002C0E22"/>
    <w:rPr>
      <w:b/>
      <w:bCs/>
      <w:kern w:val="0"/>
      <w:sz w:val="20"/>
      <w:szCs w:val="20"/>
      <w14:ligatures w14:val="none"/>
    </w:rPr>
  </w:style>
  <w:style w:type="paragraph" w:styleId="Poprawka">
    <w:name w:val="Revision"/>
    <w:hidden/>
    <w:uiPriority w:val="99"/>
    <w:semiHidden/>
    <w:rsid w:val="00723364"/>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27B486-3F52-4534-8E89-0DC4E2CFA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3259</Words>
  <Characters>19555</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Szymon Bartuś</dc:creator>
  <cp:keywords/>
  <dc:description/>
  <cp:lastModifiedBy>Edyta Nogaj</cp:lastModifiedBy>
  <cp:revision>2</cp:revision>
  <dcterms:created xsi:type="dcterms:W3CDTF">2025-03-10T07:18:00Z</dcterms:created>
  <dcterms:modified xsi:type="dcterms:W3CDTF">2025-03-10T07:18:00Z</dcterms:modified>
</cp:coreProperties>
</file>