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F2C1" w14:textId="5389E28A" w:rsidR="00137441" w:rsidRDefault="00137441" w:rsidP="00137441">
      <w:pPr>
        <w:rPr>
          <w:b/>
          <w:color w:val="767171" w:themeColor="background2" w:themeShade="80"/>
          <w:sz w:val="20"/>
          <w:szCs w:val="20"/>
        </w:rPr>
      </w:pPr>
      <w:r>
        <w:rPr>
          <w:b/>
          <w:color w:val="767171" w:themeColor="background2" w:themeShade="80"/>
          <w:sz w:val="20"/>
          <w:szCs w:val="20"/>
        </w:rPr>
        <w:t xml:space="preserve">                 Związek Powiatowo-Gminny</w:t>
      </w:r>
    </w:p>
    <w:p w14:paraId="5D9AA9CF" w14:textId="77777777" w:rsidR="00137441" w:rsidRPr="00455612" w:rsidRDefault="00137441" w:rsidP="00137441">
      <w:pPr>
        <w:rPr>
          <w:b/>
          <w:color w:val="767171" w:themeColor="background2" w:themeShade="80"/>
          <w:sz w:val="20"/>
          <w:szCs w:val="20"/>
        </w:rPr>
      </w:pPr>
      <w:r w:rsidRPr="00455612">
        <w:rPr>
          <w:b/>
          <w:color w:val="767171" w:themeColor="background2" w:themeShade="80"/>
          <w:sz w:val="20"/>
          <w:szCs w:val="20"/>
        </w:rPr>
        <w:t>„WIELKOPOLSKI TRANSPORT REGIONALNY”</w:t>
      </w:r>
    </w:p>
    <w:p w14:paraId="740D6207" w14:textId="77777777" w:rsidR="00137441" w:rsidRDefault="00884B0E" w:rsidP="00884B0E">
      <w:pPr>
        <w:rPr>
          <w:rFonts w:cs="Times New Roman"/>
        </w:rPr>
      </w:pP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p>
    <w:p w14:paraId="21DF4B09" w14:textId="77777777" w:rsidR="00137441" w:rsidRDefault="00137441" w:rsidP="00884B0E">
      <w:pPr>
        <w:rPr>
          <w:rFonts w:cs="Times New Roman"/>
        </w:rPr>
      </w:pPr>
    </w:p>
    <w:p w14:paraId="0E7FEC9F" w14:textId="08134D6F" w:rsidR="00884B0E" w:rsidRPr="00A25CF6" w:rsidRDefault="00884B0E" w:rsidP="00137441">
      <w:pPr>
        <w:ind w:left="5664" w:firstLine="708"/>
        <w:rPr>
          <w:rFonts w:cs="Times New Roman"/>
        </w:rPr>
      </w:pPr>
      <w:r w:rsidRPr="00A25CF6">
        <w:rPr>
          <w:rFonts w:cs="Times New Roman"/>
        </w:rPr>
        <w:t xml:space="preserve">Poznań, dnia </w:t>
      </w:r>
      <w:r w:rsidR="00890284">
        <w:rPr>
          <w:rFonts w:cs="Times New Roman"/>
        </w:rPr>
        <w:t>11</w:t>
      </w:r>
      <w:r w:rsidR="00551811">
        <w:rPr>
          <w:rFonts w:cs="Times New Roman"/>
        </w:rPr>
        <w:t>.0</w:t>
      </w:r>
      <w:r w:rsidR="005A1DEF">
        <w:rPr>
          <w:rFonts w:cs="Times New Roman"/>
        </w:rPr>
        <w:t>4</w:t>
      </w:r>
      <w:r w:rsidR="00551811">
        <w:rPr>
          <w:rFonts w:cs="Times New Roman"/>
        </w:rPr>
        <w:t>.2023</w:t>
      </w:r>
      <w:r w:rsidRPr="00A25CF6">
        <w:rPr>
          <w:rFonts w:cs="Times New Roman"/>
        </w:rPr>
        <w:t xml:space="preserve"> r.</w:t>
      </w:r>
    </w:p>
    <w:p w14:paraId="5CA53F6A" w14:textId="534C38BD" w:rsidR="00884B0E" w:rsidRPr="00A25CF6" w:rsidRDefault="00884B0E" w:rsidP="00884B0E">
      <w:pPr>
        <w:rPr>
          <w:rFonts w:cs="Times New Roman"/>
          <w:b/>
          <w:bCs/>
        </w:rPr>
      </w:pPr>
      <w:r w:rsidRPr="00A25CF6">
        <w:rPr>
          <w:rFonts w:eastAsia="Batang" w:cs="Times New Roman"/>
        </w:rPr>
        <w:t xml:space="preserve">Oznaczenie sprawy:  </w:t>
      </w:r>
      <w:r w:rsidR="00A25CF6" w:rsidRPr="00A25CF6">
        <w:rPr>
          <w:rFonts w:eastAsia="Arial Narrow" w:cs="Times New Roman"/>
          <w:color w:val="000000"/>
        </w:rPr>
        <w:t>AB.261.3.2023</w:t>
      </w:r>
    </w:p>
    <w:p w14:paraId="4A7EB36D" w14:textId="77777777" w:rsidR="00884B0E" w:rsidRPr="00A25CF6" w:rsidRDefault="00884B0E" w:rsidP="00884B0E">
      <w:pPr>
        <w:rPr>
          <w:rFonts w:cs="Times New Roman"/>
          <w:b/>
          <w:bCs/>
        </w:rPr>
      </w:pPr>
    </w:p>
    <w:p w14:paraId="79B64857" w14:textId="77777777" w:rsidR="00884B0E" w:rsidRPr="00A25CF6" w:rsidRDefault="00884B0E" w:rsidP="00884B0E">
      <w:pPr>
        <w:rPr>
          <w:rFonts w:cs="Times New Roman"/>
        </w:rPr>
      </w:pPr>
    </w:p>
    <w:p w14:paraId="61023973" w14:textId="55768753" w:rsidR="00884B0E" w:rsidRPr="00A25CF6" w:rsidRDefault="00884B0E" w:rsidP="00884B0E">
      <w:pPr>
        <w:rPr>
          <w:rFonts w:cs="Times New Roman"/>
        </w:rPr>
      </w:pP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t>Otrzymują:</w:t>
      </w:r>
    </w:p>
    <w:p w14:paraId="2D62D6C2" w14:textId="77777777" w:rsidR="00884B0E" w:rsidRPr="00A25CF6" w:rsidRDefault="00884B0E" w:rsidP="00884B0E">
      <w:pPr>
        <w:rPr>
          <w:rFonts w:cs="Times New Roman"/>
        </w:rPr>
      </w:pP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p>
    <w:p w14:paraId="43D58C1F" w14:textId="3F3251C5" w:rsidR="00884B0E" w:rsidRPr="00A25CF6" w:rsidRDefault="00884B0E" w:rsidP="00884B0E">
      <w:pPr>
        <w:rPr>
          <w:rFonts w:cs="Times New Roman"/>
        </w:rPr>
      </w:pP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t>– strona internetowa zamawiającego</w:t>
      </w:r>
    </w:p>
    <w:p w14:paraId="726D4B37" w14:textId="77777777" w:rsidR="00884B0E" w:rsidRDefault="00884B0E" w:rsidP="00884B0E">
      <w:pPr>
        <w:rPr>
          <w:rFonts w:cs="Times New Roman"/>
          <w:sz w:val="22"/>
          <w:szCs w:val="22"/>
        </w:rPr>
      </w:pPr>
    </w:p>
    <w:p w14:paraId="21EA28D9" w14:textId="14B195E6" w:rsidR="00884B0E" w:rsidRPr="00884B0E" w:rsidRDefault="00884B0E" w:rsidP="00884B0E">
      <w:pPr>
        <w:rPr>
          <w:rFonts w:eastAsia="Arial Narrow" w:cs="Times New Roman"/>
          <w:sz w:val="20"/>
          <w:szCs w:val="20"/>
        </w:rPr>
      </w:pPr>
      <w:r w:rsidRPr="00884B0E">
        <w:rPr>
          <w:rFonts w:eastAsia="TimesNewRomanPSMT" w:cs="Times New Roman"/>
          <w:color w:val="000000"/>
          <w:sz w:val="20"/>
          <w:szCs w:val="20"/>
          <w:lang w:eastAsia="ar-SA" w:bidi="ar-SA"/>
        </w:rPr>
        <w:t xml:space="preserve">Dotyczy: postępowania prowadzonego na platformie zakupowej  w trybie przetargu nieograniczonego </w:t>
      </w:r>
      <w:r w:rsidRPr="00884B0E">
        <w:rPr>
          <w:rFonts w:eastAsia="Arial Narrow" w:cs="Times New Roman"/>
          <w:sz w:val="20"/>
          <w:szCs w:val="20"/>
        </w:rPr>
        <w:t xml:space="preserve">Dostawa niskoemisyjnych autobusów międzymiastowych klasy II z napędem hybrydowym </w:t>
      </w:r>
      <w:proofErr w:type="spellStart"/>
      <w:r w:rsidRPr="00884B0E">
        <w:rPr>
          <w:rFonts w:eastAsia="Arial Narrow" w:cs="Times New Roman"/>
          <w:sz w:val="20"/>
          <w:szCs w:val="20"/>
        </w:rPr>
        <w:t>pn</w:t>
      </w:r>
      <w:proofErr w:type="spellEnd"/>
      <w:r w:rsidRPr="00884B0E">
        <w:rPr>
          <w:rFonts w:eastAsia="Arial Narrow" w:cs="Times New Roman"/>
          <w:sz w:val="20"/>
          <w:szCs w:val="20"/>
        </w:rPr>
        <w:t>:</w:t>
      </w:r>
      <w:r w:rsidR="00F97B81">
        <w:rPr>
          <w:rFonts w:eastAsia="Arial Narrow" w:cs="Times New Roman"/>
          <w:sz w:val="20"/>
          <w:szCs w:val="20"/>
        </w:rPr>
        <w:t xml:space="preserve"> </w:t>
      </w:r>
      <w:r w:rsidRPr="00884B0E">
        <w:rPr>
          <w:rFonts w:eastAsia="Arial Narrow" w:cs="Times New Roman"/>
          <w:sz w:val="20"/>
          <w:szCs w:val="20"/>
        </w:rPr>
        <w:t>„Poprawa ekologiczności regionalnego transportu drogowego poprzez zakup taboru autobusowego zasilanego gazem ziemnym lub z napędem hybrydowym”</w:t>
      </w:r>
    </w:p>
    <w:p w14:paraId="1209959F" w14:textId="2F2DC075" w:rsidR="00884B0E" w:rsidRDefault="00884B0E" w:rsidP="00884B0E">
      <w:pPr>
        <w:rPr>
          <w:rFonts w:cs="Times New Roman"/>
          <w:b/>
          <w:bCs/>
          <w:sz w:val="22"/>
          <w:szCs w:val="22"/>
        </w:rPr>
      </w:pPr>
      <w:r>
        <w:rPr>
          <w:rFonts w:cs="Times New Roman"/>
          <w:b/>
          <w:bCs/>
          <w:sz w:val="22"/>
          <w:szCs w:val="22"/>
        </w:rPr>
        <w:tab/>
      </w:r>
      <w:r>
        <w:rPr>
          <w:rFonts w:cs="Times New Roman"/>
          <w:b/>
          <w:bCs/>
          <w:sz w:val="22"/>
          <w:szCs w:val="22"/>
        </w:rPr>
        <w:tab/>
      </w:r>
    </w:p>
    <w:p w14:paraId="14BDA7DE" w14:textId="308B0220" w:rsidR="00884B0E" w:rsidRPr="00551811" w:rsidRDefault="00884B0E" w:rsidP="00884B0E">
      <w:pPr>
        <w:rPr>
          <w:rFonts w:cs="Times New Roman"/>
          <w:b/>
          <w:bCs/>
          <w:sz w:val="22"/>
          <w:szCs w:val="22"/>
        </w:rPr>
      </w:pPr>
      <w:r w:rsidRPr="00551811">
        <w:rPr>
          <w:rFonts w:cs="Times New Roman"/>
          <w:sz w:val="22"/>
          <w:szCs w:val="22"/>
        </w:rPr>
        <w:t>W związku z otrzymanymi zapytaniami dotyczącymi treści Specyfikacji Warunków Zamówienia, Zamawiający na podst. art. 135 ust. 2 ustawy z dnia 11 września 2019r - Prawo zamówień publicznych ( tj. Dz.U z 2022 poz. 1710 ze zm.), udziela następujących wyjaśnień:</w:t>
      </w:r>
    </w:p>
    <w:p w14:paraId="4ADD9E7A" w14:textId="77777777" w:rsidR="00884B0E" w:rsidRPr="00551811" w:rsidRDefault="00884B0E" w:rsidP="00884B0E">
      <w:pPr>
        <w:rPr>
          <w:rFonts w:cs="Times New Roman"/>
          <w:b/>
          <w:bCs/>
          <w:sz w:val="22"/>
          <w:szCs w:val="22"/>
        </w:rPr>
      </w:pPr>
    </w:p>
    <w:tbl>
      <w:tblPr>
        <w:tblStyle w:val="Tabela-Siatka"/>
        <w:tblW w:w="10349" w:type="dxa"/>
        <w:tblInd w:w="-572" w:type="dxa"/>
        <w:tblLayout w:type="fixed"/>
        <w:tblLook w:val="04A0" w:firstRow="1" w:lastRow="0" w:firstColumn="1" w:lastColumn="0" w:noHBand="0" w:noVBand="1"/>
      </w:tblPr>
      <w:tblGrid>
        <w:gridCol w:w="993"/>
        <w:gridCol w:w="4678"/>
        <w:gridCol w:w="4678"/>
      </w:tblGrid>
      <w:tr w:rsidR="00890284" w:rsidRPr="00890284" w14:paraId="037A0144" w14:textId="77777777" w:rsidTr="00890284">
        <w:trPr>
          <w:tblHeader/>
        </w:trPr>
        <w:tc>
          <w:tcPr>
            <w:tcW w:w="993" w:type="dxa"/>
          </w:tcPr>
          <w:p w14:paraId="5C49FFC5" w14:textId="77777777" w:rsidR="00890284" w:rsidRPr="008575CF" w:rsidRDefault="00890284" w:rsidP="008575CF">
            <w:pPr>
              <w:spacing w:before="120" w:after="120"/>
              <w:jc w:val="center"/>
              <w:rPr>
                <w:rFonts w:cs="Times New Roman"/>
                <w:b/>
                <w:bCs/>
                <w:sz w:val="22"/>
                <w:szCs w:val="22"/>
                <w:lang w:val="en-US"/>
              </w:rPr>
            </w:pPr>
            <w:r w:rsidRPr="008575CF">
              <w:rPr>
                <w:rFonts w:cs="Times New Roman"/>
                <w:b/>
                <w:bCs/>
                <w:sz w:val="22"/>
                <w:szCs w:val="22"/>
                <w:lang w:val="en-US"/>
              </w:rPr>
              <w:t xml:space="preserve">Nr </w:t>
            </w:r>
            <w:proofErr w:type="spellStart"/>
            <w:r w:rsidRPr="008575CF">
              <w:rPr>
                <w:rFonts w:cs="Times New Roman"/>
                <w:b/>
                <w:bCs/>
                <w:sz w:val="22"/>
                <w:szCs w:val="22"/>
                <w:lang w:val="en-US"/>
              </w:rPr>
              <w:t>pytania</w:t>
            </w:r>
            <w:proofErr w:type="spellEnd"/>
          </w:p>
        </w:tc>
        <w:tc>
          <w:tcPr>
            <w:tcW w:w="4678" w:type="dxa"/>
            <w:vAlign w:val="center"/>
          </w:tcPr>
          <w:p w14:paraId="1C0B408D" w14:textId="68A69018" w:rsidR="00890284" w:rsidRPr="00890284" w:rsidRDefault="00890284" w:rsidP="00890284">
            <w:pPr>
              <w:spacing w:before="120" w:after="120"/>
              <w:jc w:val="center"/>
              <w:rPr>
                <w:rFonts w:cs="Times New Roman"/>
                <w:sz w:val="22"/>
                <w:szCs w:val="22"/>
              </w:rPr>
            </w:pPr>
            <w:r w:rsidRPr="008E4685">
              <w:rPr>
                <w:rFonts w:cs="Times New Roman"/>
                <w:b/>
                <w:bCs/>
                <w:sz w:val="22"/>
                <w:szCs w:val="22"/>
              </w:rPr>
              <w:t>Treść pytania</w:t>
            </w:r>
          </w:p>
        </w:tc>
        <w:tc>
          <w:tcPr>
            <w:tcW w:w="4678" w:type="dxa"/>
            <w:vAlign w:val="center"/>
          </w:tcPr>
          <w:p w14:paraId="76B81DC3" w14:textId="797CBBCD" w:rsidR="00890284" w:rsidRPr="00890284" w:rsidRDefault="00890284" w:rsidP="00890284">
            <w:pPr>
              <w:spacing w:before="120" w:after="120"/>
              <w:jc w:val="center"/>
              <w:rPr>
                <w:rFonts w:cs="Times New Roman"/>
                <w:sz w:val="22"/>
                <w:szCs w:val="22"/>
              </w:rPr>
            </w:pPr>
            <w:r w:rsidRPr="008E4685">
              <w:rPr>
                <w:rFonts w:cs="Times New Roman"/>
                <w:b/>
                <w:bCs/>
                <w:sz w:val="22"/>
                <w:szCs w:val="22"/>
              </w:rPr>
              <w:t xml:space="preserve">Treść odpowiedzi zamawiającego </w:t>
            </w:r>
          </w:p>
        </w:tc>
      </w:tr>
      <w:tr w:rsidR="00890284" w:rsidRPr="00890284" w14:paraId="6B003EAA" w14:textId="77777777" w:rsidTr="00890284">
        <w:tc>
          <w:tcPr>
            <w:tcW w:w="993" w:type="dxa"/>
          </w:tcPr>
          <w:p w14:paraId="7A8F4380" w14:textId="48D6D088" w:rsidR="00890284" w:rsidRPr="008575CF" w:rsidRDefault="00890284" w:rsidP="008575CF">
            <w:pPr>
              <w:jc w:val="center"/>
              <w:rPr>
                <w:rFonts w:cs="Times New Roman"/>
                <w:sz w:val="22"/>
                <w:szCs w:val="22"/>
              </w:rPr>
            </w:pPr>
            <w:r w:rsidRPr="008575CF">
              <w:rPr>
                <w:rFonts w:cs="Times New Roman"/>
                <w:sz w:val="22"/>
                <w:szCs w:val="22"/>
              </w:rPr>
              <w:t>1.</w:t>
            </w:r>
          </w:p>
        </w:tc>
        <w:tc>
          <w:tcPr>
            <w:tcW w:w="4678" w:type="dxa"/>
          </w:tcPr>
          <w:p w14:paraId="7BD2C1C3" w14:textId="77777777" w:rsidR="00890284" w:rsidRPr="00890284" w:rsidRDefault="00890284" w:rsidP="008F7D1F">
            <w:pPr>
              <w:rPr>
                <w:rFonts w:cs="Times New Roman"/>
                <w:sz w:val="22"/>
                <w:szCs w:val="22"/>
              </w:rPr>
            </w:pPr>
            <w:r w:rsidRPr="00890284">
              <w:rPr>
                <w:rFonts w:cs="Times New Roman"/>
                <w:sz w:val="22"/>
                <w:szCs w:val="22"/>
              </w:rPr>
              <w:t xml:space="preserve">W załączniku nr 4 Projektowane postanowienia umowy &amp;4 Gwarancja jakości pkt 4  Zamawiający umieścił następujący zapis: „W sprawach spornych, dotyczących możliwości skorzystania z gwarancji Zamawiający zastrzega sobie prawo do powołania biegłego, który na podstawie ekspertyzy wykaże przyczynę uszkodzenia. Wynik ekspertyzy będzie wiążący dla stron Umowy. Kosztami ekspertyzy zostanie obciążony Wykonawca lub Zamawiający w zależności od wyniku ekspertyzy”. </w:t>
            </w:r>
          </w:p>
          <w:p w14:paraId="5F605597" w14:textId="77777777" w:rsidR="00890284" w:rsidRPr="00890284" w:rsidRDefault="00890284" w:rsidP="008F7D1F">
            <w:pPr>
              <w:rPr>
                <w:rFonts w:cs="Times New Roman"/>
                <w:sz w:val="22"/>
                <w:szCs w:val="22"/>
              </w:rPr>
            </w:pPr>
          </w:p>
          <w:p w14:paraId="0DC07686" w14:textId="77777777" w:rsidR="00890284" w:rsidRPr="00890284" w:rsidRDefault="00890284" w:rsidP="008F7D1F">
            <w:pPr>
              <w:rPr>
                <w:rFonts w:cs="Times New Roman"/>
                <w:sz w:val="22"/>
                <w:szCs w:val="22"/>
              </w:rPr>
            </w:pPr>
            <w:r w:rsidRPr="00890284">
              <w:rPr>
                <w:rFonts w:cs="Times New Roman"/>
                <w:sz w:val="22"/>
                <w:szCs w:val="22"/>
              </w:rPr>
              <w:t>Czy Zamawiający zgodzi się na odstąpienie od powołania zewnętrznego biegłego w związku z określeniem przyczyny uszkodzenia przez Wykonawcę? Powyższe rozwiązanie jest rozwiązaniem standardowym Wykonawcy i doskonale sprawdza się w praktyce oraz  naprawach pojazdów.</w:t>
            </w:r>
          </w:p>
        </w:tc>
        <w:tc>
          <w:tcPr>
            <w:tcW w:w="4678" w:type="dxa"/>
          </w:tcPr>
          <w:p w14:paraId="2B8F9F0A" w14:textId="77777777" w:rsidR="00890284" w:rsidRPr="00890284" w:rsidRDefault="00890284" w:rsidP="008F7D1F">
            <w:pPr>
              <w:rPr>
                <w:rFonts w:cs="Times New Roman"/>
                <w:sz w:val="22"/>
                <w:szCs w:val="22"/>
              </w:rPr>
            </w:pPr>
            <w:r w:rsidRPr="00890284">
              <w:rPr>
                <w:rFonts w:cs="Times New Roman"/>
                <w:sz w:val="22"/>
                <w:szCs w:val="22"/>
              </w:rPr>
              <w:t xml:space="preserve">Ideą Zamawiającego było, aby w sytuacji spornej, rozstrzygnięcie sporu, przed ewentualnym wstąpieniem na drogę sądową, nastąpiło przy uwzględnieniu opinii niezależnego biegłego rzeczoznawcy. Dla zapewnienia pełnej symetryczności zobowiązań, koszty powołania biegłego mogą wystąpić zarówno po stronie Wykonawcy, jak i Zamawiającego. Powołanie biegłego, następuje w przypadku nie osiągnięcia porozumienia w toku normalnej procedury. </w:t>
            </w:r>
            <w:r w:rsidRPr="00890284">
              <w:rPr>
                <w:rFonts w:cs="Times New Roman"/>
                <w:b/>
                <w:bCs/>
                <w:sz w:val="22"/>
                <w:szCs w:val="22"/>
              </w:rPr>
              <w:t>Zamawiający podtrzymuje warunki w tym zakresie zapisane w projekcie umowy.</w:t>
            </w:r>
          </w:p>
        </w:tc>
      </w:tr>
      <w:tr w:rsidR="00890284" w:rsidRPr="00890284" w14:paraId="7321347B" w14:textId="77777777" w:rsidTr="00890284">
        <w:tc>
          <w:tcPr>
            <w:tcW w:w="993" w:type="dxa"/>
          </w:tcPr>
          <w:p w14:paraId="0370F71F" w14:textId="535CD55B" w:rsidR="00890284" w:rsidRPr="008575CF" w:rsidRDefault="00890284" w:rsidP="008575CF">
            <w:pPr>
              <w:jc w:val="center"/>
              <w:rPr>
                <w:rFonts w:cs="Times New Roman"/>
                <w:sz w:val="22"/>
                <w:szCs w:val="22"/>
              </w:rPr>
            </w:pPr>
            <w:r w:rsidRPr="008575CF">
              <w:rPr>
                <w:rFonts w:cs="Times New Roman"/>
                <w:sz w:val="22"/>
                <w:szCs w:val="22"/>
              </w:rPr>
              <w:t>2.</w:t>
            </w:r>
          </w:p>
        </w:tc>
        <w:tc>
          <w:tcPr>
            <w:tcW w:w="4678" w:type="dxa"/>
          </w:tcPr>
          <w:p w14:paraId="617797F3" w14:textId="77777777" w:rsidR="00890284" w:rsidRPr="00890284" w:rsidRDefault="00890284" w:rsidP="008F7D1F">
            <w:pPr>
              <w:rPr>
                <w:rFonts w:cs="Times New Roman"/>
                <w:sz w:val="22"/>
                <w:szCs w:val="22"/>
              </w:rPr>
            </w:pPr>
            <w:r w:rsidRPr="00890284">
              <w:rPr>
                <w:rFonts w:cs="Times New Roman"/>
                <w:sz w:val="22"/>
                <w:szCs w:val="22"/>
              </w:rPr>
              <w:t xml:space="preserve">W załączniku nr 4 Projektowane postanowienia umowy &amp;2 Termin realizacji Umowy Uzgodnienia, produkcja i kontrola  w punkcie 9  Zamawiający umieścił następujący zapis: „Zamawiający poinformuje Wykonawcę o planowanej kontroli, o której mowa w ust. 8 z wyprzedzeniem 3 dni roboczych pisemnie lub za pomocą poczty elektronicznej (e-mail).”. </w:t>
            </w:r>
          </w:p>
          <w:p w14:paraId="440D21D0" w14:textId="77777777" w:rsidR="00890284" w:rsidRPr="00890284" w:rsidRDefault="00890284" w:rsidP="008F7D1F">
            <w:pPr>
              <w:rPr>
                <w:rFonts w:cs="Times New Roman"/>
                <w:sz w:val="22"/>
                <w:szCs w:val="22"/>
              </w:rPr>
            </w:pPr>
          </w:p>
          <w:p w14:paraId="46D70EEA" w14:textId="77777777" w:rsidR="00890284" w:rsidRPr="00890284" w:rsidRDefault="00890284" w:rsidP="008F7D1F">
            <w:pPr>
              <w:rPr>
                <w:rFonts w:cs="Times New Roman"/>
                <w:sz w:val="22"/>
                <w:szCs w:val="22"/>
              </w:rPr>
            </w:pPr>
            <w:r w:rsidRPr="00890284">
              <w:rPr>
                <w:rFonts w:cs="Times New Roman"/>
                <w:sz w:val="22"/>
                <w:szCs w:val="22"/>
              </w:rPr>
              <w:t xml:space="preserve">Czy Zamawiający zgodzi się na wydłużenie na okres 7 dni roboczych? W przypadku planowanej </w:t>
            </w:r>
            <w:r w:rsidRPr="00890284">
              <w:rPr>
                <w:rFonts w:cs="Times New Roman"/>
                <w:sz w:val="22"/>
                <w:szCs w:val="22"/>
              </w:rPr>
              <w:lastRenderedPageBreak/>
              <w:t>kontroli na fabryce konieczne jest wyrażenie zgody działów produkcyjnych i administracyjnych, co może wiązać się z wydłużeniem czasu zaplanowania kontroli Zamawiającego w miejscu produkcji autobusów.</w:t>
            </w:r>
          </w:p>
          <w:p w14:paraId="4364057E" w14:textId="77777777" w:rsidR="00890284" w:rsidRPr="00890284" w:rsidRDefault="00890284" w:rsidP="008F7D1F">
            <w:pPr>
              <w:rPr>
                <w:rFonts w:cs="Times New Roman"/>
                <w:sz w:val="22"/>
                <w:szCs w:val="22"/>
              </w:rPr>
            </w:pPr>
          </w:p>
        </w:tc>
        <w:tc>
          <w:tcPr>
            <w:tcW w:w="4678" w:type="dxa"/>
          </w:tcPr>
          <w:p w14:paraId="6F338E7C" w14:textId="77777777" w:rsidR="00890284" w:rsidRPr="00890284" w:rsidRDefault="00890284" w:rsidP="008F7D1F">
            <w:pPr>
              <w:rPr>
                <w:rFonts w:cs="Times New Roman"/>
                <w:sz w:val="22"/>
                <w:szCs w:val="22"/>
              </w:rPr>
            </w:pPr>
            <w:r w:rsidRPr="00890284">
              <w:rPr>
                <w:rFonts w:cs="Times New Roman"/>
                <w:sz w:val="22"/>
                <w:szCs w:val="22"/>
              </w:rPr>
              <w:lastRenderedPageBreak/>
              <w:t xml:space="preserve">Zamawiający </w:t>
            </w:r>
            <w:r w:rsidRPr="00890284">
              <w:rPr>
                <w:rFonts w:cs="Times New Roman"/>
                <w:b/>
                <w:bCs/>
                <w:sz w:val="22"/>
                <w:szCs w:val="22"/>
              </w:rPr>
              <w:t>wyraża zgodę na wydłużenie czasu zaplanowanej kontroli w miejscu produkcji autobusów do 7 dni.</w:t>
            </w:r>
          </w:p>
        </w:tc>
      </w:tr>
      <w:tr w:rsidR="00890284" w:rsidRPr="00890284" w14:paraId="43E77081" w14:textId="77777777" w:rsidTr="00890284">
        <w:tc>
          <w:tcPr>
            <w:tcW w:w="993" w:type="dxa"/>
          </w:tcPr>
          <w:p w14:paraId="5BE7579B" w14:textId="496BFCF6" w:rsidR="00890284" w:rsidRPr="008575CF" w:rsidRDefault="00890284" w:rsidP="008575CF">
            <w:pPr>
              <w:jc w:val="center"/>
              <w:rPr>
                <w:rFonts w:cs="Times New Roman"/>
                <w:sz w:val="22"/>
                <w:szCs w:val="22"/>
              </w:rPr>
            </w:pPr>
            <w:r w:rsidRPr="008575CF">
              <w:rPr>
                <w:rFonts w:cs="Times New Roman"/>
                <w:sz w:val="22"/>
                <w:szCs w:val="22"/>
              </w:rPr>
              <w:t>3.</w:t>
            </w:r>
          </w:p>
        </w:tc>
        <w:tc>
          <w:tcPr>
            <w:tcW w:w="4678" w:type="dxa"/>
          </w:tcPr>
          <w:p w14:paraId="67996008" w14:textId="77777777" w:rsidR="00890284" w:rsidRPr="00890284" w:rsidRDefault="00890284" w:rsidP="008F7D1F">
            <w:pPr>
              <w:rPr>
                <w:rFonts w:cs="Times New Roman"/>
                <w:sz w:val="22"/>
                <w:szCs w:val="22"/>
              </w:rPr>
            </w:pPr>
            <w:r w:rsidRPr="00890284">
              <w:rPr>
                <w:rFonts w:cs="Times New Roman"/>
                <w:sz w:val="22"/>
                <w:szCs w:val="22"/>
              </w:rPr>
              <w:t xml:space="preserve">3. W załączniku nr 5 Opis przedmiotu zamówienia (1) w punkcie 6.1 </w:t>
            </w:r>
            <w:proofErr w:type="spellStart"/>
            <w:r w:rsidRPr="00890284">
              <w:rPr>
                <w:rFonts w:cs="Times New Roman"/>
                <w:sz w:val="22"/>
                <w:szCs w:val="22"/>
              </w:rPr>
              <w:t>ppkt</w:t>
            </w:r>
            <w:proofErr w:type="spellEnd"/>
            <w:r w:rsidRPr="00890284">
              <w:rPr>
                <w:rFonts w:cs="Times New Roman"/>
                <w:sz w:val="22"/>
                <w:szCs w:val="22"/>
              </w:rPr>
              <w:t xml:space="preserve">. 1 Ogólne zagospodarowanie wnętrza  Zamawiający umieścił następujący zapis: „Niska podłoga od przedniej krawędzi przednich drzwi do tylnej krawędzi drzwi środkowych z wszystkimi bezstopniowymi drzwiami.”. </w:t>
            </w:r>
          </w:p>
          <w:p w14:paraId="0205F55E" w14:textId="77777777" w:rsidR="00890284" w:rsidRPr="00890284" w:rsidRDefault="00890284" w:rsidP="008F7D1F">
            <w:pPr>
              <w:rPr>
                <w:rFonts w:cs="Times New Roman"/>
                <w:sz w:val="22"/>
                <w:szCs w:val="22"/>
              </w:rPr>
            </w:pPr>
          </w:p>
          <w:p w14:paraId="39A2BE30" w14:textId="77777777" w:rsidR="00890284" w:rsidRPr="00890284" w:rsidRDefault="00890284" w:rsidP="008F7D1F">
            <w:pPr>
              <w:rPr>
                <w:rFonts w:cs="Times New Roman"/>
                <w:sz w:val="22"/>
                <w:szCs w:val="22"/>
              </w:rPr>
            </w:pPr>
            <w:r w:rsidRPr="00890284">
              <w:rPr>
                <w:rFonts w:cs="Times New Roman"/>
                <w:sz w:val="22"/>
                <w:szCs w:val="22"/>
              </w:rPr>
              <w:t>Czy Zamawiający potwierdza spełnienie wymagań poprzez zaoferowanie rozwiązania polegającego na niskiej podłodze od przedniej krawędzi przednich drzwi do tylnej krawędzi drzwi środkowych z wszystkimi bezstopniowymi drzwiami, gdzie siedzenia pasażerskie zamontowane są na podestach? Opisane rozwiązanie jest rozwiązaniem komfortowym,  homologowanym i zapewniającym  pełne bezpieczeństwo pasażerów.</w:t>
            </w:r>
          </w:p>
        </w:tc>
        <w:tc>
          <w:tcPr>
            <w:tcW w:w="4678" w:type="dxa"/>
          </w:tcPr>
          <w:p w14:paraId="33670345" w14:textId="77777777" w:rsidR="00890284" w:rsidRPr="00890284" w:rsidRDefault="00890284" w:rsidP="008F7D1F">
            <w:pPr>
              <w:rPr>
                <w:rFonts w:cs="Times New Roman"/>
                <w:sz w:val="22"/>
                <w:szCs w:val="22"/>
              </w:rPr>
            </w:pPr>
            <w:r w:rsidRPr="00890284">
              <w:rPr>
                <w:rFonts w:cs="Times New Roman"/>
                <w:sz w:val="22"/>
                <w:szCs w:val="22"/>
              </w:rPr>
              <w:t>Zgodnie z opisem zaoferowany pojazd nie podlega wykluczeniu, jeżeli podłoga pojazdu umożliwiająca pasażerom przemieszczanie się we wnętrzu przestrzeni pasażerskiej jest poprowadzona od przedniej krawędzi przednich drzwi do tylnej krawędzi drzwi środkowych bez konieczności pokonywania jakichkolwiek stopni (oprócz wejścia do autobusu). Powierzchnia podłogi takiego autobusu powinna być poprowadzona na wysokości od 320 do 370 mm licząc od powierzchni drogi. Liczba miejsc dostępnych bezpośrednio z niskiej podłogi jest tylko elementem punktowanym, Zamawiający, oczekuje co prawda, aby co najmniej 4 miejsca były dostępne z niskiej podłogi, ale objął tym wymaganiem także siedzenia rozkładane, zamontowane np. w strefie mocowania wózka inwalidzkiego.</w:t>
            </w:r>
          </w:p>
          <w:p w14:paraId="11F531A8" w14:textId="77777777" w:rsidR="00890284" w:rsidRPr="00890284" w:rsidRDefault="00890284" w:rsidP="008F7D1F">
            <w:pPr>
              <w:rPr>
                <w:rFonts w:cs="Times New Roman"/>
                <w:sz w:val="22"/>
                <w:szCs w:val="22"/>
              </w:rPr>
            </w:pPr>
            <w:r w:rsidRPr="00890284">
              <w:rPr>
                <w:rFonts w:cs="Times New Roman"/>
                <w:sz w:val="22"/>
                <w:szCs w:val="22"/>
              </w:rPr>
              <w:t>Pragniemy przypomnieć, że Zamawiający, w ramach postępowania dopuszcza także autobusy wysokopodłogowe, wyposażone w windę. W takim przypadku, pojazd taki za liczbę miejsc siedzących dostępnych bezpośrednio z niskiej podłogi otrzyma 0 pkt.</w:t>
            </w:r>
          </w:p>
        </w:tc>
      </w:tr>
      <w:tr w:rsidR="00890284" w:rsidRPr="00890284" w14:paraId="367C8ADA" w14:textId="77777777" w:rsidTr="00890284">
        <w:tc>
          <w:tcPr>
            <w:tcW w:w="993" w:type="dxa"/>
          </w:tcPr>
          <w:p w14:paraId="20D3D6E9" w14:textId="3F964043" w:rsidR="00890284" w:rsidRPr="008575CF" w:rsidRDefault="00890284" w:rsidP="008575CF">
            <w:pPr>
              <w:jc w:val="center"/>
              <w:rPr>
                <w:rFonts w:cs="Times New Roman"/>
                <w:sz w:val="22"/>
                <w:szCs w:val="22"/>
              </w:rPr>
            </w:pPr>
            <w:r w:rsidRPr="008575CF">
              <w:rPr>
                <w:rFonts w:cs="Times New Roman"/>
                <w:sz w:val="22"/>
                <w:szCs w:val="22"/>
              </w:rPr>
              <w:t>4.</w:t>
            </w:r>
          </w:p>
        </w:tc>
        <w:tc>
          <w:tcPr>
            <w:tcW w:w="4678" w:type="dxa"/>
          </w:tcPr>
          <w:p w14:paraId="2BD847F7" w14:textId="77777777" w:rsidR="00890284" w:rsidRPr="00890284" w:rsidRDefault="00890284" w:rsidP="008F7D1F">
            <w:pPr>
              <w:rPr>
                <w:rFonts w:cs="Times New Roman"/>
                <w:sz w:val="22"/>
                <w:szCs w:val="22"/>
              </w:rPr>
            </w:pPr>
            <w:r w:rsidRPr="00890284">
              <w:rPr>
                <w:rFonts w:cs="Times New Roman"/>
                <w:sz w:val="22"/>
                <w:szCs w:val="22"/>
              </w:rPr>
              <w:t xml:space="preserve">4. W załączniku nr 4 Projektowane postanowienia umowy &amp;4 Gwarancja jakości pkt 3  Zamawiający umieścił następujący zapis: „Strony rozszerzają odpowiedzialność Wykonawcy z tytułu rękojmi w ten sposób, że czas trwania rękojmi oraz zakres uprawnień z tytułu rękojmi jest analogiczny, jak z tytułu udzielonej gwarancji należytej jakości, niezależnie od uprawnień przysługujących na podstawie kodeksu cywilnego.”. </w:t>
            </w:r>
          </w:p>
          <w:p w14:paraId="234D95B1" w14:textId="77777777" w:rsidR="00890284" w:rsidRPr="00890284" w:rsidRDefault="00890284" w:rsidP="008F7D1F">
            <w:pPr>
              <w:rPr>
                <w:rFonts w:cs="Times New Roman"/>
                <w:sz w:val="22"/>
                <w:szCs w:val="22"/>
              </w:rPr>
            </w:pPr>
          </w:p>
          <w:p w14:paraId="72745B4C" w14:textId="77777777" w:rsidR="00890284" w:rsidRPr="00890284" w:rsidRDefault="00890284" w:rsidP="008F7D1F">
            <w:pPr>
              <w:rPr>
                <w:rFonts w:cs="Times New Roman"/>
                <w:sz w:val="22"/>
                <w:szCs w:val="22"/>
              </w:rPr>
            </w:pPr>
            <w:r w:rsidRPr="00890284">
              <w:rPr>
                <w:rFonts w:cs="Times New Roman"/>
                <w:sz w:val="22"/>
                <w:szCs w:val="22"/>
              </w:rPr>
              <w:t>Czy Zamawiający wyrazi zgodę na dopuszczenie wydłużenia gwarancji na pojazd tylko w przypadku usterki faktycznie unieruchamiającej pojazd na co najmniej 2 dni robocze?</w:t>
            </w:r>
          </w:p>
        </w:tc>
        <w:tc>
          <w:tcPr>
            <w:tcW w:w="4678" w:type="dxa"/>
          </w:tcPr>
          <w:p w14:paraId="74DF750E" w14:textId="77777777" w:rsidR="00890284" w:rsidRPr="00890284" w:rsidRDefault="00890284" w:rsidP="008F7D1F">
            <w:pPr>
              <w:rPr>
                <w:rFonts w:cs="Times New Roman"/>
                <w:sz w:val="22"/>
                <w:szCs w:val="22"/>
              </w:rPr>
            </w:pPr>
            <w:r w:rsidRPr="00890284">
              <w:rPr>
                <w:rFonts w:cs="Times New Roman"/>
                <w:sz w:val="22"/>
                <w:szCs w:val="22"/>
              </w:rPr>
              <w:t xml:space="preserve">Zamawiający </w:t>
            </w:r>
            <w:r w:rsidRPr="00890284">
              <w:rPr>
                <w:rFonts w:cs="Times New Roman"/>
                <w:b/>
                <w:bCs/>
                <w:sz w:val="22"/>
                <w:szCs w:val="22"/>
              </w:rPr>
              <w:t>wyraża zgodę</w:t>
            </w:r>
            <w:r w:rsidRPr="00890284">
              <w:rPr>
                <w:rFonts w:cs="Times New Roman"/>
                <w:sz w:val="22"/>
                <w:szCs w:val="22"/>
              </w:rPr>
              <w:t xml:space="preserve"> na zapis, że </w:t>
            </w:r>
            <w:r w:rsidRPr="00890284">
              <w:rPr>
                <w:rFonts w:cs="Times New Roman"/>
                <w:b/>
                <w:bCs/>
                <w:sz w:val="22"/>
                <w:szCs w:val="22"/>
              </w:rPr>
              <w:t xml:space="preserve">gwarancja </w:t>
            </w:r>
            <w:proofErr w:type="spellStart"/>
            <w:r w:rsidRPr="00890284">
              <w:rPr>
                <w:rFonts w:cs="Times New Roman"/>
                <w:b/>
                <w:bCs/>
                <w:sz w:val="22"/>
                <w:szCs w:val="22"/>
              </w:rPr>
              <w:t>całopojazdowa</w:t>
            </w:r>
            <w:proofErr w:type="spellEnd"/>
            <w:r w:rsidRPr="00890284">
              <w:rPr>
                <w:rFonts w:cs="Times New Roman"/>
                <w:b/>
                <w:bCs/>
                <w:sz w:val="22"/>
                <w:szCs w:val="22"/>
              </w:rPr>
              <w:t xml:space="preserve"> ulega wydłużeniu o czas unieruchomienia pojazdu z powodu usterki, o ile postój spowodowany naprawą jest dłuższy niż 2 dni robocze</w:t>
            </w:r>
          </w:p>
        </w:tc>
      </w:tr>
      <w:tr w:rsidR="00890284" w:rsidRPr="00890284" w14:paraId="65797996" w14:textId="77777777" w:rsidTr="00890284">
        <w:tc>
          <w:tcPr>
            <w:tcW w:w="993" w:type="dxa"/>
          </w:tcPr>
          <w:p w14:paraId="62E7A981" w14:textId="73E799B2" w:rsidR="00890284" w:rsidRPr="008575CF" w:rsidRDefault="00890284" w:rsidP="008575CF">
            <w:pPr>
              <w:jc w:val="center"/>
              <w:rPr>
                <w:rFonts w:cs="Times New Roman"/>
                <w:sz w:val="22"/>
                <w:szCs w:val="22"/>
              </w:rPr>
            </w:pPr>
            <w:r w:rsidRPr="008575CF">
              <w:rPr>
                <w:rFonts w:cs="Times New Roman"/>
                <w:sz w:val="22"/>
                <w:szCs w:val="22"/>
              </w:rPr>
              <w:t>5.</w:t>
            </w:r>
          </w:p>
        </w:tc>
        <w:tc>
          <w:tcPr>
            <w:tcW w:w="4678" w:type="dxa"/>
          </w:tcPr>
          <w:p w14:paraId="641C0DA0" w14:textId="77777777" w:rsidR="00890284" w:rsidRPr="00890284" w:rsidRDefault="00890284" w:rsidP="008F7D1F">
            <w:pPr>
              <w:rPr>
                <w:rFonts w:cs="Times New Roman"/>
                <w:sz w:val="22"/>
                <w:szCs w:val="22"/>
              </w:rPr>
            </w:pPr>
            <w:r w:rsidRPr="00890284">
              <w:rPr>
                <w:rFonts w:cs="Times New Roman"/>
                <w:sz w:val="22"/>
                <w:szCs w:val="22"/>
              </w:rPr>
              <w:t xml:space="preserve">5. W załączniku nr 4 Projektowane postanowienia umowy § 5 Wyposażenie dodatkowe, dokumentacja i oprogramowanie (licencje) [Dostawa wyposażenia dodatkowego, dokumentacji i oprogramowania] pkt 1  Zamawiający umieścił następujący zapis: </w:t>
            </w:r>
            <w:r w:rsidRPr="00890284">
              <w:rPr>
                <w:rFonts w:cs="Times New Roman"/>
                <w:sz w:val="22"/>
                <w:szCs w:val="22"/>
              </w:rPr>
              <w:lastRenderedPageBreak/>
              <w:t xml:space="preserve">„Wykonawca dostarczy Zamawiającemu wyposażenie dodatkowe, dokumentację i oprogramowanie na warunkach i w zakresie określonym w Umowie wraz z załącznikami”. </w:t>
            </w:r>
          </w:p>
          <w:p w14:paraId="2343A159" w14:textId="77777777" w:rsidR="00890284" w:rsidRPr="00890284" w:rsidRDefault="00890284" w:rsidP="008F7D1F">
            <w:pPr>
              <w:rPr>
                <w:rFonts w:cs="Times New Roman"/>
                <w:sz w:val="22"/>
                <w:szCs w:val="22"/>
              </w:rPr>
            </w:pPr>
          </w:p>
          <w:p w14:paraId="74918E39" w14:textId="77777777" w:rsidR="00890284" w:rsidRPr="00890284" w:rsidRDefault="00890284" w:rsidP="008F7D1F">
            <w:pPr>
              <w:rPr>
                <w:rFonts w:cs="Times New Roman"/>
                <w:sz w:val="22"/>
                <w:szCs w:val="22"/>
              </w:rPr>
            </w:pPr>
            <w:r w:rsidRPr="00890284">
              <w:rPr>
                <w:rFonts w:cs="Times New Roman"/>
                <w:sz w:val="22"/>
                <w:szCs w:val="22"/>
              </w:rPr>
              <w:t>Czy Zamawiający dopuszcza zapewnienie dokumentacji technicznej na nośniku pamięci zamiast wersji on-line?</w:t>
            </w:r>
          </w:p>
        </w:tc>
        <w:tc>
          <w:tcPr>
            <w:tcW w:w="4678" w:type="dxa"/>
          </w:tcPr>
          <w:p w14:paraId="0F0A1812" w14:textId="77777777" w:rsidR="00890284" w:rsidRPr="00890284" w:rsidRDefault="00890284" w:rsidP="008F7D1F">
            <w:pPr>
              <w:rPr>
                <w:rFonts w:cs="Times New Roman"/>
                <w:sz w:val="22"/>
                <w:szCs w:val="22"/>
              </w:rPr>
            </w:pPr>
            <w:r w:rsidRPr="00890284">
              <w:rPr>
                <w:rFonts w:cs="Times New Roman"/>
                <w:sz w:val="22"/>
                <w:szCs w:val="22"/>
              </w:rPr>
              <w:lastRenderedPageBreak/>
              <w:t>Zamawiający</w:t>
            </w:r>
            <w:r w:rsidRPr="00890284">
              <w:rPr>
                <w:rFonts w:cs="Times New Roman"/>
                <w:b/>
                <w:bCs/>
                <w:sz w:val="22"/>
                <w:szCs w:val="22"/>
              </w:rPr>
              <w:t xml:space="preserve"> nie dopuszcza </w:t>
            </w:r>
            <w:r w:rsidRPr="00890284">
              <w:rPr>
                <w:rFonts w:cs="Times New Roman"/>
                <w:sz w:val="22"/>
                <w:szCs w:val="22"/>
              </w:rPr>
              <w:t>dostarczenia dokumentacji technicznej na zewnętrznym nośniku pamięci.</w:t>
            </w:r>
          </w:p>
        </w:tc>
      </w:tr>
      <w:tr w:rsidR="00890284" w:rsidRPr="00890284" w14:paraId="1968EBE4" w14:textId="77777777" w:rsidTr="00890284">
        <w:tc>
          <w:tcPr>
            <w:tcW w:w="993" w:type="dxa"/>
          </w:tcPr>
          <w:p w14:paraId="003A5A1F" w14:textId="1AF58CFE" w:rsidR="00890284" w:rsidRPr="008575CF" w:rsidRDefault="00236FFC" w:rsidP="008575CF">
            <w:pPr>
              <w:jc w:val="center"/>
              <w:rPr>
                <w:rFonts w:cs="Times New Roman"/>
                <w:sz w:val="22"/>
                <w:szCs w:val="22"/>
              </w:rPr>
            </w:pPr>
            <w:r w:rsidRPr="008575CF">
              <w:rPr>
                <w:rFonts w:cs="Times New Roman"/>
                <w:sz w:val="22"/>
                <w:szCs w:val="22"/>
              </w:rPr>
              <w:t>6</w:t>
            </w:r>
            <w:r w:rsidR="00890284" w:rsidRPr="008575CF">
              <w:rPr>
                <w:rFonts w:cs="Times New Roman"/>
                <w:sz w:val="22"/>
                <w:szCs w:val="22"/>
              </w:rPr>
              <w:t>.</w:t>
            </w:r>
          </w:p>
        </w:tc>
        <w:tc>
          <w:tcPr>
            <w:tcW w:w="4678" w:type="dxa"/>
          </w:tcPr>
          <w:p w14:paraId="0DA68B14" w14:textId="77777777" w:rsidR="00890284" w:rsidRPr="00890284" w:rsidRDefault="00890284" w:rsidP="008F7D1F">
            <w:pPr>
              <w:rPr>
                <w:rFonts w:cs="Times New Roman"/>
                <w:sz w:val="22"/>
                <w:szCs w:val="22"/>
              </w:rPr>
            </w:pPr>
            <w:r w:rsidRPr="00890284">
              <w:rPr>
                <w:rFonts w:cs="Times New Roman"/>
                <w:sz w:val="22"/>
                <w:szCs w:val="22"/>
              </w:rPr>
              <w:t xml:space="preserve">W załączniku nr 4 do umowy </w:t>
            </w:r>
            <w:proofErr w:type="spellStart"/>
            <w:r w:rsidRPr="00890284">
              <w:rPr>
                <w:rFonts w:cs="Times New Roman"/>
                <w:sz w:val="22"/>
                <w:szCs w:val="22"/>
              </w:rPr>
              <w:t>Ramowe_wymagania</w:t>
            </w:r>
            <w:proofErr w:type="spellEnd"/>
            <w:r w:rsidRPr="00890284">
              <w:rPr>
                <w:rFonts w:cs="Times New Roman"/>
                <w:sz w:val="22"/>
                <w:szCs w:val="22"/>
              </w:rPr>
              <w:t xml:space="preserve"> _</w:t>
            </w:r>
            <w:proofErr w:type="spellStart"/>
            <w:r w:rsidRPr="00890284">
              <w:rPr>
                <w:rFonts w:cs="Times New Roman"/>
                <w:sz w:val="22"/>
                <w:szCs w:val="22"/>
              </w:rPr>
              <w:t>dotyczące_gwarancji_oraz_serwisu</w:t>
            </w:r>
            <w:proofErr w:type="spellEnd"/>
            <w:r w:rsidRPr="00890284">
              <w:rPr>
                <w:rFonts w:cs="Times New Roman"/>
                <w:sz w:val="22"/>
                <w:szCs w:val="22"/>
              </w:rPr>
              <w:t xml:space="preserve"> </w:t>
            </w:r>
          </w:p>
          <w:p w14:paraId="49324200" w14:textId="77777777" w:rsidR="00890284" w:rsidRPr="00890284" w:rsidRDefault="00890284" w:rsidP="008F7D1F">
            <w:pPr>
              <w:rPr>
                <w:rFonts w:cs="Times New Roman"/>
                <w:sz w:val="22"/>
                <w:szCs w:val="22"/>
              </w:rPr>
            </w:pPr>
            <w:r w:rsidRPr="00890284">
              <w:rPr>
                <w:rFonts w:cs="Times New Roman"/>
                <w:sz w:val="22"/>
                <w:szCs w:val="22"/>
              </w:rPr>
              <w:t xml:space="preserve">I. Wymagania ogólne pkt 3. ) Zamawiający umieścił następujący zapis: „W przypadku stwierdzenia wystąpienia usterki, Zamawiający lub Operator wskazany przez niego, przekazuje zgłoszenie do Wykonawcy, wraz z informacją o lokalizacji pojazdu. Wykonawca niezwłocznie, nie później niż do 3 dni roboczych od dnia zgłoszenia przez Zamawiającego, odbiera pojazd z zajezdni Operatora, wskazanego przez Zamawiającego.“. </w:t>
            </w:r>
          </w:p>
          <w:p w14:paraId="281ADBA2" w14:textId="77777777" w:rsidR="00890284" w:rsidRPr="00890284" w:rsidRDefault="00890284" w:rsidP="008F7D1F">
            <w:pPr>
              <w:rPr>
                <w:rFonts w:cs="Times New Roman"/>
                <w:sz w:val="22"/>
                <w:szCs w:val="22"/>
              </w:rPr>
            </w:pPr>
            <w:r w:rsidRPr="00890284">
              <w:rPr>
                <w:rFonts w:cs="Times New Roman"/>
                <w:sz w:val="22"/>
                <w:szCs w:val="22"/>
              </w:rPr>
              <w:t>Czy Zamawiający zgodzi się, aby decyzja o przekierowywaniu napraw na Operatora (Zamawiającego), lub Wykonawcę było możliwe tak przez Operatora, jak i Wykonawcę?</w:t>
            </w:r>
          </w:p>
        </w:tc>
        <w:tc>
          <w:tcPr>
            <w:tcW w:w="4678" w:type="dxa"/>
          </w:tcPr>
          <w:p w14:paraId="2968A354" w14:textId="77777777" w:rsidR="00890284" w:rsidRPr="00890284" w:rsidRDefault="00890284" w:rsidP="008F7D1F">
            <w:pPr>
              <w:rPr>
                <w:rFonts w:cs="Times New Roman"/>
                <w:sz w:val="22"/>
                <w:szCs w:val="22"/>
              </w:rPr>
            </w:pPr>
            <w:r w:rsidRPr="00890284">
              <w:rPr>
                <w:rFonts w:cs="Times New Roman"/>
                <w:sz w:val="22"/>
                <w:szCs w:val="22"/>
              </w:rPr>
              <w:t>Procedura określenia miejsca wykonywania napraw gwarancyjnych zostanie dokładnie określona w umowie serwisowej. Zamawiający rozumie, że przed rozpoczęciem jakichkolwiek prac, Operator, wskazany przez Zamawiającego, musi zgłosić ten fakt, Wykonawcy, który ostatecznie podejmuje decyzję o miejscu jej wykonania.</w:t>
            </w:r>
          </w:p>
        </w:tc>
      </w:tr>
      <w:tr w:rsidR="00890284" w:rsidRPr="00890284" w14:paraId="59915678" w14:textId="77777777" w:rsidTr="00890284">
        <w:tc>
          <w:tcPr>
            <w:tcW w:w="993" w:type="dxa"/>
          </w:tcPr>
          <w:p w14:paraId="692E4099" w14:textId="74017225" w:rsidR="00890284" w:rsidRPr="008575CF" w:rsidRDefault="00236FFC" w:rsidP="008575CF">
            <w:pPr>
              <w:jc w:val="center"/>
              <w:rPr>
                <w:rFonts w:cs="Times New Roman"/>
                <w:sz w:val="22"/>
                <w:szCs w:val="22"/>
              </w:rPr>
            </w:pPr>
            <w:r w:rsidRPr="008575CF">
              <w:rPr>
                <w:rFonts w:cs="Times New Roman"/>
                <w:sz w:val="22"/>
                <w:szCs w:val="22"/>
              </w:rPr>
              <w:t>7.</w:t>
            </w:r>
          </w:p>
        </w:tc>
        <w:tc>
          <w:tcPr>
            <w:tcW w:w="4678" w:type="dxa"/>
          </w:tcPr>
          <w:p w14:paraId="2C3D6BA9" w14:textId="77777777" w:rsidR="00890284" w:rsidRPr="00890284" w:rsidRDefault="00890284" w:rsidP="008F7D1F">
            <w:pPr>
              <w:rPr>
                <w:rFonts w:cs="Times New Roman"/>
                <w:sz w:val="22"/>
                <w:szCs w:val="22"/>
              </w:rPr>
            </w:pPr>
            <w:r w:rsidRPr="00890284">
              <w:rPr>
                <w:rFonts w:cs="Times New Roman"/>
                <w:sz w:val="22"/>
                <w:szCs w:val="22"/>
              </w:rPr>
              <w:t xml:space="preserve">W załączniku nr 4 do umowy </w:t>
            </w:r>
            <w:proofErr w:type="spellStart"/>
            <w:r w:rsidRPr="00890284">
              <w:rPr>
                <w:rFonts w:cs="Times New Roman"/>
                <w:sz w:val="22"/>
                <w:szCs w:val="22"/>
              </w:rPr>
              <w:t>Ramowe_wymagania</w:t>
            </w:r>
            <w:proofErr w:type="spellEnd"/>
            <w:r w:rsidRPr="00890284">
              <w:rPr>
                <w:rFonts w:cs="Times New Roman"/>
                <w:sz w:val="22"/>
                <w:szCs w:val="22"/>
              </w:rPr>
              <w:t xml:space="preserve"> _</w:t>
            </w:r>
            <w:proofErr w:type="spellStart"/>
            <w:r w:rsidRPr="00890284">
              <w:rPr>
                <w:rFonts w:cs="Times New Roman"/>
                <w:sz w:val="22"/>
                <w:szCs w:val="22"/>
              </w:rPr>
              <w:t>dotyczące_gwarancji_oraz_serwisu</w:t>
            </w:r>
            <w:proofErr w:type="spellEnd"/>
            <w:r w:rsidRPr="00890284">
              <w:rPr>
                <w:rFonts w:cs="Times New Roman"/>
                <w:sz w:val="22"/>
                <w:szCs w:val="22"/>
              </w:rPr>
              <w:t xml:space="preserve"> </w:t>
            </w:r>
          </w:p>
          <w:p w14:paraId="4B57FF6C" w14:textId="77777777" w:rsidR="00890284" w:rsidRPr="00890284" w:rsidRDefault="00890284" w:rsidP="008F7D1F">
            <w:pPr>
              <w:rPr>
                <w:rFonts w:cs="Times New Roman"/>
                <w:sz w:val="22"/>
                <w:szCs w:val="22"/>
              </w:rPr>
            </w:pPr>
            <w:r w:rsidRPr="00890284">
              <w:rPr>
                <w:rFonts w:cs="Times New Roman"/>
                <w:sz w:val="22"/>
                <w:szCs w:val="22"/>
              </w:rPr>
              <w:t xml:space="preserve">II. Gwarancja pkt 8 </w:t>
            </w:r>
          </w:p>
          <w:p w14:paraId="09EEA196" w14:textId="77777777" w:rsidR="00890284" w:rsidRPr="00890284" w:rsidRDefault="00890284" w:rsidP="008F7D1F">
            <w:pPr>
              <w:rPr>
                <w:rFonts w:cs="Times New Roman"/>
                <w:sz w:val="22"/>
                <w:szCs w:val="22"/>
              </w:rPr>
            </w:pPr>
            <w:r w:rsidRPr="00890284">
              <w:rPr>
                <w:rFonts w:cs="Times New Roman"/>
                <w:sz w:val="22"/>
                <w:szCs w:val="22"/>
              </w:rPr>
              <w:t>Zamawiający umieścił następujący zapis: „Jeżeli w czasie obowiązywania gwarancji lub rękojmi w Autobusach wystąpi wada o charakterze masowym wykluczająca Autobusy z ruchu, Wykonawca jest zobowiązany do rozpoczęcia akcji serwisowej (usunięcia wady) w stosunku do każdego autobusu, w czasie nie dłuższym niż 48 godzin od powiadomienia go przez Zamawiającego, a zakończenie akcji serwisowej (usunięcie wady) winno nastąpić do 30 dni kalendarzowych od daty zgłoszenia. W przypadku wady masowej niemającej wpływu na eksploatację pojazdu akcję serwisową należy wykonać do 3 miesięcy od daty zgłoszenia wady masowej. Za zgodą Zamawiającego termin ten może ulec wydłużeniu.”. Ze względu na obecna sytuację gospodarczą gospodarek światowych wywołanych działaniami wojennymi Rosji wobec Ukrainy oraz wydłużonymi terminami dostaw części od poddostawców prosimy, aby Zamawiający wyraził zgodę na poniższe pytania:</w:t>
            </w:r>
          </w:p>
          <w:p w14:paraId="22B9B8AF" w14:textId="77777777" w:rsidR="00890284" w:rsidRPr="00890284" w:rsidRDefault="00890284" w:rsidP="008F7D1F">
            <w:pPr>
              <w:rPr>
                <w:rFonts w:cs="Times New Roman"/>
                <w:sz w:val="22"/>
                <w:szCs w:val="22"/>
              </w:rPr>
            </w:pPr>
            <w:r w:rsidRPr="00890284">
              <w:rPr>
                <w:rFonts w:cs="Times New Roman"/>
                <w:sz w:val="22"/>
                <w:szCs w:val="22"/>
              </w:rPr>
              <w:t xml:space="preserve">Pytanie 2.1: Czy Zamawiający wyraża zgodę na </w:t>
            </w:r>
            <w:r w:rsidRPr="00890284">
              <w:rPr>
                <w:rFonts w:cs="Times New Roman"/>
                <w:sz w:val="22"/>
                <w:szCs w:val="22"/>
              </w:rPr>
              <w:lastRenderedPageBreak/>
              <w:t>wykonywanie napraw przez serwis Wykonawcy na terenie Operatora?</w:t>
            </w:r>
          </w:p>
          <w:p w14:paraId="49EEC619" w14:textId="77777777" w:rsidR="00890284" w:rsidRPr="00890284" w:rsidRDefault="00890284" w:rsidP="008F7D1F">
            <w:pPr>
              <w:rPr>
                <w:rFonts w:cs="Times New Roman"/>
                <w:sz w:val="22"/>
                <w:szCs w:val="22"/>
              </w:rPr>
            </w:pPr>
            <w:r w:rsidRPr="00890284">
              <w:rPr>
                <w:rFonts w:cs="Times New Roman"/>
                <w:sz w:val="22"/>
                <w:szCs w:val="22"/>
              </w:rPr>
              <w:t>Pytanie 2.2: Czy Zamawiający zgodzi się na usunięcie z pozycji usterek masowych elementów eksploatacyjnych m.in. elementy zawieszenia pojazdu, amortyzatory, poduszki pneumatyczne, drążki kierownicze, drążki reakcyjne, sworznie zawieszenia, poduszki układu napędowego, w tym silnika i skrzyni biegów.</w:t>
            </w:r>
          </w:p>
        </w:tc>
        <w:tc>
          <w:tcPr>
            <w:tcW w:w="4678" w:type="dxa"/>
          </w:tcPr>
          <w:p w14:paraId="68329395" w14:textId="77777777" w:rsidR="00890284" w:rsidRPr="00890284" w:rsidRDefault="00890284" w:rsidP="008F7D1F">
            <w:pPr>
              <w:rPr>
                <w:rFonts w:cs="Times New Roman"/>
                <w:b/>
                <w:bCs/>
                <w:sz w:val="22"/>
                <w:szCs w:val="22"/>
              </w:rPr>
            </w:pPr>
            <w:r w:rsidRPr="00890284">
              <w:rPr>
                <w:rFonts w:cs="Times New Roman"/>
                <w:sz w:val="22"/>
                <w:szCs w:val="22"/>
              </w:rPr>
              <w:lastRenderedPageBreak/>
              <w:t xml:space="preserve">2.1. Zamawiający </w:t>
            </w:r>
            <w:r w:rsidRPr="00890284">
              <w:rPr>
                <w:rFonts w:cs="Times New Roman"/>
                <w:b/>
                <w:bCs/>
                <w:sz w:val="22"/>
                <w:szCs w:val="22"/>
              </w:rPr>
              <w:t xml:space="preserve">wyraża zgodę </w:t>
            </w:r>
            <w:r w:rsidRPr="00890284">
              <w:rPr>
                <w:rFonts w:cs="Times New Roman"/>
                <w:sz w:val="22"/>
                <w:szCs w:val="22"/>
              </w:rPr>
              <w:t xml:space="preserve">na wykonywanie napraw, mających na celu usunięcie wad masowych przez serwis Wykonawcy na terenie Operatora, wskazanego przez Zamawiającego, </w:t>
            </w:r>
            <w:r w:rsidRPr="00890284">
              <w:rPr>
                <w:rFonts w:cs="Times New Roman"/>
                <w:b/>
                <w:bCs/>
                <w:sz w:val="22"/>
                <w:szCs w:val="22"/>
              </w:rPr>
              <w:t>po wcześniejszym ustaleniu harmonogramu ich prowadzenia.</w:t>
            </w:r>
          </w:p>
          <w:p w14:paraId="7754A78C" w14:textId="77777777" w:rsidR="00890284" w:rsidRPr="00890284" w:rsidRDefault="00890284" w:rsidP="008F7D1F">
            <w:pPr>
              <w:rPr>
                <w:rFonts w:cs="Times New Roman"/>
                <w:sz w:val="22"/>
                <w:szCs w:val="22"/>
              </w:rPr>
            </w:pPr>
            <w:r w:rsidRPr="00890284">
              <w:rPr>
                <w:rFonts w:cs="Times New Roman"/>
                <w:sz w:val="22"/>
                <w:szCs w:val="22"/>
              </w:rPr>
              <w:t>2.2. Zamawiający</w:t>
            </w:r>
            <w:r w:rsidRPr="00890284">
              <w:rPr>
                <w:rFonts w:cs="Times New Roman"/>
                <w:b/>
                <w:bCs/>
                <w:sz w:val="22"/>
                <w:szCs w:val="22"/>
              </w:rPr>
              <w:t xml:space="preserve"> nie wyraża zgody</w:t>
            </w:r>
            <w:r w:rsidRPr="00890284">
              <w:rPr>
                <w:rFonts w:cs="Times New Roman"/>
                <w:sz w:val="22"/>
                <w:szCs w:val="22"/>
              </w:rPr>
              <w:t>, aby usterki masowe nie obejmowały części układu zawieszenie i układu kierowniczego, a także poduszek zawieszenia silnika i skrzyni biegów.</w:t>
            </w:r>
          </w:p>
          <w:p w14:paraId="05AC9FB2" w14:textId="77777777" w:rsidR="00890284" w:rsidRPr="00890284" w:rsidRDefault="00890284" w:rsidP="008F7D1F">
            <w:pPr>
              <w:rPr>
                <w:rFonts w:cs="Times New Roman"/>
                <w:sz w:val="22"/>
                <w:szCs w:val="22"/>
              </w:rPr>
            </w:pPr>
          </w:p>
        </w:tc>
      </w:tr>
      <w:tr w:rsidR="00890284" w:rsidRPr="00890284" w14:paraId="275675DC" w14:textId="77777777" w:rsidTr="00890284">
        <w:tc>
          <w:tcPr>
            <w:tcW w:w="993" w:type="dxa"/>
          </w:tcPr>
          <w:p w14:paraId="37AF2C76" w14:textId="25C01446" w:rsidR="00890284" w:rsidRPr="008575CF" w:rsidRDefault="003526FE" w:rsidP="008575CF">
            <w:pPr>
              <w:jc w:val="center"/>
              <w:rPr>
                <w:rFonts w:cs="Times New Roman"/>
                <w:sz w:val="22"/>
                <w:szCs w:val="22"/>
              </w:rPr>
            </w:pPr>
            <w:r w:rsidRPr="008575CF">
              <w:rPr>
                <w:rFonts w:cs="Times New Roman"/>
                <w:sz w:val="22"/>
                <w:szCs w:val="22"/>
              </w:rPr>
              <w:t>8</w:t>
            </w:r>
            <w:r w:rsidR="00890284" w:rsidRPr="008575CF">
              <w:rPr>
                <w:rFonts w:cs="Times New Roman"/>
                <w:sz w:val="22"/>
                <w:szCs w:val="22"/>
              </w:rPr>
              <w:t>.</w:t>
            </w:r>
          </w:p>
        </w:tc>
        <w:tc>
          <w:tcPr>
            <w:tcW w:w="4678" w:type="dxa"/>
          </w:tcPr>
          <w:p w14:paraId="5693C184" w14:textId="77777777" w:rsidR="00890284" w:rsidRPr="00890284" w:rsidRDefault="00890284" w:rsidP="008F7D1F">
            <w:pPr>
              <w:rPr>
                <w:rFonts w:cs="Times New Roman"/>
                <w:sz w:val="22"/>
                <w:szCs w:val="22"/>
              </w:rPr>
            </w:pPr>
            <w:r w:rsidRPr="00890284">
              <w:rPr>
                <w:rFonts w:cs="Times New Roman"/>
                <w:sz w:val="22"/>
                <w:szCs w:val="22"/>
              </w:rPr>
              <w:t>W związku z udzielonymi przez Zamawiającego odpowiedziami z dnia 29.03.2023 oraz ze zmianą terminu składania ofert, wnosimy aby wydłużeniu o 30 dni uległy również terminy rozpoczęcia dostaw (Dr) ujęte w kryterium D oceny ofert.</w:t>
            </w:r>
          </w:p>
        </w:tc>
        <w:tc>
          <w:tcPr>
            <w:tcW w:w="4678" w:type="dxa"/>
          </w:tcPr>
          <w:p w14:paraId="7D73D1AC" w14:textId="77777777" w:rsidR="00890284" w:rsidRPr="00890284" w:rsidRDefault="00890284" w:rsidP="008F7D1F">
            <w:pPr>
              <w:rPr>
                <w:rFonts w:cs="Times New Roman"/>
                <w:sz w:val="22"/>
                <w:szCs w:val="22"/>
              </w:rPr>
            </w:pPr>
            <w:r w:rsidRPr="00890284">
              <w:rPr>
                <w:rFonts w:cs="Times New Roman"/>
                <w:sz w:val="22"/>
                <w:szCs w:val="22"/>
              </w:rPr>
              <w:t xml:space="preserve">Ocena przyspieszenia dostaw wynika z faktu dostępności środków finansowych przez Zamawiającego (projekt finansowany w ramach Polskiego Ładu). W związku z powyższym </w:t>
            </w:r>
            <w:r w:rsidRPr="00890284">
              <w:rPr>
                <w:rFonts w:cs="Times New Roman"/>
                <w:b/>
                <w:bCs/>
                <w:sz w:val="22"/>
                <w:szCs w:val="22"/>
              </w:rPr>
              <w:t>Zamawiający nie przewiduje zmian w zakresie oceny ofert</w:t>
            </w:r>
            <w:r w:rsidRPr="00890284">
              <w:rPr>
                <w:rFonts w:cs="Times New Roman"/>
                <w:sz w:val="22"/>
                <w:szCs w:val="22"/>
              </w:rPr>
              <w:t>, w związku z przedłużeniem terminu ich składania.</w:t>
            </w:r>
          </w:p>
        </w:tc>
      </w:tr>
      <w:tr w:rsidR="00890284" w:rsidRPr="00890284" w14:paraId="425AE12D" w14:textId="77777777" w:rsidTr="00890284">
        <w:tc>
          <w:tcPr>
            <w:tcW w:w="993" w:type="dxa"/>
          </w:tcPr>
          <w:p w14:paraId="3AF44067" w14:textId="31857035" w:rsidR="00890284" w:rsidRPr="008575CF" w:rsidRDefault="003526FE" w:rsidP="008575CF">
            <w:pPr>
              <w:jc w:val="center"/>
              <w:rPr>
                <w:rFonts w:cs="Times New Roman"/>
                <w:sz w:val="22"/>
                <w:szCs w:val="22"/>
              </w:rPr>
            </w:pPr>
            <w:r w:rsidRPr="008575CF">
              <w:rPr>
                <w:rFonts w:cs="Times New Roman"/>
                <w:sz w:val="22"/>
                <w:szCs w:val="22"/>
              </w:rPr>
              <w:t>9</w:t>
            </w:r>
            <w:r w:rsidR="00890284" w:rsidRPr="008575CF">
              <w:rPr>
                <w:rFonts w:cs="Times New Roman"/>
                <w:sz w:val="22"/>
                <w:szCs w:val="22"/>
              </w:rPr>
              <w:t>.</w:t>
            </w:r>
          </w:p>
        </w:tc>
        <w:tc>
          <w:tcPr>
            <w:tcW w:w="4678" w:type="dxa"/>
          </w:tcPr>
          <w:p w14:paraId="0960A773" w14:textId="77777777" w:rsidR="00890284" w:rsidRPr="00890284" w:rsidRDefault="00890284" w:rsidP="008F7D1F">
            <w:pPr>
              <w:rPr>
                <w:rFonts w:cs="Times New Roman"/>
                <w:sz w:val="22"/>
                <w:szCs w:val="22"/>
              </w:rPr>
            </w:pPr>
            <w:r w:rsidRPr="00890284">
              <w:rPr>
                <w:rFonts w:cs="Times New Roman"/>
                <w:sz w:val="22"/>
                <w:szCs w:val="22"/>
              </w:rPr>
              <w:t xml:space="preserve">W załączniku nr 4 do umowy </w:t>
            </w:r>
            <w:proofErr w:type="spellStart"/>
            <w:r w:rsidRPr="00890284">
              <w:rPr>
                <w:rFonts w:cs="Times New Roman"/>
                <w:sz w:val="22"/>
                <w:szCs w:val="22"/>
              </w:rPr>
              <w:t>Ramowe_wymagania</w:t>
            </w:r>
            <w:proofErr w:type="spellEnd"/>
            <w:r w:rsidRPr="00890284">
              <w:rPr>
                <w:rFonts w:cs="Times New Roman"/>
                <w:sz w:val="22"/>
                <w:szCs w:val="22"/>
              </w:rPr>
              <w:t xml:space="preserve"> _</w:t>
            </w:r>
            <w:proofErr w:type="spellStart"/>
            <w:r w:rsidRPr="00890284">
              <w:rPr>
                <w:rFonts w:cs="Times New Roman"/>
                <w:sz w:val="22"/>
                <w:szCs w:val="22"/>
              </w:rPr>
              <w:t>dotyczące_gwarancji_oraz_serwisu</w:t>
            </w:r>
            <w:proofErr w:type="spellEnd"/>
            <w:r w:rsidRPr="00890284">
              <w:rPr>
                <w:rFonts w:cs="Times New Roman"/>
                <w:sz w:val="22"/>
                <w:szCs w:val="22"/>
              </w:rPr>
              <w:t xml:space="preserve"> </w:t>
            </w:r>
          </w:p>
          <w:p w14:paraId="5C04A63D" w14:textId="77777777" w:rsidR="00890284" w:rsidRPr="00890284" w:rsidRDefault="00890284" w:rsidP="00890284">
            <w:pPr>
              <w:pStyle w:val="Akapitzlist"/>
              <w:numPr>
                <w:ilvl w:val="0"/>
                <w:numId w:val="1"/>
              </w:numPr>
              <w:spacing w:after="0" w:line="240" w:lineRule="auto"/>
              <w:ind w:left="315" w:hanging="284"/>
              <w:rPr>
                <w:rFonts w:ascii="Times New Roman" w:hAnsi="Times New Roman" w:cs="Times New Roman"/>
              </w:rPr>
            </w:pPr>
            <w:r w:rsidRPr="00890284">
              <w:rPr>
                <w:rFonts w:ascii="Times New Roman" w:hAnsi="Times New Roman" w:cs="Times New Roman"/>
              </w:rPr>
              <w:t>Wymagania ogólne pkt 2.</w:t>
            </w:r>
          </w:p>
          <w:p w14:paraId="396A6C98" w14:textId="77777777" w:rsidR="00890284" w:rsidRPr="00890284" w:rsidRDefault="00890284" w:rsidP="008F7D1F">
            <w:pPr>
              <w:rPr>
                <w:rFonts w:cs="Times New Roman"/>
                <w:sz w:val="22"/>
                <w:szCs w:val="22"/>
              </w:rPr>
            </w:pPr>
            <w:r w:rsidRPr="00890284">
              <w:rPr>
                <w:rFonts w:cs="Times New Roman"/>
                <w:sz w:val="22"/>
                <w:szCs w:val="22"/>
              </w:rPr>
              <w:t xml:space="preserve">Zamawiający umieścił następujący zapis: „Usunięcie wady oraz dokonywanie obowiązkowych według instrukcji serwisowej pojazdu przeglądów i prac konserwacyjnych będzie wykonywane przez autoryzowane służby serwisowe Wykonawcy lub warsztat ASO wybrany przez Wykonawcę lub poprzez pracowników Operatora wskazanego przez Zamawiającego na podstawie udzielonej autoryzacji wewnętrznej na planowe przeglądy i naprawy“. </w:t>
            </w:r>
          </w:p>
          <w:p w14:paraId="42D4D56A" w14:textId="77777777" w:rsidR="00890284" w:rsidRPr="00890284" w:rsidRDefault="00890284" w:rsidP="008F7D1F">
            <w:pPr>
              <w:rPr>
                <w:rFonts w:cs="Times New Roman"/>
                <w:sz w:val="22"/>
                <w:szCs w:val="22"/>
              </w:rPr>
            </w:pPr>
          </w:p>
          <w:p w14:paraId="7A0C274F" w14:textId="77777777" w:rsidR="00890284" w:rsidRPr="00890284" w:rsidRDefault="00890284" w:rsidP="008F7D1F">
            <w:pPr>
              <w:rPr>
                <w:rFonts w:cs="Times New Roman"/>
                <w:b/>
                <w:bCs/>
                <w:sz w:val="22"/>
                <w:szCs w:val="22"/>
              </w:rPr>
            </w:pPr>
            <w:r w:rsidRPr="00890284">
              <w:rPr>
                <w:rFonts w:cs="Times New Roman"/>
                <w:b/>
                <w:bCs/>
                <w:sz w:val="22"/>
                <w:szCs w:val="22"/>
              </w:rPr>
              <w:t xml:space="preserve">Czy Zamawiający Czy w ramach udzielonej autoryzacji Zamawiający zobowiązuje się do wykonania przeglądów gwarancyjnych na własny koszt? </w:t>
            </w:r>
          </w:p>
        </w:tc>
        <w:tc>
          <w:tcPr>
            <w:tcW w:w="4678" w:type="dxa"/>
          </w:tcPr>
          <w:p w14:paraId="3F4CFFCE" w14:textId="77777777" w:rsidR="00890284" w:rsidRPr="00890284" w:rsidRDefault="00890284" w:rsidP="008F7D1F">
            <w:pPr>
              <w:rPr>
                <w:rFonts w:cs="Times New Roman"/>
                <w:sz w:val="22"/>
                <w:szCs w:val="22"/>
              </w:rPr>
            </w:pPr>
            <w:r w:rsidRPr="00890284">
              <w:rPr>
                <w:rFonts w:cs="Times New Roman"/>
                <w:sz w:val="22"/>
                <w:szCs w:val="22"/>
              </w:rPr>
              <w:t>W rozumieniu Zamawiającego, wszelkie naprawy i przeglądy gwarancyjne, poza wymianą płynów eksploatacyjnych i części nie objętych gwarancją, wykonywane są zawsze na koszt Wykonawcy. Propozycja udzielenia autoryzacji wewnętrznej na dokonywanie planowych napraw i obsług przez Operatora, wskazanego przez Zamawiającego miała na celu przede wszystkim skrócenie czasu wykonywania przeglądów. Ostateczne decyzje dotyczące miejsca wykonywania przeglądów, zależne będą od jednostkowych kosztów robocizny czynności obsługowo-naprawczych i kosztów dojazdu do serwisu.</w:t>
            </w:r>
          </w:p>
        </w:tc>
      </w:tr>
      <w:tr w:rsidR="00890284" w:rsidRPr="00890284" w14:paraId="46FB537C" w14:textId="77777777" w:rsidTr="00890284">
        <w:tc>
          <w:tcPr>
            <w:tcW w:w="993" w:type="dxa"/>
          </w:tcPr>
          <w:p w14:paraId="337D6153" w14:textId="2405A9B1" w:rsidR="00890284" w:rsidRPr="008575CF" w:rsidRDefault="00890284" w:rsidP="008575CF">
            <w:pPr>
              <w:jc w:val="center"/>
              <w:rPr>
                <w:rFonts w:cs="Times New Roman"/>
                <w:sz w:val="22"/>
                <w:szCs w:val="22"/>
              </w:rPr>
            </w:pPr>
            <w:r w:rsidRPr="008575CF">
              <w:rPr>
                <w:rFonts w:cs="Times New Roman"/>
                <w:sz w:val="22"/>
                <w:szCs w:val="22"/>
              </w:rPr>
              <w:t>1</w:t>
            </w:r>
            <w:r w:rsidR="003526FE" w:rsidRPr="008575CF">
              <w:rPr>
                <w:rFonts w:cs="Times New Roman"/>
                <w:sz w:val="22"/>
                <w:szCs w:val="22"/>
              </w:rPr>
              <w:t>0</w:t>
            </w:r>
            <w:r w:rsidRPr="008575CF">
              <w:rPr>
                <w:rFonts w:cs="Times New Roman"/>
                <w:sz w:val="22"/>
                <w:szCs w:val="22"/>
              </w:rPr>
              <w:t>.</w:t>
            </w:r>
          </w:p>
        </w:tc>
        <w:tc>
          <w:tcPr>
            <w:tcW w:w="4678" w:type="dxa"/>
          </w:tcPr>
          <w:p w14:paraId="70A54328" w14:textId="77777777" w:rsidR="00890284" w:rsidRPr="00890284" w:rsidRDefault="00890284" w:rsidP="008F7D1F">
            <w:pPr>
              <w:rPr>
                <w:rFonts w:cs="Times New Roman"/>
                <w:sz w:val="22"/>
                <w:szCs w:val="22"/>
              </w:rPr>
            </w:pPr>
            <w:r w:rsidRPr="00890284">
              <w:rPr>
                <w:rFonts w:cs="Times New Roman"/>
                <w:sz w:val="22"/>
                <w:szCs w:val="22"/>
              </w:rPr>
              <w:t xml:space="preserve">2. W załączniku nr 4 do umowy </w:t>
            </w:r>
            <w:proofErr w:type="spellStart"/>
            <w:r w:rsidRPr="00890284">
              <w:rPr>
                <w:rFonts w:cs="Times New Roman"/>
                <w:sz w:val="22"/>
                <w:szCs w:val="22"/>
              </w:rPr>
              <w:t>Ramowe_wymagania</w:t>
            </w:r>
            <w:proofErr w:type="spellEnd"/>
            <w:r w:rsidRPr="00890284">
              <w:rPr>
                <w:rFonts w:cs="Times New Roman"/>
                <w:sz w:val="22"/>
                <w:szCs w:val="22"/>
              </w:rPr>
              <w:t xml:space="preserve"> _</w:t>
            </w:r>
            <w:proofErr w:type="spellStart"/>
            <w:r w:rsidRPr="00890284">
              <w:rPr>
                <w:rFonts w:cs="Times New Roman"/>
                <w:sz w:val="22"/>
                <w:szCs w:val="22"/>
              </w:rPr>
              <w:t>dotyczące_gwarancji_oraz_serwisu</w:t>
            </w:r>
            <w:proofErr w:type="spellEnd"/>
            <w:r w:rsidRPr="00890284">
              <w:rPr>
                <w:rFonts w:cs="Times New Roman"/>
                <w:sz w:val="22"/>
                <w:szCs w:val="22"/>
              </w:rPr>
              <w:t xml:space="preserve"> </w:t>
            </w:r>
          </w:p>
          <w:p w14:paraId="0F0E3F42" w14:textId="77777777" w:rsidR="00890284" w:rsidRPr="00890284" w:rsidRDefault="00890284" w:rsidP="008F7D1F">
            <w:pPr>
              <w:rPr>
                <w:rFonts w:cs="Times New Roman"/>
                <w:sz w:val="22"/>
                <w:szCs w:val="22"/>
              </w:rPr>
            </w:pPr>
            <w:r w:rsidRPr="00890284">
              <w:rPr>
                <w:rFonts w:cs="Times New Roman"/>
                <w:sz w:val="22"/>
                <w:szCs w:val="22"/>
              </w:rPr>
              <w:t xml:space="preserve">Gwarancja II.pkt.11 </w:t>
            </w:r>
            <w:proofErr w:type="spellStart"/>
            <w:r w:rsidRPr="00890284">
              <w:rPr>
                <w:rFonts w:cs="Times New Roman"/>
                <w:sz w:val="22"/>
                <w:szCs w:val="22"/>
              </w:rPr>
              <w:t>ppkt.g</w:t>
            </w:r>
            <w:proofErr w:type="spellEnd"/>
            <w:r w:rsidRPr="00890284">
              <w:rPr>
                <w:rFonts w:cs="Times New Roman"/>
                <w:sz w:val="22"/>
                <w:szCs w:val="22"/>
              </w:rPr>
              <w:t xml:space="preserve"> Zamawiający umieścił następujący zapis: „Z gwarancji jakości wyłączone mogą być jedynie niżej wymienione części, które podczas eksploatacji autobusów zgodnie z ich przeznaczeniem, w warunkach zgodnych z instrukcją obsługi, ulegają normalnemu zużyciu. Za normalne uznaje się zużycie po uzyskaniu przebiegu lub czasu eksploatacji podanego odpowiednio poniżej:</w:t>
            </w:r>
          </w:p>
          <w:p w14:paraId="309D85D8" w14:textId="77777777" w:rsidR="00890284" w:rsidRPr="00890284" w:rsidRDefault="00890284" w:rsidP="008F7D1F">
            <w:pPr>
              <w:ind w:left="315" w:hanging="315"/>
              <w:rPr>
                <w:rFonts w:cs="Times New Roman"/>
                <w:sz w:val="22"/>
                <w:szCs w:val="22"/>
              </w:rPr>
            </w:pPr>
            <w:r w:rsidRPr="00890284">
              <w:rPr>
                <w:rFonts w:cs="Times New Roman"/>
                <w:sz w:val="22"/>
                <w:szCs w:val="22"/>
              </w:rPr>
              <w:t>a.</w:t>
            </w:r>
            <w:r w:rsidRPr="00890284">
              <w:rPr>
                <w:rFonts w:cs="Times New Roman"/>
                <w:sz w:val="22"/>
                <w:szCs w:val="22"/>
              </w:rPr>
              <w:tab/>
              <w:t>bezpieczniki (bez limitu),</w:t>
            </w:r>
          </w:p>
          <w:p w14:paraId="26247228" w14:textId="77777777" w:rsidR="00890284" w:rsidRPr="00890284" w:rsidRDefault="00890284" w:rsidP="008F7D1F">
            <w:pPr>
              <w:ind w:left="315" w:hanging="315"/>
              <w:rPr>
                <w:rFonts w:cs="Times New Roman"/>
                <w:sz w:val="22"/>
                <w:szCs w:val="22"/>
              </w:rPr>
            </w:pPr>
            <w:r w:rsidRPr="00890284">
              <w:rPr>
                <w:rFonts w:cs="Times New Roman"/>
                <w:sz w:val="22"/>
                <w:szCs w:val="22"/>
              </w:rPr>
              <w:t>b.</w:t>
            </w:r>
            <w:r w:rsidRPr="00890284">
              <w:rPr>
                <w:rFonts w:cs="Times New Roman"/>
                <w:sz w:val="22"/>
                <w:szCs w:val="22"/>
              </w:rPr>
              <w:tab/>
              <w:t>żarówki, z wyłączeniem LED (bez limitu),</w:t>
            </w:r>
          </w:p>
          <w:p w14:paraId="5F3C3555" w14:textId="77777777" w:rsidR="00890284" w:rsidRPr="00890284" w:rsidRDefault="00890284" w:rsidP="008F7D1F">
            <w:pPr>
              <w:ind w:left="315" w:hanging="315"/>
              <w:rPr>
                <w:rFonts w:cs="Times New Roman"/>
                <w:sz w:val="22"/>
                <w:szCs w:val="22"/>
              </w:rPr>
            </w:pPr>
            <w:r w:rsidRPr="00890284">
              <w:rPr>
                <w:rFonts w:cs="Times New Roman"/>
                <w:sz w:val="22"/>
                <w:szCs w:val="22"/>
              </w:rPr>
              <w:t>c.</w:t>
            </w:r>
            <w:r w:rsidRPr="00890284">
              <w:rPr>
                <w:rFonts w:cs="Times New Roman"/>
                <w:sz w:val="22"/>
                <w:szCs w:val="22"/>
              </w:rPr>
              <w:tab/>
              <w:t>paski klinowe (nie mniej niż 60 000 km),</w:t>
            </w:r>
          </w:p>
          <w:p w14:paraId="23D6DEB0" w14:textId="77777777" w:rsidR="00890284" w:rsidRPr="00890284" w:rsidRDefault="00890284" w:rsidP="008F7D1F">
            <w:pPr>
              <w:ind w:left="315" w:hanging="315"/>
              <w:rPr>
                <w:rFonts w:cs="Times New Roman"/>
                <w:sz w:val="22"/>
                <w:szCs w:val="22"/>
              </w:rPr>
            </w:pPr>
            <w:r w:rsidRPr="00890284">
              <w:rPr>
                <w:rFonts w:cs="Times New Roman"/>
                <w:sz w:val="22"/>
                <w:szCs w:val="22"/>
              </w:rPr>
              <w:lastRenderedPageBreak/>
              <w:t>d.</w:t>
            </w:r>
            <w:r w:rsidRPr="00890284">
              <w:rPr>
                <w:rFonts w:cs="Times New Roman"/>
                <w:sz w:val="22"/>
                <w:szCs w:val="22"/>
              </w:rPr>
              <w:tab/>
              <w:t>klocki, okładziny hamulcowe (nie mniej niż 60 000 km),</w:t>
            </w:r>
          </w:p>
          <w:p w14:paraId="0529D37E" w14:textId="77777777" w:rsidR="00890284" w:rsidRPr="00890284" w:rsidRDefault="00890284" w:rsidP="008F7D1F">
            <w:pPr>
              <w:ind w:left="315" w:hanging="315"/>
              <w:rPr>
                <w:rFonts w:cs="Times New Roman"/>
                <w:sz w:val="22"/>
                <w:szCs w:val="22"/>
              </w:rPr>
            </w:pPr>
            <w:r w:rsidRPr="00890284">
              <w:rPr>
                <w:rFonts w:cs="Times New Roman"/>
                <w:sz w:val="22"/>
                <w:szCs w:val="22"/>
              </w:rPr>
              <w:t>e.</w:t>
            </w:r>
            <w:r w:rsidRPr="00890284">
              <w:rPr>
                <w:rFonts w:cs="Times New Roman"/>
                <w:sz w:val="22"/>
                <w:szCs w:val="22"/>
              </w:rPr>
              <w:tab/>
              <w:t>tarcze, bębny hamulcowe (nie mniej niż 120 000 km),</w:t>
            </w:r>
          </w:p>
          <w:p w14:paraId="30A33C2D" w14:textId="77777777" w:rsidR="00890284" w:rsidRPr="00890284" w:rsidRDefault="00890284" w:rsidP="008F7D1F">
            <w:pPr>
              <w:ind w:left="315" w:hanging="315"/>
              <w:rPr>
                <w:rFonts w:cs="Times New Roman"/>
                <w:sz w:val="22"/>
                <w:szCs w:val="22"/>
              </w:rPr>
            </w:pPr>
            <w:r w:rsidRPr="00890284">
              <w:rPr>
                <w:rFonts w:cs="Times New Roman"/>
                <w:sz w:val="22"/>
                <w:szCs w:val="22"/>
              </w:rPr>
              <w:t>f.</w:t>
            </w:r>
            <w:r w:rsidRPr="00890284">
              <w:rPr>
                <w:rFonts w:cs="Times New Roman"/>
                <w:sz w:val="22"/>
                <w:szCs w:val="22"/>
              </w:rPr>
              <w:tab/>
              <w:t>akumulatory, z wyłączeniem napędu hybrydowego (nie mniej niż 36 miesięcy eksploatacji),</w:t>
            </w:r>
          </w:p>
          <w:p w14:paraId="0148550E" w14:textId="77777777" w:rsidR="00890284" w:rsidRPr="00890284" w:rsidRDefault="00890284" w:rsidP="008F7D1F">
            <w:pPr>
              <w:ind w:left="315" w:hanging="315"/>
              <w:rPr>
                <w:rFonts w:cs="Times New Roman"/>
                <w:sz w:val="22"/>
                <w:szCs w:val="22"/>
              </w:rPr>
            </w:pPr>
            <w:r w:rsidRPr="00890284">
              <w:rPr>
                <w:rFonts w:cs="Times New Roman"/>
                <w:sz w:val="22"/>
                <w:szCs w:val="22"/>
              </w:rPr>
              <w:t>g.</w:t>
            </w:r>
            <w:r w:rsidRPr="00890284">
              <w:rPr>
                <w:rFonts w:cs="Times New Roman"/>
                <w:sz w:val="22"/>
                <w:szCs w:val="22"/>
              </w:rPr>
              <w:tab/>
              <w:t>ogumienie (nie mniej niż 150 000 km),</w:t>
            </w:r>
          </w:p>
          <w:p w14:paraId="4EF3B13C" w14:textId="77777777" w:rsidR="00890284" w:rsidRPr="00890284" w:rsidRDefault="00890284" w:rsidP="008F7D1F">
            <w:pPr>
              <w:ind w:left="315" w:hanging="315"/>
              <w:rPr>
                <w:rFonts w:cs="Times New Roman"/>
                <w:sz w:val="22"/>
                <w:szCs w:val="22"/>
              </w:rPr>
            </w:pPr>
            <w:r w:rsidRPr="00890284">
              <w:rPr>
                <w:rFonts w:cs="Times New Roman"/>
                <w:sz w:val="22"/>
                <w:szCs w:val="22"/>
              </w:rPr>
              <w:t>h.</w:t>
            </w:r>
            <w:r w:rsidRPr="00890284">
              <w:rPr>
                <w:rFonts w:cs="Times New Roman"/>
                <w:sz w:val="22"/>
                <w:szCs w:val="22"/>
              </w:rPr>
              <w:tab/>
              <w:t xml:space="preserve">pióra wycieraczek (nie mniej niż 10 miesięcy).”.  </w:t>
            </w:r>
          </w:p>
          <w:p w14:paraId="75E318A5" w14:textId="77777777" w:rsidR="00890284" w:rsidRPr="00890284" w:rsidRDefault="00890284" w:rsidP="008F7D1F">
            <w:pPr>
              <w:rPr>
                <w:rFonts w:cs="Times New Roman"/>
                <w:b/>
                <w:bCs/>
                <w:sz w:val="22"/>
                <w:szCs w:val="22"/>
              </w:rPr>
            </w:pPr>
            <w:r w:rsidRPr="00890284">
              <w:rPr>
                <w:rFonts w:cs="Times New Roman"/>
                <w:sz w:val="22"/>
                <w:szCs w:val="22"/>
              </w:rPr>
              <w:t xml:space="preserve">Pytanie 2.1 </w:t>
            </w:r>
            <w:r w:rsidRPr="00890284">
              <w:rPr>
                <w:rFonts w:cs="Times New Roman"/>
                <w:b/>
                <w:bCs/>
                <w:sz w:val="22"/>
                <w:szCs w:val="22"/>
              </w:rPr>
              <w:t>Czy ogumienie jako materiał eksploatacyjny może nie być objęty gwarancją i przebiegiem 150 000 km?</w:t>
            </w:r>
          </w:p>
        </w:tc>
        <w:tc>
          <w:tcPr>
            <w:tcW w:w="4678" w:type="dxa"/>
          </w:tcPr>
          <w:p w14:paraId="2435730B" w14:textId="77777777" w:rsidR="00890284" w:rsidRPr="00890284" w:rsidRDefault="00890284" w:rsidP="008F7D1F">
            <w:pPr>
              <w:rPr>
                <w:rFonts w:cs="Times New Roman"/>
                <w:b/>
                <w:bCs/>
                <w:sz w:val="22"/>
                <w:szCs w:val="22"/>
              </w:rPr>
            </w:pPr>
            <w:r w:rsidRPr="00890284">
              <w:rPr>
                <w:rFonts w:cs="Times New Roman"/>
                <w:b/>
                <w:bCs/>
                <w:sz w:val="22"/>
                <w:szCs w:val="22"/>
              </w:rPr>
              <w:lastRenderedPageBreak/>
              <w:t>Zamawiający podtrzymuje dotychczasowe zapisy wymagań dotyczących gwarancji i serwisu w zakresie ogumienia</w:t>
            </w:r>
          </w:p>
        </w:tc>
      </w:tr>
      <w:tr w:rsidR="00890284" w:rsidRPr="00890284" w14:paraId="292D5A01" w14:textId="77777777" w:rsidTr="00890284">
        <w:tc>
          <w:tcPr>
            <w:tcW w:w="993" w:type="dxa"/>
          </w:tcPr>
          <w:p w14:paraId="32BE8AA6" w14:textId="521D9DBA" w:rsidR="00890284" w:rsidRPr="008575CF" w:rsidRDefault="00890284" w:rsidP="008575CF">
            <w:pPr>
              <w:jc w:val="center"/>
              <w:rPr>
                <w:rFonts w:cs="Times New Roman"/>
                <w:sz w:val="22"/>
                <w:szCs w:val="22"/>
              </w:rPr>
            </w:pPr>
            <w:r w:rsidRPr="008575CF">
              <w:rPr>
                <w:rFonts w:cs="Times New Roman"/>
                <w:sz w:val="22"/>
                <w:szCs w:val="22"/>
              </w:rPr>
              <w:t>1</w:t>
            </w:r>
            <w:r w:rsidR="003526FE" w:rsidRPr="008575CF">
              <w:rPr>
                <w:rFonts w:cs="Times New Roman"/>
                <w:sz w:val="22"/>
                <w:szCs w:val="22"/>
              </w:rPr>
              <w:t>1</w:t>
            </w:r>
            <w:r w:rsidRPr="008575CF">
              <w:rPr>
                <w:rFonts w:cs="Times New Roman"/>
                <w:sz w:val="22"/>
                <w:szCs w:val="22"/>
              </w:rPr>
              <w:t>.</w:t>
            </w:r>
          </w:p>
        </w:tc>
        <w:tc>
          <w:tcPr>
            <w:tcW w:w="4678" w:type="dxa"/>
          </w:tcPr>
          <w:p w14:paraId="1F01641E" w14:textId="77777777" w:rsidR="00890284" w:rsidRPr="00890284" w:rsidRDefault="00890284" w:rsidP="008F7D1F">
            <w:pPr>
              <w:rPr>
                <w:rFonts w:cs="Times New Roman"/>
                <w:sz w:val="22"/>
                <w:szCs w:val="22"/>
              </w:rPr>
            </w:pPr>
            <w:r w:rsidRPr="00890284">
              <w:rPr>
                <w:rFonts w:cs="Times New Roman"/>
                <w:sz w:val="22"/>
                <w:szCs w:val="22"/>
              </w:rPr>
              <w:t xml:space="preserve">Pytanie 2.2. Czy biorąc pod uwagę innowacyjne rozwiązania w zakresie logistyczno-serwisowego zamawiania części online </w:t>
            </w:r>
            <w:r w:rsidRPr="00890284">
              <w:rPr>
                <w:rFonts w:cs="Times New Roman"/>
                <w:b/>
                <w:bCs/>
                <w:sz w:val="22"/>
                <w:szCs w:val="22"/>
              </w:rPr>
              <w:t>Zamawiający może wprowadzić dodatkowe punktowane kryterium za możliwość oferowania powyższych</w:t>
            </w:r>
            <w:r w:rsidRPr="00890284">
              <w:rPr>
                <w:rFonts w:cs="Times New Roman"/>
                <w:sz w:val="22"/>
                <w:szCs w:val="22"/>
              </w:rPr>
              <w:t xml:space="preserve">? </w:t>
            </w:r>
          </w:p>
          <w:p w14:paraId="136A9D75" w14:textId="77777777" w:rsidR="00890284" w:rsidRPr="00890284" w:rsidRDefault="00890284" w:rsidP="008F7D1F">
            <w:pPr>
              <w:rPr>
                <w:rFonts w:cs="Times New Roman"/>
                <w:sz w:val="22"/>
                <w:szCs w:val="22"/>
              </w:rPr>
            </w:pPr>
            <w:r w:rsidRPr="00890284">
              <w:rPr>
                <w:rFonts w:cs="Times New Roman"/>
                <w:sz w:val="22"/>
                <w:szCs w:val="22"/>
              </w:rPr>
              <w:t xml:space="preserve">Darmowe narzędzia online o których mowa powyżej  mają znaczący wpływ na szybkość realizacji i rozliczania napraw, przyspieszają czas sprowadzenia oraz generują Zamawiającemu dodatkowe obroty w określonej wysokości </w:t>
            </w:r>
            <w:proofErr w:type="spellStart"/>
            <w:r w:rsidRPr="00890284">
              <w:rPr>
                <w:rFonts w:cs="Times New Roman"/>
                <w:sz w:val="22"/>
                <w:szCs w:val="22"/>
              </w:rPr>
              <w:t>handlingu</w:t>
            </w:r>
            <w:proofErr w:type="spellEnd"/>
            <w:r w:rsidRPr="00890284">
              <w:rPr>
                <w:rFonts w:cs="Times New Roman"/>
                <w:sz w:val="22"/>
                <w:szCs w:val="22"/>
              </w:rPr>
              <w:t>.</w:t>
            </w:r>
          </w:p>
        </w:tc>
        <w:tc>
          <w:tcPr>
            <w:tcW w:w="4678" w:type="dxa"/>
          </w:tcPr>
          <w:p w14:paraId="7C273AB6" w14:textId="77777777" w:rsidR="00890284" w:rsidRPr="00890284" w:rsidRDefault="00890284" w:rsidP="008F7D1F">
            <w:pPr>
              <w:rPr>
                <w:rFonts w:cs="Times New Roman"/>
                <w:b/>
                <w:bCs/>
                <w:sz w:val="22"/>
                <w:szCs w:val="22"/>
              </w:rPr>
            </w:pPr>
            <w:r w:rsidRPr="00890284">
              <w:rPr>
                <w:rFonts w:cs="Times New Roman"/>
                <w:b/>
                <w:bCs/>
                <w:sz w:val="22"/>
                <w:szCs w:val="22"/>
              </w:rPr>
              <w:t>Zamawiający w obecnym postępowaniu nie przewiduje zmian w ocenie oferty.</w:t>
            </w:r>
          </w:p>
        </w:tc>
      </w:tr>
      <w:tr w:rsidR="00890284" w:rsidRPr="00890284" w14:paraId="4F1FE595" w14:textId="77777777" w:rsidTr="00890284">
        <w:tc>
          <w:tcPr>
            <w:tcW w:w="993" w:type="dxa"/>
          </w:tcPr>
          <w:p w14:paraId="4BE2A098" w14:textId="7DBDA55B" w:rsidR="00890284" w:rsidRPr="008575CF" w:rsidRDefault="00890284" w:rsidP="008575CF">
            <w:pPr>
              <w:jc w:val="center"/>
              <w:rPr>
                <w:rFonts w:cs="Times New Roman"/>
                <w:sz w:val="22"/>
                <w:szCs w:val="22"/>
              </w:rPr>
            </w:pPr>
            <w:r w:rsidRPr="008575CF">
              <w:rPr>
                <w:rFonts w:cs="Times New Roman"/>
                <w:sz w:val="22"/>
                <w:szCs w:val="22"/>
              </w:rPr>
              <w:t>12.</w:t>
            </w:r>
          </w:p>
        </w:tc>
        <w:tc>
          <w:tcPr>
            <w:tcW w:w="4678" w:type="dxa"/>
          </w:tcPr>
          <w:p w14:paraId="4EB84B1A" w14:textId="77777777" w:rsidR="00890284" w:rsidRPr="00890284" w:rsidRDefault="00890284" w:rsidP="008F7D1F">
            <w:pPr>
              <w:rPr>
                <w:rFonts w:cs="Times New Roman"/>
                <w:sz w:val="22"/>
                <w:szCs w:val="22"/>
              </w:rPr>
            </w:pPr>
            <w:r w:rsidRPr="00890284">
              <w:rPr>
                <w:rFonts w:cs="Times New Roman"/>
                <w:sz w:val="22"/>
                <w:szCs w:val="22"/>
              </w:rPr>
              <w:t xml:space="preserve">W załączniku nr 5 Opis przedmiotu zamówienia pkt. 7 Instalacja elektryczna </w:t>
            </w:r>
            <w:proofErr w:type="spellStart"/>
            <w:r w:rsidRPr="00890284">
              <w:rPr>
                <w:rFonts w:cs="Times New Roman"/>
                <w:sz w:val="22"/>
                <w:szCs w:val="22"/>
              </w:rPr>
              <w:t>ppkt</w:t>
            </w:r>
            <w:proofErr w:type="spellEnd"/>
            <w:r w:rsidRPr="00890284">
              <w:rPr>
                <w:rFonts w:cs="Times New Roman"/>
                <w:sz w:val="22"/>
                <w:szCs w:val="22"/>
              </w:rPr>
              <w:t xml:space="preserve">. 4  Zamawiający umieścił następujący zapis: „dwa gniazda do rozruchu silnika przy wykorzystaniu zewnętrznego źródła prądu, w tym jedno umieszczone w komorze akumulatorów, a drugie w komorze silnika” “. </w:t>
            </w:r>
          </w:p>
          <w:p w14:paraId="0F25FAB1" w14:textId="77777777" w:rsidR="00890284" w:rsidRPr="00890284" w:rsidRDefault="00890284" w:rsidP="008F7D1F">
            <w:pPr>
              <w:rPr>
                <w:rFonts w:cs="Times New Roman"/>
                <w:sz w:val="22"/>
                <w:szCs w:val="22"/>
              </w:rPr>
            </w:pPr>
            <w:r w:rsidRPr="00890284">
              <w:rPr>
                <w:rFonts w:cs="Times New Roman"/>
                <w:b/>
                <w:bCs/>
                <w:sz w:val="22"/>
                <w:szCs w:val="22"/>
              </w:rPr>
              <w:t xml:space="preserve">Prosimy o rezygnacje z wymogu drugiego gniazda w komorze silnika. </w:t>
            </w:r>
            <w:r w:rsidRPr="00890284">
              <w:rPr>
                <w:rFonts w:cs="Times New Roman"/>
                <w:sz w:val="22"/>
                <w:szCs w:val="22"/>
              </w:rPr>
              <w:t>Gniazdo rozruchu powinno znajdować się jak najbliżej baterii, ponieważ długie przewody elektryczne mogą mieć wpływ na spadek napięcia w pojeździe podczas rozruchu.</w:t>
            </w:r>
          </w:p>
        </w:tc>
        <w:tc>
          <w:tcPr>
            <w:tcW w:w="4678" w:type="dxa"/>
          </w:tcPr>
          <w:p w14:paraId="3F0F0E66" w14:textId="77777777" w:rsidR="00890284" w:rsidRPr="00890284" w:rsidRDefault="00890284" w:rsidP="008F7D1F">
            <w:pPr>
              <w:rPr>
                <w:rFonts w:cs="Times New Roman"/>
                <w:sz w:val="22"/>
                <w:szCs w:val="22"/>
              </w:rPr>
            </w:pPr>
            <w:r w:rsidRPr="00890284">
              <w:rPr>
                <w:rFonts w:cs="Times New Roman"/>
                <w:sz w:val="22"/>
                <w:szCs w:val="22"/>
              </w:rPr>
              <w:t xml:space="preserve">Zamawiający </w:t>
            </w:r>
            <w:r w:rsidRPr="00890284">
              <w:rPr>
                <w:rFonts w:cs="Times New Roman"/>
                <w:b/>
                <w:bCs/>
                <w:sz w:val="22"/>
                <w:szCs w:val="22"/>
              </w:rPr>
              <w:t>rezygnacje z wymogu montażu drugiego gniazda rozruchowego w komorze silnika.</w:t>
            </w:r>
          </w:p>
        </w:tc>
      </w:tr>
      <w:tr w:rsidR="00890284" w:rsidRPr="00890284" w14:paraId="7673BA37" w14:textId="77777777" w:rsidTr="00890284">
        <w:tc>
          <w:tcPr>
            <w:tcW w:w="993" w:type="dxa"/>
          </w:tcPr>
          <w:p w14:paraId="15B76F15" w14:textId="1D114A74" w:rsidR="00890284" w:rsidRPr="008575CF" w:rsidRDefault="00890284" w:rsidP="008575CF">
            <w:pPr>
              <w:jc w:val="center"/>
              <w:rPr>
                <w:rFonts w:cs="Times New Roman"/>
                <w:sz w:val="22"/>
                <w:szCs w:val="22"/>
              </w:rPr>
            </w:pPr>
            <w:r w:rsidRPr="008575CF">
              <w:rPr>
                <w:rFonts w:cs="Times New Roman"/>
                <w:sz w:val="22"/>
                <w:szCs w:val="22"/>
              </w:rPr>
              <w:t>1</w:t>
            </w:r>
            <w:r w:rsidR="003526FE" w:rsidRPr="008575CF">
              <w:rPr>
                <w:rFonts w:cs="Times New Roman"/>
                <w:sz w:val="22"/>
                <w:szCs w:val="22"/>
              </w:rPr>
              <w:t>3</w:t>
            </w:r>
            <w:r w:rsidRPr="008575CF">
              <w:rPr>
                <w:rFonts w:cs="Times New Roman"/>
                <w:sz w:val="22"/>
                <w:szCs w:val="22"/>
              </w:rPr>
              <w:t>.</w:t>
            </w:r>
          </w:p>
        </w:tc>
        <w:tc>
          <w:tcPr>
            <w:tcW w:w="4678" w:type="dxa"/>
          </w:tcPr>
          <w:p w14:paraId="3073320A" w14:textId="77777777" w:rsidR="00890284" w:rsidRPr="00890284" w:rsidRDefault="00890284" w:rsidP="008F7D1F">
            <w:pPr>
              <w:rPr>
                <w:rFonts w:cs="Times New Roman"/>
                <w:sz w:val="22"/>
                <w:szCs w:val="22"/>
              </w:rPr>
            </w:pPr>
            <w:r w:rsidRPr="00890284">
              <w:rPr>
                <w:rFonts w:cs="Times New Roman"/>
                <w:sz w:val="22"/>
                <w:szCs w:val="22"/>
              </w:rPr>
              <w:t xml:space="preserve">Zwracamy się z prośbą o dopuszczenie do przetargu, spełniającego wszystkie pozostałe wymagania Zamawiającego o pojemności ogółem 63 pasażerów + kierowca. </w:t>
            </w:r>
            <w:r w:rsidRPr="00890284">
              <w:rPr>
                <w:rFonts w:cs="Times New Roman"/>
                <w:b/>
                <w:bCs/>
                <w:sz w:val="22"/>
                <w:szCs w:val="22"/>
              </w:rPr>
              <w:t>Chcielibyśmy zaoferować autobus o maksymalnej liczbie miejsc siedzących wraz z miejscem na wózek inwalidzki</w:t>
            </w:r>
          </w:p>
        </w:tc>
        <w:tc>
          <w:tcPr>
            <w:tcW w:w="4678" w:type="dxa"/>
          </w:tcPr>
          <w:p w14:paraId="4E537F80" w14:textId="77777777" w:rsidR="00890284" w:rsidRPr="00890284" w:rsidRDefault="00890284" w:rsidP="008F7D1F">
            <w:pPr>
              <w:rPr>
                <w:rFonts w:cs="Times New Roman"/>
                <w:sz w:val="22"/>
                <w:szCs w:val="22"/>
              </w:rPr>
            </w:pPr>
            <w:r w:rsidRPr="00890284">
              <w:rPr>
                <w:rFonts w:cs="Times New Roman"/>
                <w:sz w:val="22"/>
                <w:szCs w:val="22"/>
              </w:rPr>
              <w:t xml:space="preserve">Zamawiający </w:t>
            </w:r>
            <w:r w:rsidRPr="00890284">
              <w:rPr>
                <w:rFonts w:cs="Times New Roman"/>
                <w:b/>
                <w:bCs/>
                <w:sz w:val="22"/>
                <w:szCs w:val="22"/>
              </w:rPr>
              <w:t xml:space="preserve">dopuszcza </w:t>
            </w:r>
            <w:r w:rsidRPr="00890284">
              <w:rPr>
                <w:rFonts w:cs="Times New Roman"/>
                <w:sz w:val="22"/>
                <w:szCs w:val="22"/>
              </w:rPr>
              <w:t>do przetargu autobusy o pojemności ogółem co najmniej 63 pasażerów + kierowca.</w:t>
            </w:r>
          </w:p>
        </w:tc>
      </w:tr>
      <w:tr w:rsidR="00DF78D5" w:rsidRPr="00890284" w14:paraId="5DE1A2BC" w14:textId="77777777" w:rsidTr="00890284">
        <w:tc>
          <w:tcPr>
            <w:tcW w:w="993" w:type="dxa"/>
          </w:tcPr>
          <w:p w14:paraId="6A5ED79E" w14:textId="55824113" w:rsidR="00DF78D5" w:rsidRPr="008575CF" w:rsidRDefault="00DF78D5" w:rsidP="008575CF">
            <w:pPr>
              <w:jc w:val="center"/>
              <w:rPr>
                <w:rFonts w:cs="Times New Roman"/>
                <w:sz w:val="22"/>
                <w:szCs w:val="22"/>
              </w:rPr>
            </w:pPr>
            <w:r w:rsidRPr="008575CF">
              <w:rPr>
                <w:rFonts w:cs="Times New Roman"/>
                <w:sz w:val="22"/>
                <w:szCs w:val="22"/>
              </w:rPr>
              <w:t>14.</w:t>
            </w:r>
          </w:p>
        </w:tc>
        <w:tc>
          <w:tcPr>
            <w:tcW w:w="4678" w:type="dxa"/>
          </w:tcPr>
          <w:p w14:paraId="1AD82EA2" w14:textId="77777777" w:rsidR="00DF78D5" w:rsidRPr="00DF78D5" w:rsidRDefault="00DF78D5" w:rsidP="00DF78D5">
            <w:pPr>
              <w:rPr>
                <w:rFonts w:ascii="Arial Narrow" w:hAnsi="Arial Narrow"/>
              </w:rPr>
            </w:pPr>
            <w:r w:rsidRPr="00DF78D5">
              <w:rPr>
                <w:rFonts w:ascii="Arial Narrow" w:hAnsi="Arial Narrow"/>
              </w:rPr>
              <w:t>W załączniku nr 5 Opis przedmiotu zamówienia w części Wymagania stawiane pojazdom pkt. 3) Zamawiający umieścił następujący zapis: „</w:t>
            </w:r>
            <w:r w:rsidRPr="00DF78D5">
              <w:rPr>
                <w:rFonts w:ascii="Arial Narrow" w:hAnsi="Arial Narrow"/>
                <w:b/>
                <w:bCs/>
              </w:rPr>
              <w:t xml:space="preserve">Będące przedmiotem niniejszego zamówienia autobusy muszą być pojazdami fabrycznie nowymi (wg definicji z Ustawy Prawo o ruchu drogowym z 20 czerwca 1997 r. – </w:t>
            </w:r>
            <w:proofErr w:type="spellStart"/>
            <w:r w:rsidRPr="00DF78D5">
              <w:rPr>
                <w:rFonts w:ascii="Arial Narrow" w:hAnsi="Arial Narrow"/>
                <w:b/>
                <w:bCs/>
              </w:rPr>
              <w:t>t.j</w:t>
            </w:r>
            <w:proofErr w:type="spellEnd"/>
            <w:r w:rsidRPr="00DF78D5">
              <w:rPr>
                <w:rFonts w:ascii="Arial Narrow" w:hAnsi="Arial Narrow"/>
                <w:b/>
                <w:bCs/>
              </w:rPr>
              <w:t xml:space="preserve">. Dz. U. z 2022 r. poz. 988, </w:t>
            </w:r>
            <w:r w:rsidRPr="00DF78D5">
              <w:rPr>
                <w:rFonts w:ascii="Arial Narrow" w:hAnsi="Arial Narrow"/>
                <w:b/>
                <w:bCs/>
              </w:rPr>
              <w:lastRenderedPageBreak/>
              <w:t>1002, 1768, 1783, 2589, 2600, 2642.) tzn. nie mogą być wcześniej rejestrowane, a przebieg dostarczanych autobusów nie może być większy niż 1.500 km;</w:t>
            </w:r>
            <w:r w:rsidRPr="00DF78D5">
              <w:rPr>
                <w:rFonts w:ascii="Arial Narrow" w:hAnsi="Arial Narrow"/>
              </w:rPr>
              <w:t xml:space="preserve">”. </w:t>
            </w:r>
          </w:p>
          <w:p w14:paraId="7281B01A" w14:textId="77777777" w:rsidR="00DF78D5" w:rsidRPr="00DF78D5" w:rsidRDefault="00DF78D5" w:rsidP="00DF78D5">
            <w:pPr>
              <w:rPr>
                <w:rFonts w:ascii="Arial Narrow" w:hAnsi="Arial Narrow"/>
              </w:rPr>
            </w:pPr>
            <w:r w:rsidRPr="00DF78D5">
              <w:rPr>
                <w:rFonts w:ascii="Arial Narrow" w:hAnsi="Arial Narrow"/>
              </w:rPr>
              <w:t xml:space="preserve">Czy Zamawiający wyrazi zgodę na dopuszczenie pojazdu z przebiegiem 1950 km? </w:t>
            </w:r>
          </w:p>
          <w:p w14:paraId="5382BCFC" w14:textId="744DB893" w:rsidR="00DF78D5" w:rsidRPr="00DF78D5" w:rsidRDefault="00DF78D5" w:rsidP="00DF78D5">
            <w:pPr>
              <w:rPr>
                <w:rFonts w:cs="Times New Roman"/>
                <w:sz w:val="22"/>
                <w:szCs w:val="22"/>
              </w:rPr>
            </w:pPr>
            <w:r w:rsidRPr="00DF78D5">
              <w:rPr>
                <w:rFonts w:ascii="Arial Narrow" w:hAnsi="Arial Narrow"/>
              </w:rPr>
              <w:t>Uzasadnienie: ze względu na odległość fabryki pojazdy musza być częściowo transportowane na kołach do miejsca końcowego miejsca odbioru, w związku z tym prosimy o akceptację zwiększonego o 450 km przebiegu dostarczanych pojazdów.</w:t>
            </w:r>
          </w:p>
        </w:tc>
        <w:tc>
          <w:tcPr>
            <w:tcW w:w="4678" w:type="dxa"/>
          </w:tcPr>
          <w:p w14:paraId="1CAF15B2" w14:textId="77777777" w:rsidR="00DF78D5" w:rsidRDefault="00DF78D5" w:rsidP="00DF78D5">
            <w:pPr>
              <w:rPr>
                <w:rFonts w:ascii="Arial Narrow" w:hAnsi="Arial Narrow"/>
              </w:rPr>
            </w:pPr>
            <w:r w:rsidRPr="00DF78D5">
              <w:rPr>
                <w:rFonts w:ascii="Arial Narrow" w:hAnsi="Arial Narrow"/>
              </w:rPr>
              <w:lastRenderedPageBreak/>
              <w:t>Zamawiający dopuszcza jako pojazd nowy, pojazd którego przebieg nie przekracza</w:t>
            </w:r>
            <w:r w:rsidRPr="00DF78D5">
              <w:rPr>
                <w:rFonts w:ascii="Arial Narrow" w:hAnsi="Arial Narrow"/>
                <w:b/>
                <w:bCs/>
              </w:rPr>
              <w:t xml:space="preserve"> 2.000 km</w:t>
            </w:r>
          </w:p>
          <w:p w14:paraId="434DD71D" w14:textId="77777777" w:rsidR="00DF78D5" w:rsidRPr="00DF78D5" w:rsidRDefault="00DF78D5" w:rsidP="00DF78D5">
            <w:pPr>
              <w:rPr>
                <w:rFonts w:cs="Times New Roman"/>
                <w:sz w:val="22"/>
                <w:szCs w:val="22"/>
              </w:rPr>
            </w:pPr>
          </w:p>
          <w:p w14:paraId="355D3C08" w14:textId="77777777" w:rsidR="00DF78D5" w:rsidRDefault="00DF78D5" w:rsidP="00DF78D5">
            <w:pPr>
              <w:rPr>
                <w:rFonts w:ascii="Arial Narrow" w:hAnsi="Arial Narrow"/>
              </w:rPr>
            </w:pPr>
          </w:p>
          <w:p w14:paraId="599901A9" w14:textId="54D4D97E" w:rsidR="00DF78D5" w:rsidRPr="00DF78D5" w:rsidRDefault="00DF78D5" w:rsidP="00DF78D5">
            <w:pPr>
              <w:tabs>
                <w:tab w:val="left" w:pos="1110"/>
              </w:tabs>
              <w:rPr>
                <w:rFonts w:cs="Times New Roman"/>
                <w:sz w:val="22"/>
                <w:szCs w:val="22"/>
              </w:rPr>
            </w:pPr>
            <w:r>
              <w:rPr>
                <w:rFonts w:cs="Times New Roman"/>
                <w:sz w:val="22"/>
                <w:szCs w:val="22"/>
              </w:rPr>
              <w:tab/>
            </w:r>
          </w:p>
        </w:tc>
      </w:tr>
      <w:tr w:rsidR="008575CF" w:rsidRPr="00890284" w14:paraId="329536D5" w14:textId="77777777" w:rsidTr="00890284">
        <w:tc>
          <w:tcPr>
            <w:tcW w:w="993" w:type="dxa"/>
          </w:tcPr>
          <w:p w14:paraId="2BE5291E" w14:textId="6055F49A" w:rsidR="008575CF" w:rsidRPr="008575CF" w:rsidRDefault="008575CF" w:rsidP="008575CF">
            <w:pPr>
              <w:jc w:val="center"/>
              <w:rPr>
                <w:rFonts w:cs="Times New Roman"/>
                <w:sz w:val="22"/>
                <w:szCs w:val="22"/>
              </w:rPr>
            </w:pPr>
            <w:r w:rsidRPr="008575CF">
              <w:rPr>
                <w:rFonts w:cs="Times New Roman"/>
                <w:sz w:val="22"/>
                <w:szCs w:val="22"/>
              </w:rPr>
              <w:t>15.</w:t>
            </w:r>
          </w:p>
        </w:tc>
        <w:tc>
          <w:tcPr>
            <w:tcW w:w="4678" w:type="dxa"/>
          </w:tcPr>
          <w:p w14:paraId="6861D3AF" w14:textId="77777777" w:rsidR="008575CF" w:rsidRPr="00E50B12" w:rsidRDefault="008575CF" w:rsidP="008575CF">
            <w:pPr>
              <w:rPr>
                <w:rFonts w:ascii="Arial Narrow" w:hAnsi="Arial Narrow"/>
              </w:rPr>
            </w:pPr>
            <w:r w:rsidRPr="00E50B12">
              <w:rPr>
                <w:rFonts w:ascii="Arial Narrow" w:hAnsi="Arial Narrow"/>
              </w:rPr>
              <w:t>7.3 System informacji pasażerskiej - zewnętrznej</w:t>
            </w:r>
          </w:p>
          <w:p w14:paraId="0C02D76A" w14:textId="77777777" w:rsidR="008575CF" w:rsidRPr="00E50B12" w:rsidRDefault="008575CF" w:rsidP="008575CF">
            <w:pPr>
              <w:rPr>
                <w:rFonts w:ascii="Arial Narrow" w:hAnsi="Arial Narrow"/>
              </w:rPr>
            </w:pPr>
            <w:r w:rsidRPr="00E50B12">
              <w:rPr>
                <w:rFonts w:ascii="Arial Narrow" w:hAnsi="Arial Narrow"/>
              </w:rPr>
              <w:t>9) Wraz z autobusami Dostawca dostarczy oprogramowanie, współpracujące z ogólnie</w:t>
            </w:r>
            <w:r>
              <w:rPr>
                <w:rFonts w:ascii="Arial Narrow" w:hAnsi="Arial Narrow"/>
              </w:rPr>
              <w:t xml:space="preserve"> </w:t>
            </w:r>
            <w:r w:rsidRPr="00E50B12">
              <w:rPr>
                <w:rFonts w:ascii="Arial Narrow" w:hAnsi="Arial Narrow"/>
              </w:rPr>
              <w:t>dostępnym oprogramowaniem systemowym (np. Windows 10/11 lub Linux) umożliwiające</w:t>
            </w:r>
            <w:r>
              <w:rPr>
                <w:rFonts w:ascii="Arial Narrow" w:hAnsi="Arial Narrow"/>
              </w:rPr>
              <w:t xml:space="preserve"> </w:t>
            </w:r>
            <w:r w:rsidRPr="00E50B12">
              <w:rPr>
                <w:rFonts w:ascii="Arial Narrow" w:hAnsi="Arial Narrow"/>
              </w:rPr>
              <w:t>przygotowanie treści informacji wyświetlanych przez tablice informacyjne;</w:t>
            </w:r>
          </w:p>
          <w:p w14:paraId="640EB421" w14:textId="77777777" w:rsidR="008575CF" w:rsidRPr="00E50B12" w:rsidRDefault="008575CF" w:rsidP="008575CF">
            <w:pPr>
              <w:rPr>
                <w:rFonts w:ascii="Arial Narrow" w:hAnsi="Arial Narrow"/>
              </w:rPr>
            </w:pPr>
            <w:r w:rsidRPr="00E50B12">
              <w:rPr>
                <w:rFonts w:ascii="Arial Narrow" w:hAnsi="Arial Narrow"/>
              </w:rPr>
              <w:t>Pytania:</w:t>
            </w:r>
          </w:p>
          <w:p w14:paraId="23213FCA" w14:textId="77777777" w:rsidR="008575CF" w:rsidRPr="00FE0F92" w:rsidRDefault="008575CF" w:rsidP="008575CF">
            <w:pPr>
              <w:rPr>
                <w:rFonts w:ascii="Arial Narrow" w:hAnsi="Arial Narrow"/>
                <w:b/>
                <w:bCs/>
              </w:rPr>
            </w:pPr>
            <w:r w:rsidRPr="00FE0F92">
              <w:rPr>
                <w:rFonts w:ascii="Arial Narrow" w:hAnsi="Arial Narrow"/>
                <w:b/>
                <w:bCs/>
              </w:rPr>
              <w:t>a) Czy Zamawiający posiada i udostępni do importu do programu przygotowania danych rozkładu jazdy do pojazdów, dane rozkładu jazdy w formie elektronicznej ?</w:t>
            </w:r>
          </w:p>
          <w:p w14:paraId="4D98EE24" w14:textId="77777777" w:rsidR="008575CF" w:rsidRPr="00FE0F92" w:rsidRDefault="008575CF" w:rsidP="008575CF">
            <w:pPr>
              <w:rPr>
                <w:rFonts w:ascii="Arial Narrow" w:hAnsi="Arial Narrow"/>
                <w:b/>
                <w:bCs/>
              </w:rPr>
            </w:pPr>
            <w:r w:rsidRPr="00FE0F92">
              <w:rPr>
                <w:rFonts w:ascii="Arial Narrow" w:hAnsi="Arial Narrow"/>
                <w:b/>
                <w:bCs/>
              </w:rPr>
              <w:t>b) Jeśli tak, to prosimy o określenie w jakim formacie i z jakiego programu przygotowania danych RJ będą te dane ?</w:t>
            </w:r>
          </w:p>
          <w:p w14:paraId="7EF4B909" w14:textId="77777777" w:rsidR="008575CF" w:rsidRPr="00FE0F92" w:rsidRDefault="008575CF" w:rsidP="008575CF">
            <w:pPr>
              <w:rPr>
                <w:rFonts w:ascii="Arial Narrow" w:hAnsi="Arial Narrow"/>
                <w:b/>
                <w:bCs/>
              </w:rPr>
            </w:pPr>
            <w:r w:rsidRPr="00FE0F92">
              <w:rPr>
                <w:rFonts w:ascii="Arial Narrow" w:hAnsi="Arial Narrow"/>
                <w:b/>
                <w:bCs/>
              </w:rPr>
              <w:t>c) Jeśli nie, to prosimy o potwierdzenie że Zamawiający zakłada że to pracownicy Zamawiającego wprowadzą dane RJ do dostarczonego przez Wykonawcę programu przygotowania danych rozkładu jazdy ?</w:t>
            </w:r>
          </w:p>
          <w:p w14:paraId="11673E0A" w14:textId="0D6B85EF" w:rsidR="008575CF" w:rsidRPr="00DF78D5" w:rsidRDefault="008575CF" w:rsidP="008575CF">
            <w:pPr>
              <w:rPr>
                <w:rFonts w:ascii="Arial Narrow" w:hAnsi="Arial Narrow"/>
              </w:rPr>
            </w:pPr>
            <w:r w:rsidRPr="00FE0F92">
              <w:rPr>
                <w:rFonts w:ascii="Arial Narrow" w:hAnsi="Arial Narrow"/>
                <w:b/>
                <w:bCs/>
              </w:rPr>
              <w:t>d) Prosimy o potwierdzenie że to Zamawiający udostępni Wykonawcy komputer / serwer dla</w:t>
            </w:r>
            <w:r>
              <w:rPr>
                <w:rFonts w:ascii="Arial Narrow" w:hAnsi="Arial Narrow"/>
                <w:b/>
                <w:bCs/>
              </w:rPr>
              <w:t xml:space="preserve"> </w:t>
            </w:r>
            <w:r w:rsidRPr="00FE0F92">
              <w:rPr>
                <w:rFonts w:ascii="Arial Narrow" w:hAnsi="Arial Narrow"/>
                <w:b/>
                <w:bCs/>
              </w:rPr>
              <w:t>instalacji i wdrożenia programu przygotowania danych rozkładu jazdy ?</w:t>
            </w:r>
          </w:p>
        </w:tc>
        <w:tc>
          <w:tcPr>
            <w:tcW w:w="4678" w:type="dxa"/>
          </w:tcPr>
          <w:p w14:paraId="70FDD872" w14:textId="77777777" w:rsidR="008575CF" w:rsidRDefault="008575CF" w:rsidP="008575CF">
            <w:pPr>
              <w:ind w:left="321" w:hanging="321"/>
              <w:rPr>
                <w:rFonts w:ascii="Arial Narrow" w:hAnsi="Arial Narrow"/>
              </w:rPr>
            </w:pPr>
            <w:r>
              <w:rPr>
                <w:rFonts w:ascii="Arial Narrow" w:hAnsi="Arial Narrow"/>
              </w:rPr>
              <w:t>a) Zamawiający, oświadcza, że Operator wskazany przez niego udostępni dane realizowanego rozkładu jazdy, niezbędnego do programowania tablic informacyjnych w formacie GTFS;</w:t>
            </w:r>
          </w:p>
          <w:p w14:paraId="55657736" w14:textId="77777777" w:rsidR="008575CF" w:rsidRDefault="008575CF" w:rsidP="008575CF">
            <w:pPr>
              <w:ind w:left="321" w:hanging="321"/>
              <w:rPr>
                <w:rFonts w:ascii="Arial Narrow" w:hAnsi="Arial Narrow"/>
              </w:rPr>
            </w:pPr>
            <w:r>
              <w:rPr>
                <w:rFonts w:ascii="Arial Narrow" w:hAnsi="Arial Narrow"/>
              </w:rPr>
              <w:t>b)   Wszelkie dane dotyczące realizowanego rozkładu jazdy gromadzone są w programie będącym własnością Operatora, wskazanego przez Zamawiającego.</w:t>
            </w:r>
          </w:p>
          <w:p w14:paraId="309B3EBD" w14:textId="77777777" w:rsidR="008575CF" w:rsidRDefault="008575CF" w:rsidP="008575CF">
            <w:pPr>
              <w:ind w:left="321" w:hanging="321"/>
              <w:rPr>
                <w:rFonts w:ascii="Arial Narrow" w:hAnsi="Arial Narrow"/>
              </w:rPr>
            </w:pPr>
            <w:r>
              <w:rPr>
                <w:rFonts w:ascii="Arial Narrow" w:hAnsi="Arial Narrow"/>
              </w:rPr>
              <w:t>c)   nie dotyczy</w:t>
            </w:r>
          </w:p>
          <w:p w14:paraId="40C3CCD1" w14:textId="4EC2B69F" w:rsidR="008575CF" w:rsidRPr="00DF78D5" w:rsidRDefault="008575CF" w:rsidP="008575CF">
            <w:pPr>
              <w:rPr>
                <w:rFonts w:ascii="Arial Narrow" w:hAnsi="Arial Narrow"/>
              </w:rPr>
            </w:pPr>
            <w:r>
              <w:rPr>
                <w:rFonts w:ascii="Arial Narrow" w:hAnsi="Arial Narrow"/>
              </w:rPr>
              <w:t xml:space="preserve">d)  Zamawiający potwierdza, że Operator </w:t>
            </w:r>
            <w:r w:rsidRPr="00FE0F92">
              <w:rPr>
                <w:rFonts w:ascii="Arial Narrow" w:hAnsi="Arial Narrow"/>
                <w:b/>
                <w:bCs/>
              </w:rPr>
              <w:t xml:space="preserve">udostępni Wykonawcy </w:t>
            </w:r>
            <w:r>
              <w:rPr>
                <w:rFonts w:ascii="Arial Narrow" w:hAnsi="Arial Narrow"/>
                <w:b/>
                <w:bCs/>
              </w:rPr>
              <w:t xml:space="preserve">przestrzeń dyskową na swoim </w:t>
            </w:r>
            <w:r w:rsidRPr="00FE0F92">
              <w:rPr>
                <w:rFonts w:ascii="Arial Narrow" w:hAnsi="Arial Narrow"/>
                <w:b/>
                <w:bCs/>
              </w:rPr>
              <w:t>serwer</w:t>
            </w:r>
            <w:r>
              <w:rPr>
                <w:rFonts w:ascii="Arial Narrow" w:hAnsi="Arial Narrow"/>
                <w:b/>
                <w:bCs/>
              </w:rPr>
              <w:t>ze</w:t>
            </w:r>
            <w:r w:rsidRPr="00FE0F92">
              <w:rPr>
                <w:rFonts w:ascii="Arial Narrow" w:hAnsi="Arial Narrow"/>
                <w:b/>
                <w:bCs/>
              </w:rPr>
              <w:t xml:space="preserve"> </w:t>
            </w:r>
            <w:r>
              <w:rPr>
                <w:rFonts w:ascii="Arial Narrow" w:hAnsi="Arial Narrow"/>
                <w:b/>
                <w:bCs/>
              </w:rPr>
              <w:t xml:space="preserve">z oprogramowaniem systemowym bazującym na </w:t>
            </w:r>
            <w:proofErr w:type="spellStart"/>
            <w:r>
              <w:rPr>
                <w:rFonts w:ascii="Arial Narrow" w:hAnsi="Arial Narrow"/>
                <w:b/>
                <w:bCs/>
              </w:rPr>
              <w:t>Linuxie</w:t>
            </w:r>
            <w:proofErr w:type="spellEnd"/>
            <w:r>
              <w:rPr>
                <w:rFonts w:ascii="Arial Narrow" w:hAnsi="Arial Narrow"/>
                <w:b/>
                <w:bCs/>
              </w:rPr>
              <w:t xml:space="preserve">, </w:t>
            </w:r>
            <w:r w:rsidRPr="00FE0F92">
              <w:rPr>
                <w:rFonts w:ascii="Arial Narrow" w:hAnsi="Arial Narrow"/>
                <w:b/>
                <w:bCs/>
              </w:rPr>
              <w:t>dla</w:t>
            </w:r>
            <w:r>
              <w:rPr>
                <w:rFonts w:ascii="Arial Narrow" w:hAnsi="Arial Narrow"/>
                <w:b/>
                <w:bCs/>
              </w:rPr>
              <w:t xml:space="preserve"> </w:t>
            </w:r>
            <w:r w:rsidRPr="00FE0F92">
              <w:rPr>
                <w:rFonts w:ascii="Arial Narrow" w:hAnsi="Arial Narrow"/>
                <w:b/>
                <w:bCs/>
              </w:rPr>
              <w:t xml:space="preserve">instalacji i wdrożenia programu przygotowania danych </w:t>
            </w:r>
            <w:r>
              <w:rPr>
                <w:rFonts w:ascii="Arial Narrow" w:hAnsi="Arial Narrow"/>
                <w:b/>
                <w:bCs/>
              </w:rPr>
              <w:t xml:space="preserve">niezbędnych do projektowania i zarządzania treścią tablic informacyjnych pojazdu. </w:t>
            </w:r>
          </w:p>
        </w:tc>
      </w:tr>
      <w:tr w:rsidR="008575CF" w:rsidRPr="00890284" w14:paraId="455C78AD" w14:textId="77777777" w:rsidTr="00890284">
        <w:tc>
          <w:tcPr>
            <w:tcW w:w="993" w:type="dxa"/>
          </w:tcPr>
          <w:p w14:paraId="3FA7CE7E" w14:textId="61F620AC" w:rsidR="008575CF" w:rsidRPr="008575CF" w:rsidRDefault="008575CF" w:rsidP="008575CF">
            <w:pPr>
              <w:jc w:val="center"/>
              <w:rPr>
                <w:rFonts w:cs="Times New Roman"/>
                <w:sz w:val="22"/>
                <w:szCs w:val="22"/>
              </w:rPr>
            </w:pPr>
            <w:r w:rsidRPr="008575CF">
              <w:rPr>
                <w:rFonts w:cs="Times New Roman"/>
                <w:sz w:val="22"/>
                <w:szCs w:val="22"/>
              </w:rPr>
              <w:t>16.</w:t>
            </w:r>
          </w:p>
        </w:tc>
        <w:tc>
          <w:tcPr>
            <w:tcW w:w="4678" w:type="dxa"/>
          </w:tcPr>
          <w:p w14:paraId="3E80BDE0" w14:textId="77777777" w:rsidR="008575CF" w:rsidRPr="00E50B12" w:rsidRDefault="008575CF" w:rsidP="008575CF">
            <w:pPr>
              <w:rPr>
                <w:rFonts w:ascii="Arial Narrow" w:hAnsi="Arial Narrow"/>
              </w:rPr>
            </w:pPr>
            <w:r w:rsidRPr="00E50B12">
              <w:rPr>
                <w:rFonts w:ascii="Arial Narrow" w:hAnsi="Arial Narrow"/>
              </w:rPr>
              <w:t xml:space="preserve">7.3.1. System informacji pasażerskiej </w:t>
            </w:r>
            <w:r>
              <w:rPr>
                <w:rFonts w:ascii="Arial Narrow" w:hAnsi="Arial Narrow"/>
              </w:rPr>
              <w:t>–</w:t>
            </w:r>
            <w:r w:rsidRPr="00E50B12">
              <w:rPr>
                <w:rFonts w:ascii="Arial Narrow" w:hAnsi="Arial Narrow"/>
              </w:rPr>
              <w:t xml:space="preserve"> wewnętrznej</w:t>
            </w:r>
          </w:p>
          <w:p w14:paraId="6C00FD22" w14:textId="77777777" w:rsidR="008575CF" w:rsidRPr="00E50B12" w:rsidRDefault="008575CF" w:rsidP="008575CF">
            <w:pPr>
              <w:rPr>
                <w:rFonts w:ascii="Arial Narrow" w:hAnsi="Arial Narrow"/>
              </w:rPr>
            </w:pPr>
            <w:r w:rsidRPr="00E50B12">
              <w:rPr>
                <w:rFonts w:ascii="Arial Narrow" w:hAnsi="Arial Narrow"/>
              </w:rPr>
              <w:t>6) Wraz z autobusami Dostawca dostarczy</w:t>
            </w:r>
            <w:r>
              <w:rPr>
                <w:rFonts w:ascii="Arial Narrow" w:hAnsi="Arial Narrow"/>
              </w:rPr>
              <w:t xml:space="preserve"> </w:t>
            </w:r>
            <w:r w:rsidRPr="00E50B12">
              <w:rPr>
                <w:rFonts w:ascii="Arial Narrow" w:hAnsi="Arial Narrow"/>
              </w:rPr>
              <w:t>oprogramowanie, współpracujące z ogólnie</w:t>
            </w:r>
            <w:r>
              <w:rPr>
                <w:rFonts w:ascii="Arial Narrow" w:hAnsi="Arial Narrow"/>
              </w:rPr>
              <w:t xml:space="preserve"> </w:t>
            </w:r>
            <w:r w:rsidRPr="00E50B12">
              <w:rPr>
                <w:rFonts w:ascii="Arial Narrow" w:hAnsi="Arial Narrow"/>
              </w:rPr>
              <w:t>dostępnym oprogramowaniem systemowym (np. Windows 10/11 lub Linux) umożliwiające</w:t>
            </w:r>
            <w:r>
              <w:rPr>
                <w:rFonts w:ascii="Arial Narrow" w:hAnsi="Arial Narrow"/>
              </w:rPr>
              <w:t xml:space="preserve"> </w:t>
            </w:r>
            <w:r w:rsidRPr="00E50B12">
              <w:rPr>
                <w:rFonts w:ascii="Arial Narrow" w:hAnsi="Arial Narrow"/>
              </w:rPr>
              <w:t xml:space="preserve">przygotowanie treści informacji i treści reklamowych wyświetlanych przez </w:t>
            </w:r>
            <w:r>
              <w:rPr>
                <w:rFonts w:ascii="Arial Narrow" w:hAnsi="Arial Narrow"/>
              </w:rPr>
              <w:t>t</w:t>
            </w:r>
            <w:r w:rsidRPr="00E50B12">
              <w:rPr>
                <w:rFonts w:ascii="Arial Narrow" w:hAnsi="Arial Narrow"/>
              </w:rPr>
              <w:t>ablicę</w:t>
            </w:r>
            <w:r>
              <w:rPr>
                <w:rFonts w:ascii="Arial Narrow" w:hAnsi="Arial Narrow"/>
              </w:rPr>
              <w:t xml:space="preserve"> </w:t>
            </w:r>
            <w:r w:rsidRPr="00E50B12">
              <w:rPr>
                <w:rFonts w:ascii="Arial Narrow" w:hAnsi="Arial Narrow"/>
              </w:rPr>
              <w:t>informacyjną;</w:t>
            </w:r>
          </w:p>
          <w:p w14:paraId="7CFBFB7B" w14:textId="77777777" w:rsidR="008575CF" w:rsidRPr="00E50B12" w:rsidRDefault="008575CF" w:rsidP="008575CF">
            <w:pPr>
              <w:rPr>
                <w:rFonts w:ascii="Arial Narrow" w:hAnsi="Arial Narrow"/>
              </w:rPr>
            </w:pPr>
            <w:r w:rsidRPr="00E50B12">
              <w:rPr>
                <w:rFonts w:ascii="Arial Narrow" w:hAnsi="Arial Narrow"/>
              </w:rPr>
              <w:t>Pytanie:</w:t>
            </w:r>
          </w:p>
          <w:p w14:paraId="23A9955C" w14:textId="69EBA0E1" w:rsidR="008575CF" w:rsidRPr="00E50B12" w:rsidRDefault="008575CF" w:rsidP="008575CF">
            <w:pPr>
              <w:rPr>
                <w:rFonts w:ascii="Arial Narrow" w:hAnsi="Arial Narrow"/>
              </w:rPr>
            </w:pPr>
            <w:r w:rsidRPr="00FE0F92">
              <w:rPr>
                <w:rFonts w:ascii="Arial Narrow" w:hAnsi="Arial Narrow"/>
                <w:b/>
                <w:bCs/>
              </w:rPr>
              <w:t>Prosimy o potwierdzenie że to Zamawiający udostępni Wykonawcy komputer / serwer dla</w:t>
            </w:r>
            <w:r>
              <w:rPr>
                <w:rFonts w:ascii="Arial Narrow" w:hAnsi="Arial Narrow"/>
                <w:b/>
                <w:bCs/>
              </w:rPr>
              <w:t xml:space="preserve"> </w:t>
            </w:r>
            <w:r w:rsidRPr="00FE0F92">
              <w:rPr>
                <w:rFonts w:ascii="Arial Narrow" w:hAnsi="Arial Narrow"/>
                <w:b/>
                <w:bCs/>
              </w:rPr>
              <w:lastRenderedPageBreak/>
              <w:t xml:space="preserve">instalacji i wdrożenia programu przygotowania danych reklamowych </w:t>
            </w:r>
            <w:r w:rsidRPr="00E50B12">
              <w:rPr>
                <w:rFonts w:ascii="Arial Narrow" w:hAnsi="Arial Narrow"/>
              </w:rPr>
              <w:t>?</w:t>
            </w:r>
          </w:p>
        </w:tc>
        <w:tc>
          <w:tcPr>
            <w:tcW w:w="4678" w:type="dxa"/>
          </w:tcPr>
          <w:p w14:paraId="3BD3BF3E" w14:textId="0F87DA0B" w:rsidR="008575CF" w:rsidRDefault="008575CF" w:rsidP="008575CF">
            <w:pPr>
              <w:rPr>
                <w:rFonts w:ascii="Arial Narrow" w:hAnsi="Arial Narrow"/>
              </w:rPr>
            </w:pPr>
            <w:r>
              <w:rPr>
                <w:rFonts w:ascii="Arial Narrow" w:hAnsi="Arial Narrow"/>
              </w:rPr>
              <w:lastRenderedPageBreak/>
              <w:t xml:space="preserve">Zamawiający potwierdza, że Operator </w:t>
            </w:r>
            <w:r w:rsidRPr="00FE0F92">
              <w:rPr>
                <w:rFonts w:ascii="Arial Narrow" w:hAnsi="Arial Narrow"/>
                <w:b/>
                <w:bCs/>
              </w:rPr>
              <w:t xml:space="preserve">udostępni Wykonawcy </w:t>
            </w:r>
            <w:r>
              <w:rPr>
                <w:rFonts w:ascii="Arial Narrow" w:hAnsi="Arial Narrow"/>
                <w:b/>
                <w:bCs/>
              </w:rPr>
              <w:t xml:space="preserve">przestrzeń dyskową na swoim </w:t>
            </w:r>
            <w:r w:rsidRPr="00FE0F92">
              <w:rPr>
                <w:rFonts w:ascii="Arial Narrow" w:hAnsi="Arial Narrow"/>
                <w:b/>
                <w:bCs/>
              </w:rPr>
              <w:t>serwer</w:t>
            </w:r>
            <w:r>
              <w:rPr>
                <w:rFonts w:ascii="Arial Narrow" w:hAnsi="Arial Narrow"/>
                <w:b/>
                <w:bCs/>
              </w:rPr>
              <w:t>ze</w:t>
            </w:r>
            <w:r w:rsidRPr="00FE0F92">
              <w:rPr>
                <w:rFonts w:ascii="Arial Narrow" w:hAnsi="Arial Narrow"/>
                <w:b/>
                <w:bCs/>
              </w:rPr>
              <w:t xml:space="preserve"> </w:t>
            </w:r>
            <w:r>
              <w:rPr>
                <w:rFonts w:ascii="Arial Narrow" w:hAnsi="Arial Narrow"/>
                <w:b/>
                <w:bCs/>
              </w:rPr>
              <w:t xml:space="preserve">z oprogramowaniem systemowym bazującym na </w:t>
            </w:r>
            <w:proofErr w:type="spellStart"/>
            <w:r>
              <w:rPr>
                <w:rFonts w:ascii="Arial Narrow" w:hAnsi="Arial Narrow"/>
                <w:b/>
                <w:bCs/>
              </w:rPr>
              <w:t>Linuxie</w:t>
            </w:r>
            <w:proofErr w:type="spellEnd"/>
            <w:r>
              <w:rPr>
                <w:rFonts w:ascii="Arial Narrow" w:hAnsi="Arial Narrow"/>
                <w:b/>
                <w:bCs/>
              </w:rPr>
              <w:t xml:space="preserve">, </w:t>
            </w:r>
            <w:r w:rsidRPr="00FE0F92">
              <w:rPr>
                <w:rFonts w:ascii="Arial Narrow" w:hAnsi="Arial Narrow"/>
                <w:b/>
                <w:bCs/>
              </w:rPr>
              <w:t>dla</w:t>
            </w:r>
            <w:r>
              <w:rPr>
                <w:rFonts w:ascii="Arial Narrow" w:hAnsi="Arial Narrow"/>
                <w:b/>
                <w:bCs/>
              </w:rPr>
              <w:t xml:space="preserve"> </w:t>
            </w:r>
            <w:r w:rsidRPr="00FE0F92">
              <w:rPr>
                <w:rFonts w:ascii="Arial Narrow" w:hAnsi="Arial Narrow"/>
                <w:b/>
                <w:bCs/>
              </w:rPr>
              <w:t>instalacji i wdrożenia programu przygotowania danych reklamowych</w:t>
            </w:r>
            <w:r>
              <w:rPr>
                <w:rFonts w:ascii="Arial Narrow" w:hAnsi="Arial Narrow"/>
                <w:b/>
                <w:bCs/>
              </w:rPr>
              <w:t>.</w:t>
            </w:r>
          </w:p>
        </w:tc>
      </w:tr>
      <w:tr w:rsidR="008575CF" w:rsidRPr="00890284" w14:paraId="52EF2D05" w14:textId="77777777" w:rsidTr="00890284">
        <w:tc>
          <w:tcPr>
            <w:tcW w:w="993" w:type="dxa"/>
          </w:tcPr>
          <w:p w14:paraId="3E551FC9" w14:textId="61A1DCF2" w:rsidR="008575CF" w:rsidRPr="008575CF" w:rsidRDefault="008575CF" w:rsidP="008575CF">
            <w:pPr>
              <w:jc w:val="center"/>
              <w:rPr>
                <w:rFonts w:cs="Times New Roman"/>
                <w:sz w:val="22"/>
                <w:szCs w:val="22"/>
              </w:rPr>
            </w:pPr>
            <w:r w:rsidRPr="008575CF">
              <w:rPr>
                <w:rFonts w:cs="Times New Roman"/>
                <w:sz w:val="22"/>
                <w:szCs w:val="22"/>
              </w:rPr>
              <w:t>17.</w:t>
            </w:r>
          </w:p>
        </w:tc>
        <w:tc>
          <w:tcPr>
            <w:tcW w:w="4678" w:type="dxa"/>
          </w:tcPr>
          <w:p w14:paraId="16AF8867" w14:textId="77777777" w:rsidR="008575CF" w:rsidRPr="00E50B12" w:rsidRDefault="008575CF" w:rsidP="008575CF">
            <w:pPr>
              <w:rPr>
                <w:rFonts w:ascii="Arial Narrow" w:hAnsi="Arial Narrow"/>
              </w:rPr>
            </w:pPr>
            <w:r w:rsidRPr="00E50B12">
              <w:rPr>
                <w:rFonts w:ascii="Arial Narrow" w:hAnsi="Arial Narrow"/>
              </w:rPr>
              <w:t>7.3.1. System informacji pasażerskiej – wewnętrznej</w:t>
            </w:r>
          </w:p>
          <w:p w14:paraId="6710A1D2" w14:textId="77777777" w:rsidR="008575CF" w:rsidRPr="00E50B12" w:rsidRDefault="008575CF" w:rsidP="008575CF">
            <w:pPr>
              <w:rPr>
                <w:rFonts w:ascii="Arial Narrow" w:hAnsi="Arial Narrow"/>
              </w:rPr>
            </w:pPr>
            <w:r w:rsidRPr="00E50B12">
              <w:rPr>
                <w:rFonts w:ascii="Arial Narrow" w:hAnsi="Arial Narrow"/>
              </w:rPr>
              <w:t>5) Sterowanie treścią tablic musi być realizowane automatycznie, bez udziału kierowcy.</w:t>
            </w:r>
            <w:r>
              <w:rPr>
                <w:rFonts w:ascii="Arial Narrow" w:hAnsi="Arial Narrow"/>
              </w:rPr>
              <w:t xml:space="preserve"> </w:t>
            </w:r>
            <w:r w:rsidRPr="00E50B12">
              <w:rPr>
                <w:rFonts w:ascii="Arial Narrow" w:hAnsi="Arial Narrow"/>
              </w:rPr>
              <w:t>Nazwa przystanku musi być określana poprzez system GPS/GSM, natomiast nr linii i nazwa</w:t>
            </w:r>
            <w:r>
              <w:rPr>
                <w:rFonts w:ascii="Arial Narrow" w:hAnsi="Arial Narrow"/>
              </w:rPr>
              <w:t xml:space="preserve"> </w:t>
            </w:r>
            <w:r w:rsidRPr="00E50B12">
              <w:rPr>
                <w:rFonts w:ascii="Arial Narrow" w:hAnsi="Arial Narrow"/>
              </w:rPr>
              <w:t>przystanku docelowego ze sterownika, sterującego pracą tablic kierunkowych zewnętrznych;</w:t>
            </w:r>
          </w:p>
          <w:p w14:paraId="041CDD4B" w14:textId="77777777" w:rsidR="008575CF" w:rsidRDefault="008575CF" w:rsidP="008575CF">
            <w:pPr>
              <w:rPr>
                <w:rFonts w:ascii="Arial Narrow" w:hAnsi="Arial Narrow"/>
              </w:rPr>
            </w:pPr>
          </w:p>
          <w:p w14:paraId="62623E37" w14:textId="77777777" w:rsidR="008575CF" w:rsidRPr="00E50B12" w:rsidRDefault="008575CF" w:rsidP="008575CF">
            <w:pPr>
              <w:rPr>
                <w:rFonts w:ascii="Arial Narrow" w:hAnsi="Arial Narrow"/>
              </w:rPr>
            </w:pPr>
            <w:r w:rsidRPr="00E50B12">
              <w:rPr>
                <w:rFonts w:ascii="Arial Narrow" w:hAnsi="Arial Narrow"/>
              </w:rPr>
              <w:t>Pytanie:</w:t>
            </w:r>
          </w:p>
          <w:p w14:paraId="62B12C7F" w14:textId="6DF9B81E" w:rsidR="008575CF" w:rsidRPr="00E50B12" w:rsidRDefault="008575CF" w:rsidP="008575CF">
            <w:pPr>
              <w:rPr>
                <w:rFonts w:ascii="Arial Narrow" w:hAnsi="Arial Narrow"/>
              </w:rPr>
            </w:pPr>
            <w:r w:rsidRPr="00E50B12">
              <w:rPr>
                <w:rFonts w:ascii="Arial Narrow" w:hAnsi="Arial Narrow"/>
              </w:rPr>
              <w:t>Opisany system dla dostarczenia danych GPS wymaga połączenia transmisji danych</w:t>
            </w:r>
            <w:r>
              <w:rPr>
                <w:rFonts w:ascii="Arial Narrow" w:hAnsi="Arial Narrow"/>
              </w:rPr>
              <w:t xml:space="preserve"> </w:t>
            </w:r>
            <w:r w:rsidRPr="00E50B12">
              <w:rPr>
                <w:rFonts w:ascii="Arial Narrow" w:hAnsi="Arial Narrow"/>
              </w:rPr>
              <w:t xml:space="preserve">poprzez router GSM. </w:t>
            </w:r>
            <w:r w:rsidRPr="00FE0F92">
              <w:rPr>
                <w:rFonts w:ascii="Arial Narrow" w:hAnsi="Arial Narrow"/>
                <w:b/>
                <w:bCs/>
              </w:rPr>
              <w:t xml:space="preserve">Czy Zamawiający dostarczy kartę SIM wraz z pakietem danych potrzebnych do uzyskania połączenia dla tego rozwiązania? </w:t>
            </w:r>
            <w:r w:rsidRPr="00E50B12">
              <w:rPr>
                <w:rFonts w:ascii="Arial Narrow" w:hAnsi="Arial Narrow"/>
              </w:rPr>
              <w:t>Pragniemy zaznaczyć, że</w:t>
            </w:r>
            <w:r>
              <w:rPr>
                <w:rFonts w:ascii="Arial Narrow" w:hAnsi="Arial Narrow"/>
              </w:rPr>
              <w:t xml:space="preserve"> </w:t>
            </w:r>
            <w:r w:rsidRPr="00E50B12">
              <w:rPr>
                <w:rFonts w:ascii="Arial Narrow" w:hAnsi="Arial Narrow"/>
              </w:rPr>
              <w:t xml:space="preserve">opisane w pkt. 7.9. ‘’Urządzenie umożliwiające dostęp do </w:t>
            </w:r>
            <w:proofErr w:type="spellStart"/>
            <w:r w:rsidRPr="00E50B12">
              <w:rPr>
                <w:rFonts w:ascii="Arial Narrow" w:hAnsi="Arial Narrow"/>
              </w:rPr>
              <w:t>internetu</w:t>
            </w:r>
            <w:proofErr w:type="spellEnd"/>
            <w:r w:rsidRPr="00E50B12">
              <w:rPr>
                <w:rFonts w:ascii="Arial Narrow" w:hAnsi="Arial Narrow"/>
              </w:rPr>
              <w:t xml:space="preserve"> przez pasażerów’’ nie</w:t>
            </w:r>
            <w:r>
              <w:rPr>
                <w:rFonts w:ascii="Arial Narrow" w:hAnsi="Arial Narrow"/>
              </w:rPr>
              <w:t xml:space="preserve"> </w:t>
            </w:r>
            <w:r w:rsidRPr="00E50B12">
              <w:rPr>
                <w:rFonts w:ascii="Arial Narrow" w:hAnsi="Arial Narrow"/>
              </w:rPr>
              <w:t xml:space="preserve">może zostać wykorzystana „dwutorowo” dla dostępu do </w:t>
            </w:r>
            <w:proofErr w:type="spellStart"/>
            <w:r w:rsidRPr="00E50B12">
              <w:rPr>
                <w:rFonts w:ascii="Arial Narrow" w:hAnsi="Arial Narrow"/>
              </w:rPr>
              <w:t>internetu</w:t>
            </w:r>
            <w:proofErr w:type="spellEnd"/>
            <w:r w:rsidRPr="00E50B12">
              <w:rPr>
                <w:rFonts w:ascii="Arial Narrow" w:hAnsi="Arial Narrow"/>
              </w:rPr>
              <w:t xml:space="preserve"> dla pasażerów i</w:t>
            </w:r>
            <w:r>
              <w:rPr>
                <w:rFonts w:ascii="Arial Narrow" w:hAnsi="Arial Narrow"/>
              </w:rPr>
              <w:t xml:space="preserve"> </w:t>
            </w:r>
            <w:r w:rsidRPr="00E50B12">
              <w:rPr>
                <w:rFonts w:ascii="Arial Narrow" w:hAnsi="Arial Narrow"/>
              </w:rPr>
              <w:t>dostarczenia danych GPS.</w:t>
            </w:r>
          </w:p>
        </w:tc>
        <w:tc>
          <w:tcPr>
            <w:tcW w:w="4678" w:type="dxa"/>
          </w:tcPr>
          <w:p w14:paraId="4204F31B" w14:textId="20194592" w:rsidR="008575CF" w:rsidRDefault="008575CF" w:rsidP="008575CF">
            <w:pPr>
              <w:rPr>
                <w:rFonts w:ascii="Arial Narrow" w:hAnsi="Arial Narrow"/>
              </w:rPr>
            </w:pPr>
            <w:r>
              <w:rPr>
                <w:rFonts w:ascii="Arial Narrow" w:hAnsi="Arial Narrow"/>
              </w:rPr>
              <w:t>Zamawiający oświadcza, że karty SIM do routerów, stanowiących wyposażenie pojazdów, dostarczy we własnym zakresie Operator, wskazany przez Zamawiającego, w ramach własnej umowy zawartej z operatorem sieci GSM.</w:t>
            </w:r>
          </w:p>
        </w:tc>
      </w:tr>
    </w:tbl>
    <w:p w14:paraId="528B939D" w14:textId="36CE0AD5" w:rsidR="00617257" w:rsidRPr="00884B0E" w:rsidRDefault="00617257" w:rsidP="00617257">
      <w:pPr>
        <w:rPr>
          <w:rFonts w:cs="Times New Roman"/>
          <w:sz w:val="22"/>
          <w:szCs w:val="22"/>
        </w:rPr>
      </w:pPr>
    </w:p>
    <w:sectPr w:rsidR="00617257" w:rsidRPr="00884B0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8A75" w14:textId="77777777" w:rsidR="00567FB8" w:rsidRDefault="00567FB8" w:rsidP="00137441">
      <w:pPr>
        <w:spacing w:line="240" w:lineRule="auto"/>
      </w:pPr>
      <w:r>
        <w:separator/>
      </w:r>
    </w:p>
  </w:endnote>
  <w:endnote w:type="continuationSeparator" w:id="0">
    <w:p w14:paraId="331ED45D" w14:textId="77777777" w:rsidR="00567FB8" w:rsidRDefault="00567FB8" w:rsidP="00137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1442" w14:textId="77777777" w:rsidR="00137441" w:rsidRPr="00C12CFB" w:rsidRDefault="00137441" w:rsidP="00137441">
    <w:pPr>
      <w:spacing w:line="240" w:lineRule="auto"/>
      <w:rPr>
        <w:rFonts w:asciiTheme="minorHAnsi" w:hAnsiTheme="minorHAnsi" w:cstheme="minorHAnsi"/>
        <w:b/>
        <w:bCs/>
        <w:sz w:val="20"/>
        <w:szCs w:val="20"/>
      </w:rPr>
    </w:pPr>
    <w:r>
      <w:rPr>
        <w:rFonts w:asciiTheme="minorHAnsi" w:hAnsiTheme="minorHAnsi" w:cstheme="minorHAnsi"/>
        <w:b/>
        <w:bCs/>
        <w:sz w:val="20"/>
        <w:szCs w:val="20"/>
      </w:rPr>
      <w:ptab w:relativeTo="margin" w:alignment="center" w:leader="none"/>
    </w:r>
    <w:r w:rsidRPr="00C12CFB">
      <w:rPr>
        <w:rFonts w:asciiTheme="minorHAnsi" w:hAnsiTheme="minorHAnsi" w:cstheme="minorHAnsi"/>
        <w:b/>
        <w:bCs/>
        <w:sz w:val="20"/>
        <w:szCs w:val="20"/>
      </w:rPr>
      <w:t>Związek Powiatowo-Gminny „W</w:t>
    </w:r>
    <w:r>
      <w:rPr>
        <w:rFonts w:cstheme="minorHAnsi"/>
        <w:b/>
        <w:bCs/>
        <w:sz w:val="20"/>
        <w:szCs w:val="20"/>
      </w:rPr>
      <w:t>IELKOPOLSKI TRANSPORT REGIONALNY”</w:t>
    </w:r>
  </w:p>
  <w:p w14:paraId="61E4D562" w14:textId="77777777" w:rsidR="00137441" w:rsidRPr="00C12CFB" w:rsidRDefault="00137441" w:rsidP="00137441">
    <w:pPr>
      <w:spacing w:line="240" w:lineRule="auto"/>
      <w:rPr>
        <w:rFonts w:asciiTheme="minorHAnsi" w:hAnsiTheme="minorHAnsi" w:cstheme="minorHAnsi"/>
        <w:b/>
        <w:bCs/>
        <w:sz w:val="20"/>
        <w:szCs w:val="20"/>
      </w:rPr>
    </w:pPr>
    <w:r>
      <w:rPr>
        <w:rFonts w:asciiTheme="minorHAnsi" w:hAnsiTheme="minorHAnsi" w:cstheme="minorHAnsi"/>
        <w:b/>
        <w:bCs/>
        <w:sz w:val="20"/>
        <w:szCs w:val="20"/>
      </w:rPr>
      <w:ptab w:relativeTo="margin" w:alignment="center" w:leader="none"/>
    </w:r>
    <w:r w:rsidRPr="00C12CFB">
      <w:rPr>
        <w:rFonts w:asciiTheme="minorHAnsi" w:hAnsiTheme="minorHAnsi" w:cstheme="minorHAnsi"/>
        <w:b/>
        <w:bCs/>
        <w:sz w:val="20"/>
        <w:szCs w:val="20"/>
      </w:rPr>
      <w:t>61-851 Poznań ul. Zielona 8 NIP: 7831841295 REGON: 389662834</w:t>
    </w:r>
  </w:p>
  <w:p w14:paraId="22DAED4A" w14:textId="77777777" w:rsidR="00137441" w:rsidRDefault="00137441" w:rsidP="00137441">
    <w:pPr>
      <w:pStyle w:val="Stopka"/>
    </w:pPr>
  </w:p>
  <w:p w14:paraId="26C3E672" w14:textId="77777777" w:rsidR="00137441" w:rsidRDefault="001374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EF9F" w14:textId="77777777" w:rsidR="00567FB8" w:rsidRDefault="00567FB8" w:rsidP="00137441">
      <w:pPr>
        <w:spacing w:line="240" w:lineRule="auto"/>
      </w:pPr>
      <w:r>
        <w:separator/>
      </w:r>
    </w:p>
  </w:footnote>
  <w:footnote w:type="continuationSeparator" w:id="0">
    <w:p w14:paraId="6380DD02" w14:textId="77777777" w:rsidR="00567FB8" w:rsidRDefault="00567FB8" w:rsidP="001374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C5301"/>
    <w:multiLevelType w:val="hybridMultilevel"/>
    <w:tmpl w:val="ECC04304"/>
    <w:lvl w:ilvl="0" w:tplc="E45050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44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0E"/>
    <w:rsid w:val="00137441"/>
    <w:rsid w:val="00236FFC"/>
    <w:rsid w:val="002B7EDF"/>
    <w:rsid w:val="003526FE"/>
    <w:rsid w:val="004A1E58"/>
    <w:rsid w:val="00551811"/>
    <w:rsid w:val="00567FB8"/>
    <w:rsid w:val="005A1DEF"/>
    <w:rsid w:val="005E606B"/>
    <w:rsid w:val="00617257"/>
    <w:rsid w:val="007F563E"/>
    <w:rsid w:val="008575CF"/>
    <w:rsid w:val="00884B0E"/>
    <w:rsid w:val="00890284"/>
    <w:rsid w:val="00896A22"/>
    <w:rsid w:val="008B0C83"/>
    <w:rsid w:val="008E4685"/>
    <w:rsid w:val="00915236"/>
    <w:rsid w:val="00A064FA"/>
    <w:rsid w:val="00A25CF6"/>
    <w:rsid w:val="00A31654"/>
    <w:rsid w:val="00AA0606"/>
    <w:rsid w:val="00D506BC"/>
    <w:rsid w:val="00D70C41"/>
    <w:rsid w:val="00DF78D5"/>
    <w:rsid w:val="00E37628"/>
    <w:rsid w:val="00E44CB7"/>
    <w:rsid w:val="00F97B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7AEB"/>
  <w15:chartTrackingRefBased/>
  <w15:docId w15:val="{A4B08AB2-A283-412A-9623-219165F5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4B0E"/>
    <w:pPr>
      <w:widowControl w:val="0"/>
      <w:suppressAutoHyphens/>
      <w:spacing w:after="0" w:line="100" w:lineRule="atLeast"/>
      <w:jc w:val="both"/>
    </w:pPr>
    <w:rPr>
      <w:rFonts w:ascii="Times New Roman" w:eastAsia="Lucida Sans Unicode"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17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37441"/>
    <w:pPr>
      <w:tabs>
        <w:tab w:val="center" w:pos="4536"/>
        <w:tab w:val="right" w:pos="9072"/>
      </w:tabs>
      <w:spacing w:line="240" w:lineRule="auto"/>
    </w:pPr>
    <w:rPr>
      <w:szCs w:val="21"/>
    </w:rPr>
  </w:style>
  <w:style w:type="character" w:customStyle="1" w:styleId="NagwekZnak">
    <w:name w:val="Nagłówek Znak"/>
    <w:basedOn w:val="Domylnaczcionkaakapitu"/>
    <w:link w:val="Nagwek"/>
    <w:uiPriority w:val="99"/>
    <w:rsid w:val="00137441"/>
    <w:rPr>
      <w:rFonts w:ascii="Times New Roman" w:eastAsia="Lucida Sans Unicode" w:hAnsi="Times New Roman" w:cs="Mangal"/>
      <w:kern w:val="1"/>
      <w:sz w:val="24"/>
      <w:szCs w:val="21"/>
      <w:lang w:eastAsia="hi-IN" w:bidi="hi-IN"/>
    </w:rPr>
  </w:style>
  <w:style w:type="paragraph" w:styleId="Stopka">
    <w:name w:val="footer"/>
    <w:basedOn w:val="Normalny"/>
    <w:link w:val="StopkaZnak"/>
    <w:uiPriority w:val="99"/>
    <w:unhideWhenUsed/>
    <w:rsid w:val="00137441"/>
    <w:pPr>
      <w:tabs>
        <w:tab w:val="center" w:pos="4536"/>
        <w:tab w:val="right" w:pos="9072"/>
      </w:tabs>
      <w:spacing w:line="240" w:lineRule="auto"/>
    </w:pPr>
    <w:rPr>
      <w:szCs w:val="21"/>
    </w:rPr>
  </w:style>
  <w:style w:type="character" w:customStyle="1" w:styleId="StopkaZnak">
    <w:name w:val="Stopka Znak"/>
    <w:basedOn w:val="Domylnaczcionkaakapitu"/>
    <w:link w:val="Stopka"/>
    <w:uiPriority w:val="99"/>
    <w:rsid w:val="00137441"/>
    <w:rPr>
      <w:rFonts w:ascii="Times New Roman" w:eastAsia="Lucida Sans Unicode" w:hAnsi="Times New Roman" w:cs="Mangal"/>
      <w:kern w:val="1"/>
      <w:sz w:val="24"/>
      <w:szCs w:val="21"/>
      <w:lang w:eastAsia="hi-IN" w:bidi="hi-IN"/>
    </w:rPr>
  </w:style>
  <w:style w:type="character" w:styleId="Hipercze">
    <w:name w:val="Hyperlink"/>
    <w:basedOn w:val="Domylnaczcionkaakapitu"/>
    <w:uiPriority w:val="99"/>
    <w:unhideWhenUsed/>
    <w:rsid w:val="00890284"/>
    <w:rPr>
      <w:color w:val="0563C1" w:themeColor="hyperlink"/>
      <w:u w:val="single"/>
    </w:rPr>
  </w:style>
  <w:style w:type="paragraph" w:styleId="Akapitzlist">
    <w:name w:val="List Paragraph"/>
    <w:basedOn w:val="Normalny"/>
    <w:uiPriority w:val="34"/>
    <w:qFormat/>
    <w:rsid w:val="00890284"/>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41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2436</Words>
  <Characters>14616</Characters>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2023-04-11T14:05:00Z</dcterms:created>
  <dcterms:modified xsi:type="dcterms:W3CDTF">2023-04-11T14:32:00Z</dcterms:modified>
</cp:coreProperties>
</file>