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101955" w:rsidP="008840D4">
      <w:pPr>
        <w:spacing w:after="0" w:line="259" w:lineRule="auto"/>
        <w:ind w:right="886"/>
        <w:jc w:val="center"/>
        <w:rPr>
          <w:rFonts w:cstheme="minorHAnsi"/>
          <w:b/>
          <w:bCs/>
          <w:sz w:val="26"/>
          <w:szCs w:val="26"/>
        </w:rPr>
      </w:pPr>
      <w:r>
        <w:rPr>
          <w:rFonts w:cstheme="minorHAnsi"/>
          <w:b/>
          <w:bCs/>
          <w:sz w:val="26"/>
          <w:szCs w:val="26"/>
        </w:rPr>
        <w:t xml:space="preserve">Modernizacja </w:t>
      </w:r>
      <w:r w:rsidR="001315D0">
        <w:rPr>
          <w:rFonts w:cstheme="minorHAnsi"/>
          <w:b/>
          <w:bCs/>
          <w:sz w:val="26"/>
          <w:szCs w:val="26"/>
        </w:rPr>
        <w:t>terenów utwardzonych</w:t>
      </w:r>
      <w:r>
        <w:rPr>
          <w:rFonts w:cstheme="minorHAnsi"/>
          <w:b/>
          <w:bCs/>
          <w:sz w:val="26"/>
          <w:szCs w:val="26"/>
        </w:rPr>
        <w:t xml:space="preserve"> </w:t>
      </w:r>
      <w:r w:rsidR="0021217E">
        <w:rPr>
          <w:rFonts w:cstheme="minorHAnsi"/>
          <w:b/>
          <w:bCs/>
          <w:sz w:val="26"/>
          <w:szCs w:val="26"/>
        </w:rPr>
        <w:t>w</w:t>
      </w:r>
      <w:r>
        <w:rPr>
          <w:rFonts w:cstheme="minorHAnsi"/>
          <w:b/>
          <w:bCs/>
          <w:sz w:val="26"/>
          <w:szCs w:val="26"/>
        </w:rPr>
        <w:t xml:space="preserve"> Gmin</w:t>
      </w:r>
      <w:r w:rsidR="0021217E">
        <w:rPr>
          <w:rFonts w:cstheme="minorHAnsi"/>
          <w:b/>
          <w:bCs/>
          <w:sz w:val="26"/>
          <w:szCs w:val="26"/>
        </w:rPr>
        <w:t>ie</w:t>
      </w:r>
      <w:r>
        <w:rPr>
          <w:rFonts w:cstheme="minorHAnsi"/>
          <w:b/>
          <w:bCs/>
          <w:sz w:val="26"/>
          <w:szCs w:val="26"/>
        </w:rPr>
        <w:t xml:space="preserve"> Resko</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45220000-5 Roboty inżynieryjne i budowlane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45233120-6 Roboty w zakresie budowy dróg</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45310000-3 Roboty instalacyjne elektryczne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45330000-9 Roboty instalacyjne wodno-kanalizacyjne i sanitarne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455B45">
        <w:rPr>
          <w:rFonts w:cstheme="minorHAnsi"/>
          <w:sz w:val="21"/>
        </w:rPr>
        <w:t xml:space="preserve"> </w:t>
      </w:r>
      <w:r w:rsidR="00CF054C">
        <w:rPr>
          <w:rFonts w:cstheme="minorHAnsi"/>
          <w:sz w:val="21"/>
        </w:rPr>
        <w:t xml:space="preserve">lipiec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1A11C0">
              <w:rPr>
                <w:noProof/>
                <w:webHidden/>
              </w:rPr>
              <w:t>3</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Pr>
                <w:noProof/>
                <w:webHidden/>
              </w:rPr>
              <w:t>8</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Pr>
                <w:noProof/>
                <w:webHidden/>
              </w:rPr>
              <w:t>8</w:t>
            </w:r>
            <w:r w:rsidR="00797AF4">
              <w:rPr>
                <w:noProof/>
                <w:webHidden/>
              </w:rPr>
              <w:fldChar w:fldCharType="end"/>
            </w:r>
          </w:hyperlink>
        </w:p>
        <w:p w:rsidR="00797AF4" w:rsidRDefault="001A11C0">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Pr>
                <w:noProof/>
                <w:webHidden/>
              </w:rPr>
              <w:t>12</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Pr>
                <w:noProof/>
                <w:webHidden/>
              </w:rPr>
              <w:t>12</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Pr>
                <w:noProof/>
                <w:webHidden/>
              </w:rPr>
              <w:t>13</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Pr>
                <w:noProof/>
                <w:webHidden/>
              </w:rPr>
              <w:t>14</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Pr>
                <w:noProof/>
                <w:webHidden/>
              </w:rPr>
              <w:t>16</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Pr>
                <w:noProof/>
                <w:webHidden/>
              </w:rPr>
              <w:t>16</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Pr>
                <w:noProof/>
                <w:webHidden/>
              </w:rPr>
              <w:t>18</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Pr>
                <w:noProof/>
                <w:webHidden/>
              </w:rPr>
              <w:t>18</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Pr>
                <w:noProof/>
                <w:webHidden/>
              </w:rPr>
              <w:t>19</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Pr>
                <w:noProof/>
                <w:webHidden/>
              </w:rPr>
              <w:t>20</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797AF4" w:rsidRDefault="001A11C0">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bookmarkStart w:id="0" w:name="_GoBack"/>
      <w:bookmarkEnd w:id="0"/>
    </w:p>
    <w:p w:rsidR="007011F6" w:rsidRPr="00265764" w:rsidRDefault="007011F6" w:rsidP="00FA77A5">
      <w:pPr>
        <w:pStyle w:val="Nagwek1"/>
        <w:ind w:left="426" w:hanging="426"/>
      </w:pPr>
      <w:bookmarkStart w:id="1" w:name="_Toc72397732"/>
      <w:r w:rsidRPr="00265764">
        <w:lastRenderedPageBreak/>
        <w:t>Zamawiający</w:t>
      </w:r>
      <w:bookmarkEnd w:id="1"/>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1A11C0"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2" w:name="_Toc72397733"/>
      <w:r w:rsidRPr="00265764">
        <w:t>Strona internetowa</w:t>
      </w:r>
      <w:bookmarkEnd w:id="2"/>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093B6F" w:rsidRPr="00093B6F" w:rsidRDefault="001A11C0" w:rsidP="00093B6F">
      <w:pPr>
        <w:pStyle w:val="Akapitzlist"/>
        <w:rPr>
          <w:rFonts w:cstheme="minorHAnsi"/>
        </w:rPr>
      </w:pPr>
      <w:hyperlink r:id="rId12" w:history="1">
        <w:r w:rsidR="00093B6F" w:rsidRPr="00093B6F">
          <w:rPr>
            <w:rStyle w:val="Hipercze"/>
            <w:rFonts w:cstheme="minorHAnsi"/>
          </w:rPr>
          <w:t>https://platformazakupowa.pl/transakcja/481225</w:t>
        </w:r>
      </w:hyperlink>
      <w:r w:rsidR="00093B6F">
        <w:rPr>
          <w:rFonts w:cstheme="minorHAnsi"/>
        </w:rPr>
        <w:t xml:space="preserve"> </w:t>
      </w:r>
    </w:p>
    <w:p w:rsidR="007011F6" w:rsidRPr="00265764" w:rsidRDefault="007011F6" w:rsidP="00FA77A5">
      <w:pPr>
        <w:pStyle w:val="Nagwek1"/>
        <w:ind w:left="426" w:hanging="426"/>
      </w:pPr>
      <w:bookmarkStart w:id="3" w:name="_Toc72397734"/>
      <w:r w:rsidRPr="00265764">
        <w:t>Procedura postępowania</w:t>
      </w:r>
      <w:bookmarkEnd w:id="3"/>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5" w:name="_Toc72397735"/>
      <w:bookmarkEnd w:id="4"/>
      <w:r w:rsidRPr="00265764">
        <w:t>Negocjacje</w:t>
      </w:r>
      <w:bookmarkEnd w:id="5"/>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6" w:name="_Toc72397736"/>
      <w:r w:rsidRPr="00265764">
        <w:t>Opis przedmiotu zamówienia</w:t>
      </w:r>
      <w:bookmarkEnd w:id="6"/>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2A43E3" w:rsidRPr="002A43E3" w:rsidRDefault="002A43E3" w:rsidP="002A43E3">
      <w:pPr>
        <w:pStyle w:val="Akapitzlist"/>
        <w:rPr>
          <w:rFonts w:cstheme="minorHAnsi"/>
        </w:rPr>
      </w:pPr>
      <w:r w:rsidRPr="002A43E3">
        <w:rPr>
          <w:rFonts w:cstheme="minorHAnsi"/>
        </w:rPr>
        <w:t>45310000-3 Roboty instalacyjne elektryczne</w:t>
      </w:r>
    </w:p>
    <w:p w:rsidR="00B154F2" w:rsidRPr="00561093" w:rsidRDefault="002A43E3" w:rsidP="002A43E3">
      <w:pPr>
        <w:pStyle w:val="Akapitzlist"/>
        <w:rPr>
          <w:rFonts w:cstheme="minorHAnsi"/>
        </w:rPr>
      </w:pPr>
      <w:r w:rsidRPr="002A43E3">
        <w:rPr>
          <w:rFonts w:cstheme="minorHAnsi"/>
        </w:rPr>
        <w:t>45330000-9 Roboty instalacyjne wodno-kanalizacyjne i sanitarne</w:t>
      </w:r>
    </w:p>
    <w:p w:rsidR="008840D4" w:rsidRPr="008840D4"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dokumentami zamówienia (SWZ, opis standardu wykonania,</w:t>
      </w:r>
      <w:r w:rsidR="000307FB" w:rsidRPr="000307FB">
        <w:rPr>
          <w:rFonts w:cstheme="minorHAnsi"/>
          <w:szCs w:val="20"/>
        </w:rPr>
        <w:t xml:space="preserve"> </w:t>
      </w:r>
      <w:r w:rsidR="00CF054C">
        <w:rPr>
          <w:rFonts w:cstheme="minorHAnsi"/>
          <w:szCs w:val="20"/>
        </w:rPr>
        <w:t xml:space="preserve">projekt dla zakresu ZS Resko, </w:t>
      </w:r>
      <w:r w:rsidR="000307FB" w:rsidRPr="000307FB">
        <w:rPr>
          <w:rFonts w:cstheme="minorHAnsi"/>
          <w:szCs w:val="20"/>
        </w:rPr>
        <w:t>oznaczenie lokal</w:t>
      </w:r>
      <w:r w:rsidR="000307FB">
        <w:rPr>
          <w:rFonts w:cstheme="minorHAnsi"/>
          <w:szCs w:val="20"/>
        </w:rPr>
        <w:t>izacji,</w:t>
      </w:r>
      <w:r w:rsidR="000307FB" w:rsidRPr="000307FB">
        <w:rPr>
          <w:rFonts w:cstheme="minorHAnsi"/>
          <w:szCs w:val="20"/>
        </w:rPr>
        <w:t xml:space="preserve"> przedmiar</w:t>
      </w:r>
      <w:r w:rsidR="000307FB">
        <w:rPr>
          <w:rFonts w:cstheme="minorHAnsi"/>
          <w:szCs w:val="20"/>
        </w:rPr>
        <w:t>)</w:t>
      </w:r>
      <w:r w:rsidRPr="008840D4">
        <w:rPr>
          <w:rFonts w:cstheme="minorHAnsi"/>
          <w:szCs w:val="20"/>
        </w:rPr>
        <w:t>. Przedmiot zamówienia:</w:t>
      </w:r>
    </w:p>
    <w:p w:rsidR="00CF054C" w:rsidRPr="00CF054C" w:rsidRDefault="00CF054C" w:rsidP="00CF054C">
      <w:pPr>
        <w:pStyle w:val="Akapitzlist"/>
        <w:numPr>
          <w:ilvl w:val="1"/>
          <w:numId w:val="7"/>
        </w:numPr>
        <w:rPr>
          <w:rFonts w:cstheme="minorHAnsi"/>
          <w:szCs w:val="20"/>
        </w:rPr>
      </w:pPr>
      <w:r w:rsidRPr="00CF054C">
        <w:rPr>
          <w:rFonts w:cstheme="minorHAnsi"/>
          <w:szCs w:val="20"/>
        </w:rPr>
        <w:lastRenderedPageBreak/>
        <w:t>Wykonanie robót budowlanych polegających na likwidacj</w:t>
      </w:r>
      <w:r>
        <w:rPr>
          <w:rFonts w:cstheme="minorHAnsi"/>
          <w:szCs w:val="20"/>
        </w:rPr>
        <w:t>i</w:t>
      </w:r>
      <w:r w:rsidRPr="00CF054C">
        <w:rPr>
          <w:rFonts w:cstheme="minorHAnsi"/>
          <w:szCs w:val="20"/>
        </w:rPr>
        <w:t xml:space="preserve"> barier architektonicznych w budynku Zespołu Szkół w Resku zgodnie z załączoną dokumentacją.</w:t>
      </w:r>
    </w:p>
    <w:p w:rsidR="00CF054C" w:rsidRPr="00CF054C" w:rsidRDefault="00CF054C" w:rsidP="00CF054C">
      <w:pPr>
        <w:pStyle w:val="Akapitzlist"/>
        <w:ind w:left="1440"/>
        <w:rPr>
          <w:rFonts w:cstheme="minorHAnsi"/>
          <w:szCs w:val="20"/>
        </w:rPr>
      </w:pPr>
      <w:r w:rsidRPr="00CF054C">
        <w:rPr>
          <w:rFonts w:cstheme="minorHAnsi"/>
          <w:szCs w:val="20"/>
        </w:rPr>
        <w:t>Inwestycja obejmuje działki 699, 581/1 i 806/1 obręb miasta Resko. Teren objęty inwestycją stanowi teren utwardzony brukiem betonowym oraz płytami betonowymi. Teren ten jest w złym stanie technicznym, jest w dużym stopniu zdegradowany, uniemożliwia komunikację osobą niepełnosprawnym. Ponadto istniejący stan uniemożliwia dostęp do budynku osobom niepełnosprawnym.</w:t>
      </w:r>
    </w:p>
    <w:p w:rsidR="00CF054C" w:rsidRDefault="00CF054C" w:rsidP="00CF054C">
      <w:pPr>
        <w:pStyle w:val="Akapitzlist"/>
        <w:ind w:left="1440"/>
        <w:rPr>
          <w:rFonts w:cstheme="minorHAnsi"/>
          <w:szCs w:val="20"/>
        </w:rPr>
      </w:pPr>
      <w:r w:rsidRPr="00CF054C">
        <w:rPr>
          <w:rFonts w:cstheme="minorHAnsi"/>
          <w:szCs w:val="20"/>
        </w:rPr>
        <w:t>Celem projektu oraz inwestycji jest likwidacja barier architektonicznych w budynku</w:t>
      </w:r>
      <w:r>
        <w:rPr>
          <w:rFonts w:cstheme="minorHAnsi"/>
          <w:szCs w:val="20"/>
        </w:rPr>
        <w:t xml:space="preserve"> </w:t>
      </w:r>
      <w:r w:rsidRPr="00CF054C">
        <w:rPr>
          <w:rFonts w:cstheme="minorHAnsi"/>
          <w:szCs w:val="20"/>
        </w:rPr>
        <w:t>Zespołu Szkół w Resku przy ul. Mariana Buczka 15 poprzez</w:t>
      </w:r>
      <w:r>
        <w:rPr>
          <w:rFonts w:cstheme="minorHAnsi"/>
          <w:szCs w:val="20"/>
        </w:rPr>
        <w:t xml:space="preserve"> </w:t>
      </w:r>
      <w:r w:rsidRPr="00CF054C">
        <w:rPr>
          <w:rFonts w:cstheme="minorHAnsi"/>
          <w:szCs w:val="20"/>
        </w:rPr>
        <w:t>budowę pochylni dla osób niepełnosprawnych,</w:t>
      </w:r>
      <w:r>
        <w:rPr>
          <w:rFonts w:cstheme="minorHAnsi"/>
          <w:szCs w:val="20"/>
        </w:rPr>
        <w:t xml:space="preserve"> </w:t>
      </w:r>
      <w:r w:rsidRPr="00CF054C">
        <w:rPr>
          <w:rFonts w:cstheme="minorHAnsi"/>
          <w:szCs w:val="20"/>
        </w:rPr>
        <w:t>wykonanie miejsc postojowych</w:t>
      </w:r>
      <w:r>
        <w:rPr>
          <w:rFonts w:cstheme="minorHAnsi"/>
          <w:szCs w:val="20"/>
        </w:rPr>
        <w:t xml:space="preserve"> </w:t>
      </w:r>
      <w:r w:rsidRPr="00CF054C">
        <w:rPr>
          <w:rFonts w:cstheme="minorHAnsi"/>
          <w:szCs w:val="20"/>
        </w:rPr>
        <w:t>wykonanie dojść i dojazdu do budynku z uwzględnieniem potrzeb osób</w:t>
      </w:r>
      <w:r>
        <w:rPr>
          <w:rFonts w:cstheme="minorHAnsi"/>
          <w:szCs w:val="20"/>
        </w:rPr>
        <w:t xml:space="preserve"> </w:t>
      </w:r>
      <w:r w:rsidRPr="00CF054C">
        <w:rPr>
          <w:rFonts w:cstheme="minorHAnsi"/>
          <w:szCs w:val="20"/>
        </w:rPr>
        <w:t>niepełnosprawnych.</w:t>
      </w:r>
    </w:p>
    <w:p w:rsidR="00CF054C" w:rsidRPr="00CF054C" w:rsidRDefault="00CF054C" w:rsidP="00CF054C">
      <w:pPr>
        <w:pStyle w:val="Akapitzlist"/>
        <w:ind w:left="1440"/>
        <w:rPr>
          <w:rFonts w:cstheme="minorHAnsi"/>
          <w:szCs w:val="20"/>
        </w:rPr>
      </w:pPr>
      <w:r w:rsidRPr="00CF054C">
        <w:rPr>
          <w:rFonts w:cstheme="minorHAnsi"/>
          <w:szCs w:val="20"/>
        </w:rPr>
        <w:t>Zakres robót budowlanych obejmuje:</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rozbiórkę istniejących nawierzchni betonowych,</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profilowanie terenu pod warstwy konstrukcyjne,</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wykonanie warstwy ścieralnej z bruku betonowego,</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wykonanie pochylni,</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istniejących schodów</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istniejącego podestu</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nawierzchnie holu wejściowego budynku.</w:t>
      </w:r>
    </w:p>
    <w:p w:rsidR="00CF054C" w:rsidRPr="00CF054C" w:rsidRDefault="00CF054C" w:rsidP="00CF054C">
      <w:pPr>
        <w:pStyle w:val="Akapitzlist"/>
        <w:ind w:left="1440"/>
        <w:rPr>
          <w:rFonts w:cstheme="minorHAnsi"/>
          <w:szCs w:val="20"/>
        </w:rPr>
      </w:pPr>
      <w:r w:rsidRPr="00CF054C">
        <w:rPr>
          <w:rFonts w:cstheme="minorHAnsi"/>
          <w:szCs w:val="20"/>
        </w:rPr>
        <w:t>Zakres planowanych do wykonania robót przedstawiony został na dokumentacji</w:t>
      </w:r>
      <w:r>
        <w:rPr>
          <w:rFonts w:cstheme="minorHAnsi"/>
          <w:szCs w:val="20"/>
        </w:rPr>
        <w:t xml:space="preserve"> </w:t>
      </w:r>
      <w:r w:rsidRPr="00CF054C">
        <w:rPr>
          <w:rFonts w:cstheme="minorHAnsi"/>
          <w:szCs w:val="20"/>
        </w:rPr>
        <w:t>rysunkowej.</w:t>
      </w:r>
    </w:p>
    <w:p w:rsidR="00CF054C" w:rsidRPr="00205E63" w:rsidRDefault="00CF054C" w:rsidP="00CF054C">
      <w:pPr>
        <w:pStyle w:val="Akapitzlist"/>
        <w:numPr>
          <w:ilvl w:val="1"/>
          <w:numId w:val="7"/>
        </w:numPr>
        <w:rPr>
          <w:rFonts w:cstheme="minorHAnsi"/>
          <w:szCs w:val="20"/>
        </w:rPr>
      </w:pPr>
      <w:r w:rsidRPr="00205E63">
        <w:rPr>
          <w:rFonts w:cstheme="minorHAnsi"/>
          <w:szCs w:val="20"/>
        </w:rPr>
        <w:t>Modernizacja zjazdu do garażu przy ul. Gdańska 25 w m. Resko, na terenie dz. nr 239/1 obręb Resko, o powierzchni 143 m</w:t>
      </w:r>
      <w:r w:rsidRPr="00205E63">
        <w:rPr>
          <w:rFonts w:cstheme="minorHAnsi"/>
          <w:szCs w:val="20"/>
          <w:vertAlign w:val="superscript"/>
        </w:rPr>
        <w:t>2</w:t>
      </w:r>
    </w:p>
    <w:p w:rsidR="00CF054C" w:rsidRPr="00205E63" w:rsidRDefault="00CF054C" w:rsidP="00CF054C">
      <w:pPr>
        <w:pStyle w:val="Akapitzlist"/>
        <w:ind w:left="2160"/>
        <w:rPr>
          <w:rFonts w:cstheme="minorHAnsi"/>
          <w:bCs/>
          <w:szCs w:val="20"/>
        </w:rPr>
      </w:pPr>
      <w:r w:rsidRPr="00205E63">
        <w:rPr>
          <w:rFonts w:cstheme="minorHAnsi"/>
          <w:szCs w:val="20"/>
        </w:rPr>
        <w:t>Szczegółowy zakres zlecenia obejmuje miedzy innymi</w:t>
      </w:r>
      <w:r w:rsidRPr="00205E63">
        <w:rPr>
          <w:rFonts w:cstheme="minorHAnsi"/>
          <w:bCs/>
          <w:szCs w:val="20"/>
        </w:rPr>
        <w:t>:</w:t>
      </w:r>
    </w:p>
    <w:p w:rsidR="00CF054C" w:rsidRPr="00205E63" w:rsidRDefault="00CF054C" w:rsidP="00CF054C">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CF054C" w:rsidRPr="00205E63" w:rsidRDefault="00CF054C" w:rsidP="00CF054C">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CF054C" w:rsidRPr="00205E63" w:rsidRDefault="00CF054C" w:rsidP="00CF054C">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 xml:space="preserve">ykonanie krawężników betonowych </w:t>
      </w:r>
    </w:p>
    <w:p w:rsidR="00CF054C" w:rsidRPr="00205E63" w:rsidRDefault="00CF054C" w:rsidP="00CF054C">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podbudowy pod nawierzchnie utwardzoną z bruku betonowego</w:t>
      </w:r>
    </w:p>
    <w:p w:rsidR="00CF054C" w:rsidRPr="00205E63" w:rsidRDefault="00CF054C" w:rsidP="00CF054C">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warstwy ścieralnej z bruku betonowego gr 8 cm kolor antracyt, kostka </w:t>
      </w:r>
      <w:proofErr w:type="spellStart"/>
      <w:r w:rsidRPr="00205E63">
        <w:rPr>
          <w:rFonts w:cstheme="minorHAnsi"/>
          <w:szCs w:val="20"/>
        </w:rPr>
        <w:t>tetka</w:t>
      </w:r>
      <w:proofErr w:type="spellEnd"/>
    </w:p>
    <w:p w:rsidR="00CF054C" w:rsidRPr="00CF054C" w:rsidRDefault="00CF054C" w:rsidP="00CF054C">
      <w:pPr>
        <w:pStyle w:val="Akapitzlist"/>
        <w:numPr>
          <w:ilvl w:val="1"/>
          <w:numId w:val="7"/>
        </w:numPr>
        <w:rPr>
          <w:rFonts w:cstheme="minorHAnsi"/>
          <w:szCs w:val="20"/>
        </w:rPr>
      </w:pPr>
      <w:r w:rsidRPr="00CF054C">
        <w:rPr>
          <w:rFonts w:cstheme="minorHAnsi"/>
          <w:szCs w:val="20"/>
        </w:rPr>
        <w:t xml:space="preserve">Przebudowa przejścia tunelowego między ulicą Parkową i Borków w miejscowości Resko zlokalizowanego na dz. o nr </w:t>
      </w:r>
      <w:proofErr w:type="spellStart"/>
      <w:r w:rsidRPr="00CF054C">
        <w:rPr>
          <w:rFonts w:cstheme="minorHAnsi"/>
          <w:szCs w:val="20"/>
        </w:rPr>
        <w:t>ewid</w:t>
      </w:r>
      <w:proofErr w:type="spellEnd"/>
      <w:r w:rsidRPr="00CF054C">
        <w:rPr>
          <w:rFonts w:cstheme="minorHAnsi"/>
          <w:szCs w:val="20"/>
        </w:rPr>
        <w:t>. 391/2 i 398/2 obręb Resko.</w:t>
      </w:r>
    </w:p>
    <w:p w:rsidR="00CF054C" w:rsidRPr="00CF054C" w:rsidRDefault="00CF054C" w:rsidP="00CF054C">
      <w:pPr>
        <w:pStyle w:val="Akapitzlist"/>
        <w:ind w:left="1440"/>
        <w:rPr>
          <w:rFonts w:cstheme="minorHAnsi"/>
          <w:szCs w:val="20"/>
        </w:rPr>
      </w:pPr>
      <w:r w:rsidRPr="00CF054C">
        <w:rPr>
          <w:rFonts w:cstheme="minorHAnsi"/>
          <w:szCs w:val="20"/>
        </w:rPr>
        <w:t xml:space="preserve">Zakres zadania obejmuje przebudowę istniejącej </w:t>
      </w:r>
      <w:r>
        <w:rPr>
          <w:rFonts w:cstheme="minorHAnsi"/>
          <w:szCs w:val="20"/>
        </w:rPr>
        <w:t xml:space="preserve">zniszczonej drogi o nawierzchni </w:t>
      </w:r>
      <w:r w:rsidRPr="00CF054C">
        <w:rPr>
          <w:rFonts w:cstheme="minorHAnsi"/>
          <w:szCs w:val="20"/>
        </w:rPr>
        <w:t xml:space="preserve">wykonanej z betonu cementowego na nową nawierzchnie wykonaną z kostki kamiennej granitowej szarej rzędowej prostopadłościennej 10/10/10cm (ciętej i </w:t>
      </w:r>
      <w:proofErr w:type="spellStart"/>
      <w:r w:rsidRPr="00CF054C">
        <w:rPr>
          <w:rFonts w:cstheme="minorHAnsi"/>
          <w:szCs w:val="20"/>
        </w:rPr>
        <w:t>płomieniowanej</w:t>
      </w:r>
      <w:proofErr w:type="spellEnd"/>
      <w:r w:rsidRPr="00CF054C">
        <w:rPr>
          <w:rFonts w:cstheme="minorHAnsi"/>
          <w:szCs w:val="20"/>
        </w:rPr>
        <w:t>).</w:t>
      </w:r>
    </w:p>
    <w:p w:rsidR="00CF054C" w:rsidRPr="00CF054C" w:rsidRDefault="00CF054C" w:rsidP="00CF054C">
      <w:pPr>
        <w:pStyle w:val="Akapitzlist"/>
        <w:ind w:left="1440"/>
        <w:rPr>
          <w:rFonts w:cstheme="minorHAnsi"/>
          <w:szCs w:val="20"/>
        </w:rPr>
      </w:pPr>
      <w:r w:rsidRPr="00CF054C">
        <w:rPr>
          <w:rFonts w:cstheme="minorHAnsi"/>
          <w:szCs w:val="20"/>
        </w:rPr>
        <w:t>W ramach zadania przewiduje się także budowę oraz wymianę istniejących zniszczonych obrzeży, regulację pionową studni rewizyjnych kanalizacji sanitarnej oraz deszczowej, studni telekomunikacyjnych, studni oraz zaworów wodociągowych, zaworów gazowych</w:t>
      </w:r>
    </w:p>
    <w:p w:rsidR="00CF054C" w:rsidRPr="00CF054C" w:rsidRDefault="00CF054C" w:rsidP="00CF054C">
      <w:pPr>
        <w:pStyle w:val="Akapitzlist"/>
        <w:ind w:left="1440"/>
        <w:rPr>
          <w:rFonts w:cstheme="minorHAnsi"/>
          <w:szCs w:val="20"/>
        </w:rPr>
      </w:pPr>
      <w:r w:rsidRPr="00CF054C">
        <w:rPr>
          <w:rFonts w:cstheme="minorHAnsi"/>
          <w:szCs w:val="20"/>
        </w:rPr>
        <w:t>W zakres całego zamierzenia budowlanego wchodzi także przestawienie dwóch istniejących oraz zakup i montaż jednego dodatkowego słupka stanowiącego zaporę drogową, na wzór istniejących.</w:t>
      </w:r>
    </w:p>
    <w:p w:rsidR="00CF054C" w:rsidRPr="00CF054C" w:rsidRDefault="00CF054C" w:rsidP="00CF054C">
      <w:pPr>
        <w:pStyle w:val="Akapitzlist"/>
        <w:ind w:left="1440"/>
        <w:rPr>
          <w:rFonts w:cstheme="minorHAnsi"/>
          <w:szCs w:val="20"/>
        </w:rPr>
      </w:pPr>
      <w:r w:rsidRPr="00CF054C">
        <w:rPr>
          <w:rFonts w:cstheme="minorHAnsi"/>
          <w:szCs w:val="20"/>
        </w:rPr>
        <w:t>W wyniku realizacji inwestycji nastąpi polepszenie warunków bezpieczeństwa oraz komfortu ruchu pieszego.</w:t>
      </w:r>
    </w:p>
    <w:p w:rsidR="00CF054C" w:rsidRPr="00CF054C" w:rsidRDefault="00CF054C" w:rsidP="00CF054C">
      <w:pPr>
        <w:pStyle w:val="Akapitzlist"/>
        <w:ind w:left="1440"/>
        <w:rPr>
          <w:rFonts w:cstheme="minorHAnsi"/>
          <w:szCs w:val="20"/>
        </w:rPr>
      </w:pPr>
      <w:r w:rsidRPr="00CF054C">
        <w:rPr>
          <w:rFonts w:cstheme="minorHAnsi"/>
          <w:szCs w:val="20"/>
        </w:rPr>
        <w:t>Przewiduje się wykonanie następujących robót ma terenie dz. nr 391/2 i 398/2:</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roboty rozbiórkowe</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usunięcie nasypu antropogenicznego (humusu),</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 xml:space="preserve">rozbiórki istniejącej nawierzchni jezdni, </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rozbiórka istniejących krawężników,</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lastRenderedPageBreak/>
        <w:t>rozbiórka istniejących obrzeży,</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rozbiórka istniejącej zapory drogowej,</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roboty ziemne w zakresie wykopów i nasypów,</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korekta pionowa zaworów i studni kolidujących z inwestycją,</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ułożenie obrzeży,</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wykonanie konstrukcji projektowanej jezdni,</w:t>
      </w:r>
    </w:p>
    <w:p w:rsidR="00CF054C" w:rsidRPr="00CF054C" w:rsidRDefault="00CF054C" w:rsidP="00CF054C">
      <w:pPr>
        <w:pStyle w:val="Akapitzlist"/>
        <w:ind w:left="1440"/>
        <w:rPr>
          <w:rFonts w:cstheme="minorHAnsi"/>
          <w:szCs w:val="20"/>
        </w:rPr>
      </w:pPr>
      <w:r w:rsidRPr="00CF054C">
        <w:rPr>
          <w:rFonts w:cstheme="minorHAnsi"/>
          <w:szCs w:val="20"/>
        </w:rPr>
        <w:t>W chwili obecnej obszar wchodzący w zakres opracowania stanowi zdewastowaną drogę pomiędzy ulicami Parkowa i Borków.</w:t>
      </w:r>
    </w:p>
    <w:p w:rsidR="00CF054C" w:rsidRPr="00CF054C" w:rsidRDefault="00CF054C" w:rsidP="00CF054C">
      <w:pPr>
        <w:pStyle w:val="Akapitzlist"/>
        <w:ind w:left="1440"/>
        <w:rPr>
          <w:rFonts w:cstheme="minorHAnsi"/>
          <w:szCs w:val="20"/>
        </w:rPr>
      </w:pPr>
      <w:r w:rsidRPr="00CF054C">
        <w:rPr>
          <w:rFonts w:cstheme="minorHAnsi"/>
          <w:szCs w:val="20"/>
        </w:rPr>
        <w:t xml:space="preserve">W stanie istniejącym ulica posiada nawierzchnię cementową długości 13,00 m i szerokości 3.35 m – 4,00. </w:t>
      </w:r>
    </w:p>
    <w:p w:rsidR="00CF054C" w:rsidRPr="00CF054C" w:rsidRDefault="00CF054C" w:rsidP="00CF054C">
      <w:pPr>
        <w:pStyle w:val="Akapitzlist"/>
        <w:ind w:left="1440"/>
        <w:rPr>
          <w:rFonts w:cstheme="minorHAnsi"/>
          <w:szCs w:val="20"/>
        </w:rPr>
      </w:pPr>
      <w:r w:rsidRPr="00CF054C">
        <w:rPr>
          <w:rFonts w:cstheme="minorHAnsi"/>
          <w:szCs w:val="20"/>
        </w:rPr>
        <w:t>Odwodnienie analizowanej drogi odbywa się powierzchniowo bezpośrednio w przyległy teren, oraz do istniejących wpustów ulicznych zlokalizowanych w obrębie ulicy.</w:t>
      </w:r>
    </w:p>
    <w:p w:rsidR="00CF054C" w:rsidRPr="00CF054C" w:rsidRDefault="00CF054C" w:rsidP="00CF054C">
      <w:pPr>
        <w:pStyle w:val="Akapitzlist"/>
        <w:ind w:left="1440"/>
        <w:rPr>
          <w:rFonts w:cstheme="minorHAnsi"/>
          <w:szCs w:val="20"/>
        </w:rPr>
      </w:pPr>
      <w:r w:rsidRPr="00CF054C">
        <w:rPr>
          <w:rFonts w:cstheme="minorHAnsi"/>
          <w:szCs w:val="20"/>
        </w:rPr>
        <w:t>Na obszarze inwestycji stwierdzono występowanie istniejących podziemnych element</w:t>
      </w:r>
      <w:r>
        <w:rPr>
          <w:rFonts w:cstheme="minorHAnsi"/>
          <w:szCs w:val="20"/>
        </w:rPr>
        <w:t>ów</w:t>
      </w:r>
      <w:r w:rsidRPr="00CF054C">
        <w:rPr>
          <w:rFonts w:cstheme="minorHAnsi"/>
          <w:szCs w:val="20"/>
        </w:rPr>
        <w:t xml:space="preserve"> uzbrojenia terenu.</w:t>
      </w:r>
    </w:p>
    <w:p w:rsidR="00CF054C" w:rsidRPr="00CF054C" w:rsidRDefault="00CF054C" w:rsidP="00CF054C">
      <w:pPr>
        <w:pStyle w:val="Akapitzlist"/>
        <w:ind w:left="1440"/>
        <w:rPr>
          <w:rFonts w:cstheme="minorHAnsi"/>
          <w:szCs w:val="20"/>
        </w:rPr>
      </w:pPr>
      <w:r w:rsidRPr="00CF054C">
        <w:rPr>
          <w:rFonts w:cstheme="minorHAnsi"/>
          <w:szCs w:val="20"/>
        </w:rPr>
        <w:t>Urządzenia obce:</w:t>
      </w:r>
    </w:p>
    <w:p w:rsidR="00CF054C" w:rsidRPr="00CF054C" w:rsidRDefault="00CF054C" w:rsidP="00CF054C">
      <w:pPr>
        <w:pStyle w:val="Akapitzlist"/>
        <w:ind w:left="1440"/>
        <w:rPr>
          <w:rFonts w:cstheme="minorHAnsi"/>
          <w:szCs w:val="20"/>
        </w:rPr>
      </w:pPr>
      <w:r w:rsidRPr="00CF054C">
        <w:rPr>
          <w:rFonts w:cstheme="minorHAnsi"/>
          <w:szCs w:val="20"/>
        </w:rPr>
        <w:t>Na obszarze planowej inwestycji na odcinku objętym niniejszym opracowaniem występują następujące urządzenia obce:</w:t>
      </w:r>
    </w:p>
    <w:p w:rsidR="00CF054C" w:rsidRPr="00CF054C" w:rsidRDefault="00CF054C" w:rsidP="00CF054C">
      <w:pPr>
        <w:pStyle w:val="Akapitzlist"/>
        <w:numPr>
          <w:ilvl w:val="0"/>
          <w:numId w:val="104"/>
        </w:numPr>
        <w:rPr>
          <w:rFonts w:cstheme="minorHAnsi"/>
          <w:szCs w:val="20"/>
        </w:rPr>
      </w:pPr>
      <w:r w:rsidRPr="00CF054C">
        <w:rPr>
          <w:rFonts w:cstheme="minorHAnsi"/>
          <w:szCs w:val="20"/>
        </w:rPr>
        <w:t>sieć kanalizacji sanitarnej</w:t>
      </w:r>
    </w:p>
    <w:p w:rsidR="00CF054C" w:rsidRPr="00CF054C" w:rsidRDefault="00CF054C" w:rsidP="00CF054C">
      <w:pPr>
        <w:pStyle w:val="Akapitzlist"/>
        <w:numPr>
          <w:ilvl w:val="0"/>
          <w:numId w:val="104"/>
        </w:numPr>
        <w:rPr>
          <w:rFonts w:cstheme="minorHAnsi"/>
          <w:szCs w:val="20"/>
        </w:rPr>
      </w:pPr>
      <w:r w:rsidRPr="00CF054C">
        <w:rPr>
          <w:rFonts w:cstheme="minorHAnsi"/>
          <w:szCs w:val="20"/>
        </w:rPr>
        <w:t>sieć wodociągowa</w:t>
      </w:r>
    </w:p>
    <w:p w:rsidR="00CF054C" w:rsidRPr="00CF054C" w:rsidRDefault="00CF054C" w:rsidP="00CF054C">
      <w:pPr>
        <w:pStyle w:val="Akapitzlist"/>
        <w:ind w:left="1440"/>
        <w:rPr>
          <w:rFonts w:cstheme="minorHAnsi"/>
          <w:szCs w:val="20"/>
        </w:rPr>
      </w:pPr>
      <w:r w:rsidRPr="00CF054C">
        <w:rPr>
          <w:rFonts w:cstheme="minorHAnsi"/>
          <w:szCs w:val="20"/>
        </w:rPr>
        <w:t>Do wykonania projektowanej konstrukcji nawierzchni przewidziano użycie następujących materiałów:</w:t>
      </w:r>
    </w:p>
    <w:p w:rsidR="00CF054C" w:rsidRPr="00CF054C" w:rsidRDefault="00CF054C" w:rsidP="00CF054C">
      <w:pPr>
        <w:pStyle w:val="Akapitzlist"/>
        <w:numPr>
          <w:ilvl w:val="0"/>
          <w:numId w:val="105"/>
        </w:numPr>
        <w:rPr>
          <w:rFonts w:cstheme="minorHAnsi"/>
          <w:szCs w:val="20"/>
        </w:rPr>
      </w:pPr>
      <w:r w:rsidRPr="00CF054C">
        <w:rPr>
          <w:rFonts w:cstheme="minorHAnsi"/>
          <w:szCs w:val="20"/>
        </w:rPr>
        <w:t>kostka kamienna granitowej 10/10/10/ cm koloru szarego na warstwę ścieraną jezdni</w:t>
      </w:r>
    </w:p>
    <w:p w:rsidR="00CF054C" w:rsidRPr="00CF054C" w:rsidRDefault="00CF054C" w:rsidP="00CF054C">
      <w:pPr>
        <w:pStyle w:val="Akapitzlist"/>
        <w:numPr>
          <w:ilvl w:val="0"/>
          <w:numId w:val="105"/>
        </w:numPr>
        <w:rPr>
          <w:rFonts w:cstheme="minorHAnsi"/>
          <w:szCs w:val="20"/>
        </w:rPr>
      </w:pPr>
      <w:r w:rsidRPr="00CF054C">
        <w:rPr>
          <w:rFonts w:cstheme="minorHAnsi"/>
          <w:szCs w:val="20"/>
        </w:rPr>
        <w:t>warstwa podbudowy zasadniczej z mieszanki niezwiązanej z kruszywa C90/3</w:t>
      </w:r>
    </w:p>
    <w:p w:rsidR="00CF054C" w:rsidRPr="00CF054C" w:rsidRDefault="00CF054C" w:rsidP="00CF054C">
      <w:pPr>
        <w:pStyle w:val="Akapitzlist"/>
        <w:numPr>
          <w:ilvl w:val="0"/>
          <w:numId w:val="105"/>
        </w:numPr>
        <w:rPr>
          <w:rFonts w:cstheme="minorHAnsi"/>
          <w:szCs w:val="20"/>
        </w:rPr>
      </w:pPr>
      <w:r w:rsidRPr="00CF054C">
        <w:rPr>
          <w:rFonts w:cstheme="minorHAnsi"/>
          <w:szCs w:val="20"/>
        </w:rPr>
        <w:t xml:space="preserve">ulepszone podłoże klasa </w:t>
      </w:r>
      <w:proofErr w:type="spellStart"/>
      <w:r w:rsidRPr="00CF054C">
        <w:rPr>
          <w:rFonts w:cstheme="minorHAnsi"/>
          <w:szCs w:val="20"/>
        </w:rPr>
        <w:t>Rc</w:t>
      </w:r>
      <w:proofErr w:type="spellEnd"/>
      <w:r w:rsidRPr="00CF054C">
        <w:rPr>
          <w:rFonts w:cstheme="minorHAnsi"/>
          <w:szCs w:val="20"/>
        </w:rPr>
        <w:t>=C ¾ na warstwy wzmacniające</w:t>
      </w:r>
    </w:p>
    <w:p w:rsidR="00CF054C" w:rsidRPr="00CF054C" w:rsidRDefault="00CF054C" w:rsidP="00CF054C">
      <w:pPr>
        <w:pStyle w:val="Akapitzlist"/>
        <w:ind w:left="1440"/>
        <w:rPr>
          <w:rFonts w:cstheme="minorHAnsi"/>
          <w:szCs w:val="20"/>
        </w:rPr>
      </w:pPr>
      <w:r w:rsidRPr="00CF054C">
        <w:rPr>
          <w:rFonts w:cstheme="minorHAnsi"/>
          <w:szCs w:val="20"/>
        </w:rPr>
        <w:t>Materiały dodatkowe:</w:t>
      </w:r>
    </w:p>
    <w:p w:rsidR="00CF054C" w:rsidRPr="00CF054C" w:rsidRDefault="00CF054C" w:rsidP="00CF054C">
      <w:pPr>
        <w:pStyle w:val="Akapitzlist"/>
        <w:numPr>
          <w:ilvl w:val="0"/>
          <w:numId w:val="106"/>
        </w:numPr>
        <w:ind w:left="2410"/>
        <w:rPr>
          <w:rFonts w:cstheme="minorHAnsi"/>
          <w:szCs w:val="20"/>
        </w:rPr>
      </w:pPr>
      <w:r w:rsidRPr="00CF054C">
        <w:rPr>
          <w:rFonts w:cstheme="minorHAnsi"/>
          <w:szCs w:val="20"/>
        </w:rPr>
        <w:t>obrzeża kamienne granitowe 8x20/22x100cm</w:t>
      </w:r>
    </w:p>
    <w:p w:rsidR="00CF054C" w:rsidRDefault="00CF054C" w:rsidP="00CF054C">
      <w:pPr>
        <w:pStyle w:val="Akapitzlist"/>
        <w:numPr>
          <w:ilvl w:val="0"/>
          <w:numId w:val="106"/>
        </w:numPr>
        <w:ind w:left="2410"/>
        <w:rPr>
          <w:rFonts w:cstheme="minorHAnsi"/>
          <w:szCs w:val="20"/>
        </w:rPr>
      </w:pPr>
      <w:r w:rsidRPr="00CF054C">
        <w:rPr>
          <w:rFonts w:cstheme="minorHAnsi"/>
          <w:szCs w:val="20"/>
        </w:rPr>
        <w:t>oporniki kamienne granitowe 15x25x100cm</w:t>
      </w:r>
    </w:p>
    <w:p w:rsidR="00CF054C" w:rsidRPr="00CF054C" w:rsidRDefault="00CF054C" w:rsidP="00CF054C">
      <w:pPr>
        <w:pStyle w:val="Akapitzlist"/>
        <w:ind w:left="2410"/>
        <w:rPr>
          <w:rFonts w:cstheme="minorHAnsi"/>
          <w:szCs w:val="20"/>
        </w:rPr>
      </w:pPr>
    </w:p>
    <w:p w:rsidR="00205E63" w:rsidRPr="00205E63" w:rsidRDefault="00205E63" w:rsidP="00205E63">
      <w:pPr>
        <w:pStyle w:val="Akapitzlist"/>
        <w:numPr>
          <w:ilvl w:val="1"/>
          <w:numId w:val="7"/>
        </w:numPr>
        <w:rPr>
          <w:rFonts w:cstheme="minorHAnsi"/>
          <w:szCs w:val="20"/>
        </w:rPr>
      </w:pPr>
      <w:r w:rsidRPr="00205E63">
        <w:rPr>
          <w:rFonts w:cstheme="minorHAnsi"/>
          <w:szCs w:val="20"/>
        </w:rPr>
        <w:t>Modernizacja nawierzchni utwardzonej przy kościele w Starogardzie, na terenie dz. nr 54, 55 obręb Starogard, o powierzchni 317 m</w:t>
      </w:r>
      <w:r w:rsidRPr="00205E63">
        <w:rPr>
          <w:rFonts w:cstheme="minorHAnsi"/>
          <w:szCs w:val="20"/>
          <w:vertAlign w:val="superscript"/>
        </w:rPr>
        <w:t>2</w:t>
      </w:r>
    </w:p>
    <w:p w:rsidR="00205E63" w:rsidRPr="00205E63" w:rsidRDefault="00205E63" w:rsidP="00205E63">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 xml:space="preserve">ykonanie obrzeży betonowych </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podbudowy pod nawierzchnie utwardzone z bruku betonowego</w:t>
      </w:r>
    </w:p>
    <w:p w:rsid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warstwy ścieralnej z bruku betonowego gr 8 cm o układzie składającym się z prostokątów o trzech grupach wymiarowych 15x15 cm, 22,5x15 cm, 30x15 cm, kolor kostki brukowej grafitowy o fakturze szorstkiej bez faz</w:t>
      </w:r>
    </w:p>
    <w:p w:rsidR="00CF054C" w:rsidRDefault="00CF054C" w:rsidP="00CF054C">
      <w:pPr>
        <w:pStyle w:val="Akapitzlist"/>
        <w:ind w:left="2160"/>
        <w:rPr>
          <w:rFonts w:cstheme="minorHAnsi"/>
          <w:szCs w:val="20"/>
        </w:rPr>
      </w:pPr>
    </w:p>
    <w:p w:rsidR="006A7476" w:rsidRPr="00242AA2" w:rsidRDefault="006A7476" w:rsidP="00DB3D67">
      <w:pPr>
        <w:pStyle w:val="Akapitzlist"/>
        <w:numPr>
          <w:ilvl w:val="0"/>
          <w:numId w:val="7"/>
        </w:numPr>
        <w:jc w:val="both"/>
        <w:rPr>
          <w:rFonts w:cstheme="minorHAnsi"/>
          <w:szCs w:val="20"/>
        </w:rPr>
      </w:pPr>
      <w:r w:rsidRPr="00561093">
        <w:rPr>
          <w:szCs w:val="20"/>
        </w:rPr>
        <w:t>Standardy jakościowe odnoszące się do głównych elementów przedmiotu zamówienia opisano w SWZ</w:t>
      </w:r>
      <w:r w:rsidR="00455B45">
        <w:rPr>
          <w:szCs w:val="20"/>
        </w:rPr>
        <w:t xml:space="preserve"> rozdz</w:t>
      </w:r>
      <w:r w:rsidRPr="00561093">
        <w:rPr>
          <w:szCs w:val="20"/>
        </w:rPr>
        <w:t>.</w:t>
      </w:r>
      <w:r w:rsidR="00CF054C">
        <w:rPr>
          <w:szCs w:val="20"/>
        </w:rPr>
        <w:t xml:space="preserve"> 5, ust.2 oraz w dokumentacji projektowej dla zakresu przy Zespole Szkół w  Resku.</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lastRenderedPageBreak/>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lastRenderedPageBreak/>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7" w:name="_Toc72397737"/>
      <w:r w:rsidRPr="00265764">
        <w:t>Termin wykonania zamówienia</w:t>
      </w:r>
      <w:bookmarkEnd w:id="7"/>
    </w:p>
    <w:p w:rsidR="00CF054C" w:rsidRDefault="007C424D" w:rsidP="00010294">
      <w:pPr>
        <w:pStyle w:val="Akapitzlist"/>
        <w:numPr>
          <w:ilvl w:val="0"/>
          <w:numId w:val="6"/>
        </w:numPr>
        <w:rPr>
          <w:rFonts w:cstheme="minorHAnsi"/>
        </w:rPr>
      </w:pPr>
      <w:r w:rsidRPr="007C424D">
        <w:rPr>
          <w:rFonts w:cstheme="minorHAnsi"/>
        </w:rPr>
        <w:t xml:space="preserve">Termin realizacji zamówienia: </w:t>
      </w:r>
    </w:p>
    <w:p w:rsidR="007A3245" w:rsidRPr="00CF054C" w:rsidRDefault="00CF054C" w:rsidP="00CF054C">
      <w:pPr>
        <w:pStyle w:val="Akapitzlist"/>
        <w:numPr>
          <w:ilvl w:val="1"/>
          <w:numId w:val="6"/>
        </w:numPr>
        <w:rPr>
          <w:rFonts w:cstheme="minorHAnsi"/>
        </w:rPr>
      </w:pPr>
      <w:r>
        <w:rPr>
          <w:rFonts w:cstheme="minorHAnsi"/>
        </w:rPr>
        <w:lastRenderedPageBreak/>
        <w:t xml:space="preserve">dla zakresu  </w:t>
      </w:r>
      <w:r w:rsidRPr="00CF054C">
        <w:rPr>
          <w:rFonts w:cstheme="minorHAnsi"/>
          <w:szCs w:val="20"/>
        </w:rPr>
        <w:t>robót budowlanych polegających na likwidacj</w:t>
      </w:r>
      <w:r>
        <w:rPr>
          <w:rFonts w:cstheme="minorHAnsi"/>
          <w:szCs w:val="20"/>
        </w:rPr>
        <w:t>i</w:t>
      </w:r>
      <w:r w:rsidRPr="00CF054C">
        <w:rPr>
          <w:rFonts w:cstheme="minorHAnsi"/>
          <w:szCs w:val="20"/>
        </w:rPr>
        <w:t xml:space="preserve"> barier architektonicznych w budynku Zespołu Szkół w Resku</w:t>
      </w:r>
      <w:r>
        <w:rPr>
          <w:rFonts w:cstheme="minorHAnsi"/>
          <w:szCs w:val="20"/>
        </w:rPr>
        <w:t>:</w:t>
      </w:r>
      <w:r w:rsidRPr="00192181">
        <w:rPr>
          <w:rFonts w:cstheme="minorHAnsi"/>
          <w:b/>
        </w:rPr>
        <w:t xml:space="preserve"> </w:t>
      </w:r>
      <w:r w:rsidR="00D6592B" w:rsidRPr="00192181">
        <w:rPr>
          <w:rFonts w:cstheme="minorHAnsi"/>
          <w:b/>
        </w:rPr>
        <w:t>do</w:t>
      </w:r>
      <w:r>
        <w:rPr>
          <w:rFonts w:cstheme="minorHAnsi"/>
          <w:b/>
        </w:rPr>
        <w:t xml:space="preserve"> 30</w:t>
      </w:r>
      <w:r w:rsidR="00192181" w:rsidRPr="00192181">
        <w:rPr>
          <w:rFonts w:cstheme="minorHAnsi"/>
          <w:b/>
        </w:rPr>
        <w:t xml:space="preserve"> dni od dnia podpisania umowy</w:t>
      </w:r>
      <w:r w:rsidR="00192181">
        <w:rPr>
          <w:rFonts w:cstheme="minorHAnsi"/>
          <w:b/>
        </w:rPr>
        <w:t>.</w:t>
      </w:r>
    </w:p>
    <w:p w:rsidR="00CF054C" w:rsidRPr="00355B08" w:rsidRDefault="00CF054C" w:rsidP="00CF054C">
      <w:pPr>
        <w:pStyle w:val="Akapitzlist"/>
        <w:numPr>
          <w:ilvl w:val="1"/>
          <w:numId w:val="6"/>
        </w:numPr>
        <w:rPr>
          <w:rFonts w:cstheme="minorHAnsi"/>
        </w:rPr>
      </w:pPr>
      <w:r>
        <w:rPr>
          <w:rFonts w:cstheme="minorHAnsi"/>
          <w:b/>
        </w:rPr>
        <w:t>dla pozostałego zakresu : do 60 dni od dnia podpisania umowy.</w:t>
      </w:r>
    </w:p>
    <w:p w:rsidR="007A3245" w:rsidRPr="00265764" w:rsidRDefault="007A3245" w:rsidP="00FA77A5">
      <w:pPr>
        <w:pStyle w:val="Nagwek1"/>
        <w:ind w:left="426" w:hanging="426"/>
      </w:pPr>
      <w:bookmarkStart w:id="8" w:name="_Toc72397738"/>
      <w:r w:rsidRPr="00265764">
        <w:t>Umowa</w:t>
      </w:r>
      <w:bookmarkEnd w:id="8"/>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9" w:name="_Toc72397739"/>
      <w:r w:rsidRPr="00265764">
        <w:t>Komunikacja elektroniczna</w:t>
      </w:r>
      <w:bookmarkEnd w:id="9"/>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093B6F" w:rsidRPr="00093B6F" w:rsidRDefault="001A11C0" w:rsidP="00093B6F">
      <w:pPr>
        <w:pStyle w:val="Akapitzlist"/>
        <w:rPr>
          <w:rFonts w:cstheme="minorHAnsi"/>
        </w:rPr>
      </w:pPr>
      <w:hyperlink r:id="rId13" w:history="1">
        <w:r w:rsidR="00093B6F" w:rsidRPr="00093B6F">
          <w:rPr>
            <w:rStyle w:val="Hipercze"/>
            <w:rFonts w:cstheme="minorHAnsi"/>
          </w:rPr>
          <w:t>https://platformazakupowa.pl/transakcja/481225</w:t>
        </w:r>
      </w:hyperlink>
      <w:r w:rsidR="00093B6F">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355B08" w:rsidRDefault="007A3245" w:rsidP="00010294">
      <w:pPr>
        <w:pStyle w:val="Akapitzlist"/>
        <w:numPr>
          <w:ilvl w:val="0"/>
          <w:numId w:val="9"/>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72397740"/>
      <w:r w:rsidRPr="00265764">
        <w:t>Kontakt z zamawiającym</w:t>
      </w:r>
      <w:bookmarkEnd w:id="10"/>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6" w:history="1">
        <w:r w:rsidR="00205E63" w:rsidRPr="000F5C7B">
          <w:rPr>
            <w:rStyle w:val="Hipercze"/>
            <w:rFonts w:eastAsia="Calibri" w:cstheme="minorHAnsi"/>
          </w:rPr>
          <w:t>jacek.wieckowskie@resko.pl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lastRenderedPageBreak/>
        <w:t xml:space="preserve"> </w:t>
      </w:r>
      <w:bookmarkStart w:id="11" w:name="_Toc72397741"/>
      <w:r w:rsidR="00265764" w:rsidRPr="00265764">
        <w:t>Wyjaśnienia dotyczące treści SWZ</w:t>
      </w:r>
      <w:bookmarkEnd w:id="11"/>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72397742"/>
      <w:r w:rsidR="00AB1016" w:rsidRPr="00265764">
        <w:t>Związanie ofertą</w:t>
      </w:r>
      <w:bookmarkEnd w:id="12"/>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72397743"/>
      <w:r w:rsidR="00AB1016" w:rsidRPr="00265764">
        <w:t>Opis sposobu przygotowania oferty</w:t>
      </w:r>
      <w:bookmarkEnd w:id="13"/>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w:t>
      </w:r>
      <w:r w:rsidRPr="00355B08">
        <w:rPr>
          <w:rFonts w:cstheme="minorHAnsi"/>
        </w:rPr>
        <w:lastRenderedPageBreak/>
        <w:t xml:space="preserve">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lastRenderedPageBreak/>
        <w:t xml:space="preserve"> </w:t>
      </w:r>
      <w:bookmarkStart w:id="14" w:name="_Toc72397744"/>
      <w:r w:rsidR="000B0C7A" w:rsidRPr="00265764">
        <w:t xml:space="preserve">Składanie </w:t>
      </w:r>
      <w:r w:rsidR="00475021" w:rsidRPr="00265764">
        <w:t>ofert</w:t>
      </w:r>
      <w:bookmarkEnd w:id="14"/>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093B6F" w:rsidRPr="00093B6F" w:rsidRDefault="001A11C0" w:rsidP="00093B6F">
      <w:pPr>
        <w:pStyle w:val="Akapitzlist"/>
        <w:rPr>
          <w:rFonts w:cstheme="minorHAnsi"/>
        </w:rPr>
      </w:pPr>
      <w:hyperlink r:id="rId20" w:history="1">
        <w:r w:rsidR="00093B6F" w:rsidRPr="00093B6F">
          <w:rPr>
            <w:rStyle w:val="Hipercze"/>
            <w:rFonts w:cstheme="minorHAnsi"/>
          </w:rPr>
          <w:t>https://platformazakupowa.pl/transakcja/481225</w:t>
        </w:r>
      </w:hyperlink>
      <w:r w:rsidR="00093B6F">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CF054C" w:rsidRPr="00CF054C">
        <w:rPr>
          <w:rFonts w:cstheme="minorHAnsi"/>
          <w:b/>
        </w:rPr>
        <w:t>2</w:t>
      </w:r>
      <w:r w:rsidR="0025526F">
        <w:rPr>
          <w:rFonts w:cstheme="minorHAnsi"/>
          <w:b/>
        </w:rPr>
        <w:t>8</w:t>
      </w:r>
      <w:r w:rsidR="005330C8" w:rsidRPr="0006047D">
        <w:rPr>
          <w:rFonts w:cstheme="minorHAnsi"/>
          <w:b/>
        </w:rPr>
        <w:t>.</w:t>
      </w:r>
      <w:r w:rsidR="00CF054C">
        <w:rPr>
          <w:rFonts w:cstheme="minorHAnsi"/>
          <w:b/>
        </w:rPr>
        <w:t>07</w:t>
      </w:r>
      <w:r w:rsidR="005330C8" w:rsidRPr="0006047D">
        <w:rPr>
          <w:rFonts w:cstheme="minorHAnsi"/>
          <w:b/>
        </w:rPr>
        <w:t>.2021 r. godz. 1</w:t>
      </w:r>
      <w:r w:rsidR="00CF054C">
        <w:rPr>
          <w:rFonts w:cstheme="minorHAnsi"/>
          <w:b/>
        </w:rPr>
        <w:t>3</w:t>
      </w:r>
      <w:r w:rsidR="005330C8" w:rsidRPr="0006047D">
        <w:rPr>
          <w:rFonts w:cstheme="minorHAnsi"/>
          <w:b/>
        </w:rPr>
        <w:t>:00</w:t>
      </w:r>
    </w:p>
    <w:p w:rsidR="00475021" w:rsidRPr="0006047D" w:rsidRDefault="00C7149D" w:rsidP="00FA77A5">
      <w:pPr>
        <w:pStyle w:val="Nagwek1"/>
        <w:ind w:left="426" w:hanging="426"/>
      </w:pPr>
      <w:r w:rsidRPr="0006047D">
        <w:t xml:space="preserve"> </w:t>
      </w:r>
      <w:bookmarkStart w:id="15" w:name="_Toc72397745"/>
      <w:r w:rsidR="000B0C7A" w:rsidRPr="0006047D">
        <w:t>Otwarcie ofert</w:t>
      </w:r>
      <w:bookmarkEnd w:id="15"/>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CF054C">
        <w:rPr>
          <w:rFonts w:eastAsia="Calibri" w:cstheme="minorHAnsi"/>
          <w:b/>
        </w:rPr>
        <w:t>2</w:t>
      </w:r>
      <w:r w:rsidR="0025526F">
        <w:rPr>
          <w:rFonts w:eastAsia="Calibri" w:cstheme="minorHAnsi"/>
          <w:b/>
        </w:rPr>
        <w:t>8</w:t>
      </w:r>
      <w:r w:rsidR="005330C8" w:rsidRPr="0006047D">
        <w:rPr>
          <w:rFonts w:eastAsia="Calibri" w:cstheme="minorHAnsi"/>
          <w:b/>
        </w:rPr>
        <w:t>.0</w:t>
      </w:r>
      <w:r w:rsidR="00CF054C">
        <w:rPr>
          <w:rFonts w:eastAsia="Calibri" w:cstheme="minorHAnsi"/>
          <w:b/>
        </w:rPr>
        <w:t>7</w:t>
      </w:r>
      <w:r w:rsidR="005330C8" w:rsidRPr="0006047D">
        <w:rPr>
          <w:rFonts w:eastAsia="Calibri" w:cstheme="minorHAnsi"/>
          <w:b/>
        </w:rPr>
        <w:t>.2021 r. godz. 1</w:t>
      </w:r>
      <w:r w:rsidR="00CF054C">
        <w:rPr>
          <w:rFonts w:eastAsia="Calibri" w:cstheme="minorHAnsi"/>
          <w:b/>
        </w:rPr>
        <w:t>3</w:t>
      </w:r>
      <w:r w:rsidR="005330C8" w:rsidRPr="0006047D">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lastRenderedPageBreak/>
        <w:t xml:space="preserve"> </w:t>
      </w:r>
      <w:bookmarkStart w:id="16" w:name="_Toc72397746"/>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355B08">
        <w:rPr>
          <w:rFonts w:eastAsia="Calibri" w:cstheme="minorHAnsi"/>
        </w:rPr>
        <w:lastRenderedPageBreak/>
        <w:t>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72397747"/>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lastRenderedPageBreak/>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72397748"/>
      <w:r w:rsidR="00C86280" w:rsidRPr="00355B08">
        <w:t>Kryteria oceny ofert</w:t>
      </w:r>
      <w:bookmarkEnd w:id="18"/>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72397749"/>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lastRenderedPageBreak/>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72397750"/>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0846EA" w:rsidRDefault="004A6185" w:rsidP="004A6185">
      <w:pPr>
        <w:pStyle w:val="Akapitzlist"/>
        <w:numPr>
          <w:ilvl w:val="1"/>
          <w:numId w:val="22"/>
        </w:numPr>
        <w:spacing w:after="0" w:line="240" w:lineRule="auto"/>
        <w:ind w:right="41"/>
        <w:jc w:val="both"/>
        <w:rPr>
          <w:rFonts w:cstheme="minorHAnsi"/>
          <w:szCs w:val="20"/>
        </w:rPr>
      </w:pPr>
      <w:r w:rsidRPr="000846EA">
        <w:t>Przedłożyć polis</w:t>
      </w:r>
      <w:r w:rsidR="000846EA" w:rsidRPr="000846EA">
        <w:t>y</w:t>
      </w:r>
      <w:r w:rsidRPr="000846EA">
        <w:t xml:space="preserve"> ubezpieczeniow</w:t>
      </w:r>
      <w:r w:rsidR="000846EA" w:rsidRPr="000846EA">
        <w:t>e</w:t>
      </w:r>
      <w:r w:rsidRPr="000846EA">
        <w:t xml:space="preserve"> zgodnie z wymaganiami §</w:t>
      </w:r>
      <w:r w:rsidR="000846EA" w:rsidRPr="000846EA">
        <w:t>12</w:t>
      </w:r>
      <w:r w:rsidRPr="000846EA">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72397751"/>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lastRenderedPageBreak/>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72397752"/>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06047D" w:rsidRDefault="00FD4F9C" w:rsidP="0075688E">
      <w:pPr>
        <w:pStyle w:val="Akapitzlist"/>
        <w:numPr>
          <w:ilvl w:val="2"/>
          <w:numId w:val="24"/>
        </w:numPr>
        <w:spacing w:after="0" w:line="240" w:lineRule="auto"/>
        <w:ind w:hanging="317"/>
        <w:jc w:val="both"/>
        <w:rPr>
          <w:rFonts w:cstheme="minorHAnsi"/>
          <w:b/>
        </w:rPr>
      </w:pPr>
      <w:r w:rsidRPr="0006047D">
        <w:rPr>
          <w:rFonts w:cstheme="minorHAnsi"/>
          <w:b/>
        </w:rPr>
        <w:t xml:space="preserve">należyte wykonanie w okresie ostatnich </w:t>
      </w:r>
      <w:r w:rsidR="00C354F8" w:rsidRPr="0006047D">
        <w:rPr>
          <w:rFonts w:cstheme="minorHAnsi"/>
          <w:b/>
        </w:rPr>
        <w:t>5</w:t>
      </w:r>
      <w:r w:rsidRPr="0006047D">
        <w:rPr>
          <w:rFonts w:cstheme="minorHAnsi"/>
          <w:b/>
        </w:rPr>
        <w:t xml:space="preserve"> lat co najmniej </w:t>
      </w:r>
      <w:r w:rsidR="00864359" w:rsidRPr="0006047D">
        <w:rPr>
          <w:rFonts w:cstheme="minorHAnsi"/>
          <w:b/>
        </w:rPr>
        <w:t xml:space="preserve">dwóch robót budowlanych polegających na wykonaniu nawierzchni utwardzonych z  bruku betonowego lub kamiennego </w:t>
      </w:r>
      <w:r w:rsidRPr="0006047D">
        <w:rPr>
          <w:rFonts w:cstheme="minorHAnsi"/>
          <w:b/>
        </w:rPr>
        <w:t xml:space="preserve">o wartości </w:t>
      </w:r>
      <w:r w:rsidR="00F02DCE" w:rsidRPr="0006047D">
        <w:rPr>
          <w:rFonts w:cstheme="minorHAnsi"/>
          <w:b/>
        </w:rPr>
        <w:t xml:space="preserve">każdej z robót </w:t>
      </w:r>
      <w:r w:rsidRPr="0006047D">
        <w:rPr>
          <w:rFonts w:cstheme="minorHAnsi"/>
          <w:b/>
        </w:rPr>
        <w:t>co najmniej 1</w:t>
      </w:r>
      <w:r w:rsidR="00D3287E">
        <w:rPr>
          <w:rFonts w:cstheme="minorHAnsi"/>
          <w:b/>
        </w:rPr>
        <w:t>0</w:t>
      </w:r>
      <w:r w:rsidR="001C430F" w:rsidRPr="0006047D">
        <w:rPr>
          <w:rFonts w:cstheme="minorHAnsi"/>
          <w:b/>
        </w:rPr>
        <w:t>0</w:t>
      </w:r>
      <w:r w:rsidRPr="0006047D">
        <w:rPr>
          <w:rFonts w:cstheme="minorHAnsi"/>
          <w:b/>
        </w:rPr>
        <w:t xml:space="preserve"> tys. zł</w:t>
      </w:r>
      <w:r w:rsidR="00F02DCE" w:rsidRPr="0006047D">
        <w:rPr>
          <w:rFonts w:cstheme="minorHAnsi"/>
          <w:b/>
        </w:rPr>
        <w:t xml:space="preserve"> brutto</w:t>
      </w:r>
      <w:r w:rsidRPr="0006047D">
        <w:rPr>
          <w:rFonts w:cstheme="minorHAnsi"/>
          <w:b/>
        </w:rPr>
        <w:t xml:space="preserve"> </w:t>
      </w:r>
      <w:r w:rsidR="00F02DCE" w:rsidRPr="0006047D">
        <w:rPr>
          <w:rFonts w:cstheme="minorHAnsi"/>
          <w:b/>
        </w:rPr>
        <w:t xml:space="preserve">(dwie roboty na łączną kwotę minimum </w:t>
      </w:r>
      <w:r w:rsidR="00D3287E">
        <w:rPr>
          <w:rFonts w:cstheme="minorHAnsi"/>
          <w:b/>
        </w:rPr>
        <w:t>2</w:t>
      </w:r>
      <w:r w:rsidR="00F02DCE" w:rsidRPr="0006047D">
        <w:rPr>
          <w:rFonts w:cstheme="minorHAnsi"/>
          <w:b/>
        </w:rPr>
        <w:t>00 tys. zł brutto)</w:t>
      </w:r>
      <w:r w:rsidR="0075688E" w:rsidRPr="0006047D">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sidRPr="0006047D">
        <w:rPr>
          <w:rFonts w:cstheme="minorHAnsi"/>
        </w:rPr>
        <w:t xml:space="preserve">dysponowanie osobą zdolną do należytego wykonania przedmiotu zamówienia: </w:t>
      </w:r>
      <w:r w:rsidRPr="0006047D">
        <w:rPr>
          <w:rFonts w:cstheme="minorHAnsi"/>
          <w:b/>
        </w:rPr>
        <w:t xml:space="preserve">kierownik robót </w:t>
      </w:r>
      <w:r w:rsidR="00864359" w:rsidRPr="0006047D">
        <w:rPr>
          <w:rFonts w:cstheme="minorHAnsi"/>
          <w:b/>
        </w:rPr>
        <w:t xml:space="preserve">drogowych </w:t>
      </w:r>
      <w:r w:rsidRPr="0006047D">
        <w:rPr>
          <w:rFonts w:cstheme="minorHAnsi"/>
          <w:b/>
        </w:rPr>
        <w:t xml:space="preserve"> z uprawnieniami do wykonywania samodzielnych funkcji w budownictwie bez ograniczeń do kierowania robotami budowlanymi </w:t>
      </w:r>
      <w:r w:rsidR="002A43E3" w:rsidRPr="0006047D">
        <w:rPr>
          <w:rFonts w:cstheme="minorHAnsi"/>
          <w:b/>
        </w:rPr>
        <w:t xml:space="preserve"> w zakresie dróg </w:t>
      </w:r>
      <w:r w:rsidRPr="0006047D">
        <w:rPr>
          <w:rFonts w:cstheme="minorHAnsi"/>
        </w:rPr>
        <w:t>lub posiadający odpowiadające im ważne uprawnienia, które zostały wydane na</w:t>
      </w:r>
      <w:r w:rsidRPr="0075688E">
        <w:rPr>
          <w:rFonts w:cstheme="minorHAnsi"/>
        </w:rPr>
        <w:t xml:space="preserve"> podstawie wcześniej obowiązujących przepisów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06047D" w:rsidRDefault="00C354F8" w:rsidP="00C354F8">
      <w:pPr>
        <w:pStyle w:val="Akapitzlist"/>
        <w:numPr>
          <w:ilvl w:val="1"/>
          <w:numId w:val="24"/>
        </w:numPr>
        <w:spacing w:after="0" w:line="240" w:lineRule="auto"/>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06047D" w:rsidRDefault="00C354F8" w:rsidP="00C354F8">
      <w:pPr>
        <w:pStyle w:val="Akapitzlist"/>
        <w:numPr>
          <w:ilvl w:val="2"/>
          <w:numId w:val="24"/>
        </w:numPr>
        <w:spacing w:after="0" w:line="240" w:lineRule="auto"/>
        <w:jc w:val="both"/>
        <w:rPr>
          <w:rFonts w:cstheme="minorHAnsi"/>
          <w:b/>
        </w:rPr>
      </w:pPr>
      <w:r w:rsidRPr="0006047D">
        <w:rPr>
          <w:rFonts w:cstheme="minorHAnsi"/>
          <w:b/>
        </w:rPr>
        <w:t>Wykonawca wykaże, że posiada środki finansowe lub zdolność kredytową w wysokości co najmniej 1</w:t>
      </w:r>
      <w:r w:rsidR="00D3287E">
        <w:rPr>
          <w:rFonts w:cstheme="minorHAnsi"/>
          <w:b/>
        </w:rPr>
        <w:t>5</w:t>
      </w:r>
      <w:r w:rsidR="002A43E3" w:rsidRPr="0006047D">
        <w:rPr>
          <w:rFonts w:cstheme="minorHAnsi"/>
          <w:b/>
        </w:rPr>
        <w:t xml:space="preserve">0 </w:t>
      </w:r>
      <w:r w:rsidRPr="0006047D">
        <w:rPr>
          <w:rFonts w:cstheme="minorHAnsi"/>
          <w:b/>
        </w:rPr>
        <w:t>000 PLN</w:t>
      </w:r>
      <w:r w:rsidRPr="0006047D">
        <w:rPr>
          <w:rFonts w:cstheme="minorHAnsi"/>
        </w:rPr>
        <w:t xml:space="preserve"> (słownie: sto </w:t>
      </w:r>
      <w:r w:rsidR="00D3287E">
        <w:rPr>
          <w:rFonts w:cstheme="minorHAnsi"/>
        </w:rPr>
        <w:t xml:space="preserve">pięćdziesiąt </w:t>
      </w:r>
      <w:r w:rsidRPr="0006047D">
        <w:rPr>
          <w:rFonts w:cstheme="minorHAnsi"/>
        </w:rPr>
        <w:t xml:space="preserve">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 xml:space="preserve">W odniesieniu do warunków dotyczących wykształcenia, kwalifikacji zawodowych lub doświadczenia wykonawcy mogą polegać na zdolnościach podmiotów udostępniających zasoby, </w:t>
      </w:r>
      <w:r w:rsidRPr="00355B08">
        <w:rPr>
          <w:rFonts w:cstheme="minorHAnsi"/>
        </w:rPr>
        <w:lastRenderedPageBreak/>
        <w:t>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72397753"/>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lastRenderedPageBreak/>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lastRenderedPageBreak/>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72397754"/>
      <w:r w:rsidRPr="00675317">
        <w:t>Przedmiotowe środki dowodowe</w:t>
      </w:r>
      <w:bookmarkEnd w:id="24"/>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5" w:name="_Toc72397755"/>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72397756"/>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72397757"/>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D3287E">
        <w:rPr>
          <w:rFonts w:cstheme="minorHAnsi"/>
          <w:b/>
        </w:rPr>
        <w:t>3</w:t>
      </w:r>
      <w:r w:rsidR="00DF0746" w:rsidRPr="002A43E3">
        <w:rPr>
          <w:rFonts w:cstheme="minorHAnsi"/>
          <w:b/>
        </w:rPr>
        <w:t> 000</w:t>
      </w:r>
      <w:r w:rsidR="00DF0746" w:rsidRPr="00675317">
        <w:rPr>
          <w:rFonts w:cstheme="minorHAnsi"/>
          <w:b/>
        </w:rPr>
        <w:t xml:space="preserve"> zł</w:t>
      </w:r>
      <w:r w:rsidR="00DF0746" w:rsidRPr="00675317">
        <w:rPr>
          <w:rFonts w:cstheme="minorHAnsi"/>
        </w:rPr>
        <w:t xml:space="preserve"> (słownie: </w:t>
      </w:r>
      <w:r w:rsidR="00D3287E">
        <w:rPr>
          <w:rFonts w:cstheme="minorHAnsi"/>
        </w:rPr>
        <w:t xml:space="preserve">trzy </w:t>
      </w:r>
      <w:r w:rsidR="00606F9A" w:rsidRPr="00675317">
        <w:rPr>
          <w:rFonts w:cstheme="minorHAnsi"/>
        </w:rPr>
        <w:t xml:space="preserve">tysiące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D3287E">
        <w:rPr>
          <w:rFonts w:cstheme="minorHAnsi"/>
        </w:rPr>
        <w:t>8</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lastRenderedPageBreak/>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72397758"/>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72397759"/>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355B08" w:rsidRDefault="0025526F" w:rsidP="0025526F">
      <w:pPr>
        <w:pStyle w:val="Akapitzlist"/>
        <w:numPr>
          <w:ilvl w:val="0"/>
          <w:numId w:val="35"/>
        </w:numPr>
        <w:rPr>
          <w:rFonts w:cstheme="minorHAnsi"/>
        </w:rPr>
      </w:pPr>
      <w:r w:rsidRPr="0025526F">
        <w:rPr>
          <w:rFonts w:cstheme="minorHAnsi"/>
        </w:rPr>
        <w:t>Zamawiający przewiduje unieważnienie postępowania, jeśli środki publiczne, które zamierzał przeznaczyć na sfinansowanie całości lub części zamówienia nie zostały przyznane</w:t>
      </w:r>
      <w:r w:rsidR="00D3287E">
        <w:rPr>
          <w:rFonts w:cstheme="minorHAnsi"/>
        </w:rPr>
        <w:t>.</w:t>
      </w:r>
    </w:p>
    <w:p w:rsidR="00342F75" w:rsidRPr="00355B08" w:rsidRDefault="00C7149D" w:rsidP="00FA77A5">
      <w:pPr>
        <w:pStyle w:val="Nagwek1"/>
        <w:ind w:left="426" w:hanging="426"/>
      </w:pPr>
      <w:r>
        <w:t xml:space="preserve"> </w:t>
      </w:r>
      <w:bookmarkStart w:id="30" w:name="_Toc72397760"/>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lastRenderedPageBreak/>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864359">
        <w:rPr>
          <w:rFonts w:cstheme="minorHAnsi"/>
        </w:rPr>
        <w:t xml:space="preserve">Modernizacja </w:t>
      </w:r>
      <w:r w:rsidR="001315D0">
        <w:rPr>
          <w:rFonts w:cstheme="minorHAnsi"/>
        </w:rPr>
        <w:t>terenów utwardzonych</w:t>
      </w:r>
      <w:r w:rsidR="00864359">
        <w:rPr>
          <w:rFonts w:cstheme="minorHAnsi"/>
        </w:rPr>
        <w:t xml:space="preserve"> </w:t>
      </w:r>
      <w:r w:rsidR="0021217E">
        <w:rPr>
          <w:rFonts w:cstheme="minorHAnsi"/>
        </w:rPr>
        <w:t>w Gminie Resko</w:t>
      </w:r>
      <w:r w:rsidR="004D1189" w:rsidRPr="001B6884">
        <w:rPr>
          <w:rFonts w:cstheme="minorHAnsi"/>
          <w:bCs/>
        </w:rPr>
        <w:t>.</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D3287E">
        <w:rPr>
          <w:rFonts w:cstheme="minorHAnsi"/>
        </w:rPr>
        <w:t>8</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BC10B2">
        <w:rPr>
          <w:rFonts w:eastAsia="Courier New" w:cstheme="minorHAnsi"/>
          <w:b/>
          <w:bCs/>
        </w:rPr>
        <w:t xml:space="preserve">Modernizacja </w:t>
      </w:r>
      <w:r w:rsidR="001315D0">
        <w:rPr>
          <w:rFonts w:eastAsia="Courier New" w:cstheme="minorHAnsi"/>
          <w:b/>
          <w:bCs/>
        </w:rPr>
        <w:t>terenów utwardzonych</w:t>
      </w:r>
      <w:r w:rsidR="00BC10B2">
        <w:rPr>
          <w:rFonts w:eastAsia="Courier New" w:cstheme="minorHAnsi"/>
          <w:b/>
          <w:bCs/>
        </w:rPr>
        <w:t xml:space="preserve"> </w:t>
      </w:r>
      <w:r w:rsidR="0021217E">
        <w:rPr>
          <w:rFonts w:eastAsia="Courier New" w:cstheme="minorHAnsi"/>
          <w:b/>
          <w:bCs/>
        </w:rPr>
        <w:t>w Gminie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D3287E">
        <w:rPr>
          <w:rFonts w:cstheme="minorHAnsi"/>
          <w:b/>
        </w:rPr>
        <w:t>8</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872E17" w:rsidRPr="0006047D" w:rsidRDefault="00872E17" w:rsidP="000C4F9F">
      <w:pPr>
        <w:tabs>
          <w:tab w:val="left" w:pos="284"/>
        </w:tabs>
        <w:spacing w:after="21" w:line="259" w:lineRule="auto"/>
        <w:rPr>
          <w:rFonts w:eastAsia="Courier New" w:cstheme="minorHAnsi"/>
          <w:bCs/>
        </w:rPr>
      </w:pPr>
      <w:r w:rsidRPr="0006047D">
        <w:rPr>
          <w:rFonts w:eastAsia="Courier New" w:cstheme="minorHAnsi"/>
          <w:bCs/>
        </w:rPr>
        <w:t xml:space="preserve">w tym za wykonanie </w:t>
      </w:r>
      <w:r w:rsidR="00BC10B2" w:rsidRPr="0006047D">
        <w:rPr>
          <w:rFonts w:eastAsia="Courier New" w:cstheme="minorHAnsi"/>
          <w:bCs/>
        </w:rPr>
        <w:t>robót budowlanych</w:t>
      </w:r>
      <w:r w:rsidRPr="0006047D">
        <w:rPr>
          <w:rFonts w:eastAsia="Courier New" w:cstheme="minorHAnsi"/>
          <w:bCs/>
        </w:rPr>
        <w:t xml:space="preserve"> w:</w:t>
      </w:r>
      <w:r w:rsidRPr="0006047D">
        <w:rPr>
          <w:rFonts w:eastAsia="Courier New" w:cstheme="minorHAnsi"/>
          <w:bCs/>
        </w:rPr>
        <w:br/>
        <w:t xml:space="preserve">m. </w:t>
      </w:r>
      <w:r w:rsidR="00D3287E">
        <w:rPr>
          <w:rFonts w:eastAsia="Courier New" w:cstheme="minorHAnsi"/>
          <w:bCs/>
        </w:rPr>
        <w:t>Resko – Zespół Szkół</w:t>
      </w:r>
      <w:r w:rsidRPr="0006047D">
        <w:rPr>
          <w:rFonts w:eastAsia="Courier New" w:cstheme="minorHAnsi"/>
          <w:bCs/>
        </w:rPr>
        <w:tab/>
      </w:r>
      <w:r w:rsidR="00BC10B2" w:rsidRPr="0006047D">
        <w:rPr>
          <w:rFonts w:eastAsia="Courier New" w:cstheme="minorHAnsi"/>
          <w:bCs/>
        </w:rPr>
        <w:tab/>
      </w:r>
      <w:r w:rsidR="00D3287E">
        <w:rPr>
          <w:rFonts w:eastAsia="Courier New" w:cstheme="minorHAnsi"/>
          <w:bCs/>
        </w:rPr>
        <w:tab/>
      </w:r>
      <w:r w:rsidRPr="0006047D">
        <w:rPr>
          <w:rFonts w:eastAsia="Courier New"/>
          <w:sz w:val="20"/>
          <w:szCs w:val="20"/>
        </w:rPr>
        <w:t>……………. zł brutto, ………….. zł netto</w:t>
      </w:r>
    </w:p>
    <w:p w:rsidR="00872E17" w:rsidRPr="0006047D" w:rsidRDefault="00872E17" w:rsidP="000C4F9F">
      <w:pPr>
        <w:tabs>
          <w:tab w:val="left" w:pos="284"/>
        </w:tabs>
        <w:spacing w:after="21" w:line="259" w:lineRule="auto"/>
        <w:rPr>
          <w:rFonts w:eastAsia="Courier New" w:cstheme="minorHAnsi"/>
          <w:bCs/>
        </w:rPr>
      </w:pPr>
      <w:r w:rsidRPr="0006047D">
        <w:rPr>
          <w:rFonts w:eastAsia="Courier New" w:cstheme="minorHAnsi"/>
          <w:bCs/>
        </w:rPr>
        <w:t xml:space="preserve">m. </w:t>
      </w:r>
      <w:r w:rsidR="00BC10B2" w:rsidRPr="0006047D">
        <w:rPr>
          <w:rFonts w:eastAsia="Courier New" w:cstheme="minorHAnsi"/>
          <w:bCs/>
        </w:rPr>
        <w:t>Resko przy ul. Gdańskiej</w:t>
      </w:r>
      <w:r w:rsidRPr="0006047D">
        <w:rPr>
          <w:rFonts w:eastAsia="Courier New" w:cstheme="minorHAnsi"/>
          <w:bCs/>
        </w:rPr>
        <w:tab/>
      </w:r>
      <w:r w:rsidR="00D3287E">
        <w:rPr>
          <w:rFonts w:eastAsia="Courier New" w:cstheme="minorHAnsi"/>
          <w:bCs/>
        </w:rPr>
        <w:tab/>
      </w:r>
      <w:r w:rsidRPr="0006047D">
        <w:rPr>
          <w:rFonts w:eastAsia="Courier New"/>
          <w:sz w:val="20"/>
          <w:szCs w:val="20"/>
        </w:rPr>
        <w:t>……………. zł brutto, ………….. zł netto</w:t>
      </w:r>
    </w:p>
    <w:p w:rsidR="009E3A08" w:rsidRPr="0006047D" w:rsidRDefault="00872E17" w:rsidP="000C4F9F">
      <w:pPr>
        <w:tabs>
          <w:tab w:val="left" w:pos="284"/>
        </w:tabs>
        <w:spacing w:after="21" w:line="259" w:lineRule="auto"/>
        <w:rPr>
          <w:rFonts w:eastAsia="Courier New"/>
          <w:sz w:val="20"/>
          <w:szCs w:val="20"/>
        </w:rPr>
      </w:pPr>
      <w:r w:rsidRPr="0006047D">
        <w:rPr>
          <w:rFonts w:eastAsia="Courier New" w:cstheme="minorHAnsi"/>
          <w:bCs/>
        </w:rPr>
        <w:t xml:space="preserve">m. </w:t>
      </w:r>
      <w:r w:rsidR="00BC10B2" w:rsidRPr="0006047D">
        <w:rPr>
          <w:rFonts w:eastAsia="Courier New" w:cstheme="minorHAnsi"/>
          <w:bCs/>
        </w:rPr>
        <w:t xml:space="preserve">Resko przy ul. </w:t>
      </w:r>
      <w:proofErr w:type="spellStart"/>
      <w:r w:rsidR="00D3287E">
        <w:rPr>
          <w:rFonts w:eastAsia="Courier New" w:cstheme="minorHAnsi"/>
          <w:bCs/>
        </w:rPr>
        <w:t>Parkowej-Borków</w:t>
      </w:r>
      <w:proofErr w:type="spellEnd"/>
      <w:r w:rsidR="00BC10B2" w:rsidRPr="0006047D">
        <w:rPr>
          <w:rFonts w:eastAsia="Courier New" w:cstheme="minorHAnsi"/>
          <w:bCs/>
        </w:rPr>
        <w:tab/>
      </w:r>
      <w:r w:rsidRPr="0006047D">
        <w:rPr>
          <w:rFonts w:eastAsia="Courier New"/>
          <w:sz w:val="20"/>
          <w:szCs w:val="20"/>
        </w:rPr>
        <w:t>……………. zł brutto, ………….. zł netto</w:t>
      </w:r>
    </w:p>
    <w:p w:rsidR="00872E17" w:rsidRDefault="00872E17" w:rsidP="000C4F9F">
      <w:pPr>
        <w:tabs>
          <w:tab w:val="left" w:pos="284"/>
        </w:tabs>
        <w:spacing w:after="21" w:line="259" w:lineRule="auto"/>
        <w:rPr>
          <w:rFonts w:eastAsia="Courier New" w:cstheme="minorHAnsi"/>
          <w:bCs/>
        </w:rPr>
      </w:pPr>
      <w:r w:rsidRPr="0006047D">
        <w:rPr>
          <w:rFonts w:eastAsia="Courier New" w:cstheme="minorHAnsi"/>
          <w:bCs/>
        </w:rPr>
        <w:t xml:space="preserve">m. </w:t>
      </w:r>
      <w:r w:rsidR="00BC10B2" w:rsidRPr="0006047D">
        <w:rPr>
          <w:rFonts w:eastAsia="Courier New" w:cstheme="minorHAnsi"/>
          <w:bCs/>
        </w:rPr>
        <w:t>Starogard</w:t>
      </w:r>
      <w:r w:rsidRPr="0006047D">
        <w:rPr>
          <w:rFonts w:eastAsia="Courier New" w:cstheme="minorHAnsi"/>
          <w:bCs/>
        </w:rPr>
        <w:tab/>
      </w:r>
      <w:r w:rsidRPr="0006047D">
        <w:rPr>
          <w:rFonts w:eastAsia="Courier New" w:cstheme="minorHAnsi"/>
          <w:bCs/>
        </w:rPr>
        <w:tab/>
      </w:r>
      <w:r w:rsidR="00BC10B2" w:rsidRPr="0006047D">
        <w:rPr>
          <w:rFonts w:eastAsia="Courier New" w:cstheme="minorHAnsi"/>
          <w:bCs/>
        </w:rPr>
        <w:tab/>
      </w:r>
      <w:r w:rsidR="00D3287E">
        <w:rPr>
          <w:rFonts w:eastAsia="Courier New" w:cstheme="minorHAnsi"/>
          <w:bCs/>
        </w:rPr>
        <w:tab/>
      </w:r>
      <w:r w:rsidRPr="0006047D">
        <w:rPr>
          <w:rFonts w:eastAsia="Courier New"/>
          <w:sz w:val="20"/>
          <w:szCs w:val="20"/>
        </w:rPr>
        <w:t>……………. zł brutto, ………….. zł netto</w:t>
      </w:r>
      <w:r w:rsidR="00192181">
        <w:rPr>
          <w:rFonts w:eastAsia="Courier New"/>
          <w:sz w:val="20"/>
          <w:szCs w:val="20"/>
        </w:rPr>
        <w:t xml:space="preserve"> </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283865" w:rsidRPr="0006047D">
        <w:rPr>
          <w:rFonts w:eastAsia="Courier New" w:cstheme="minorHAnsi"/>
        </w:rPr>
        <w:t xml:space="preserve">dnia </w:t>
      </w:r>
      <w:r w:rsidR="002A43E3" w:rsidRPr="0006047D">
        <w:rPr>
          <w:rFonts w:eastAsia="Courier New" w:cstheme="minorHAnsi"/>
        </w:rPr>
        <w:t>1</w:t>
      </w:r>
      <w:r w:rsidR="00192181" w:rsidRPr="0006047D">
        <w:rPr>
          <w:rFonts w:eastAsia="Courier New" w:cstheme="minorHAnsi"/>
        </w:rPr>
        <w:t>6</w:t>
      </w:r>
      <w:r w:rsidR="000C4F9F" w:rsidRPr="0006047D">
        <w:rPr>
          <w:rFonts w:eastAsia="Courier New" w:cstheme="minorHAnsi"/>
        </w:rPr>
        <w:t>.</w:t>
      </w:r>
      <w:r w:rsidR="00283865" w:rsidRPr="0006047D">
        <w:rPr>
          <w:rFonts w:eastAsia="Courier New" w:cstheme="minorHAnsi"/>
        </w:rPr>
        <w:t>07</w:t>
      </w:r>
      <w:r w:rsidR="000C4F9F" w:rsidRPr="0006047D">
        <w:rPr>
          <w:rFonts w:eastAsia="Courier New" w:cstheme="minorHAnsi"/>
        </w:rPr>
        <w:t>.2021 r</w:t>
      </w:r>
      <w:r w:rsidRPr="0006047D">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C10B2">
        <w:rPr>
          <w:rFonts w:eastAsia="Courier New" w:cstheme="minorHAnsi"/>
          <w:bCs/>
        </w:rPr>
        <w:t xml:space="preserve">Modernizacja </w:t>
      </w:r>
      <w:r w:rsidR="001315D0">
        <w:rPr>
          <w:rFonts w:eastAsia="Courier New" w:cstheme="minorHAnsi"/>
          <w:bCs/>
        </w:rPr>
        <w:t>terenów utwardzonych</w:t>
      </w:r>
      <w:r w:rsidR="00BC10B2">
        <w:rPr>
          <w:rFonts w:eastAsia="Courier New" w:cstheme="minorHAnsi"/>
          <w:bCs/>
        </w:rPr>
        <w:t xml:space="preserve"> </w:t>
      </w:r>
      <w:r w:rsidR="0021217E">
        <w:rPr>
          <w:rFonts w:eastAsia="Courier New" w:cstheme="minorHAnsi"/>
          <w:bCs/>
        </w:rPr>
        <w:t>w Gminie Resko</w:t>
      </w:r>
      <w:r w:rsidR="000C4F9F" w:rsidRPr="000C4F9F">
        <w:rPr>
          <w:rFonts w:eastAsia="Courier New" w:cstheme="minorHAnsi"/>
          <w:bCs/>
        </w:rPr>
        <w:t>”</w:t>
      </w:r>
      <w:r w:rsidR="00D3287E">
        <w:rPr>
          <w:rFonts w:eastAsia="Courier New" w:cstheme="minorHAnsi"/>
          <w:bCs/>
        </w:rPr>
        <w:t xml:space="preserve"> znak sprawy ZP.271.8.21,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975400" w:rsidRDefault="00975400" w:rsidP="00A26A08">
      <w:pPr>
        <w:spacing w:after="0" w:line="360" w:lineRule="auto"/>
        <w:rPr>
          <w:rFonts w:cstheme="minorHAnsi"/>
          <w:sz w:val="21"/>
          <w:szCs w:val="21"/>
        </w:rPr>
      </w:pPr>
    </w:p>
    <w:p w:rsidR="00975400" w:rsidRPr="00355B08" w:rsidRDefault="00975400"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BC10B2">
        <w:rPr>
          <w:rFonts w:eastAsia="Courier New" w:cstheme="minorHAnsi"/>
          <w:bCs/>
        </w:rPr>
        <w:t xml:space="preserve">Modernizacja </w:t>
      </w:r>
      <w:r w:rsidR="001315D0">
        <w:rPr>
          <w:rFonts w:eastAsia="Courier New" w:cstheme="minorHAnsi"/>
          <w:bCs/>
        </w:rPr>
        <w:t xml:space="preserve">terenów utwardzonych </w:t>
      </w:r>
      <w:r w:rsidR="00BC10B2">
        <w:rPr>
          <w:rFonts w:eastAsia="Courier New" w:cstheme="minorHAnsi"/>
          <w:bCs/>
        </w:rPr>
        <w:t xml:space="preserve"> </w:t>
      </w:r>
      <w:r w:rsidR="0021217E">
        <w:rPr>
          <w:rFonts w:eastAsia="Courier New" w:cstheme="minorHAnsi"/>
          <w:bCs/>
        </w:rPr>
        <w:t>w Gminie 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ZP.271.8.21,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BC10B2">
        <w:rPr>
          <w:rFonts w:eastAsia="Courier New" w:cstheme="minorHAnsi"/>
          <w:b/>
          <w:bCs/>
        </w:rPr>
        <w:t xml:space="preserve">Modernizacja </w:t>
      </w:r>
      <w:r w:rsidR="001315D0">
        <w:rPr>
          <w:rFonts w:eastAsia="Courier New" w:cstheme="minorHAnsi"/>
          <w:b/>
          <w:bCs/>
        </w:rPr>
        <w:t>terenów utwardzonych</w:t>
      </w:r>
      <w:r w:rsidR="00BC10B2">
        <w:rPr>
          <w:rFonts w:eastAsia="Courier New" w:cstheme="minorHAnsi"/>
          <w:b/>
          <w:bCs/>
        </w:rPr>
        <w:t xml:space="preserve"> </w:t>
      </w:r>
      <w:r w:rsidR="0021217E">
        <w:rPr>
          <w:rFonts w:eastAsia="Courier New" w:cstheme="minorHAnsi"/>
          <w:b/>
          <w:bCs/>
        </w:rPr>
        <w:t>w Gminie Resko</w:t>
      </w:r>
      <w:r w:rsidRPr="00765D07">
        <w:rPr>
          <w:rFonts w:eastAsia="Courier New" w:cstheme="minorHAnsi"/>
          <w:b/>
          <w:bCs/>
        </w:rPr>
        <w:t xml:space="preserve">” </w:t>
      </w:r>
      <w:r w:rsidR="004F176A">
        <w:rPr>
          <w:rFonts w:eastAsia="Courier New" w:cstheme="minorHAnsi"/>
          <w:b/>
          <w:bCs/>
        </w:rPr>
        <w:br/>
        <w:t>znak sprawy ZP.271.8.21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BC10B2">
        <w:rPr>
          <w:rFonts w:eastAsia="Courier New" w:cstheme="minorHAnsi"/>
          <w:b/>
          <w:bCs/>
        </w:rPr>
        <w:t xml:space="preserve">Modernizacja </w:t>
      </w:r>
      <w:r w:rsidR="001315D0">
        <w:rPr>
          <w:rFonts w:eastAsia="Courier New" w:cstheme="minorHAnsi"/>
          <w:b/>
          <w:bCs/>
        </w:rPr>
        <w:t>terenów utwardzonych</w:t>
      </w:r>
      <w:r w:rsidR="00BC10B2">
        <w:rPr>
          <w:rFonts w:eastAsia="Courier New" w:cstheme="minorHAnsi"/>
          <w:b/>
          <w:bCs/>
        </w:rPr>
        <w:t xml:space="preserve"> </w:t>
      </w:r>
      <w:r w:rsidR="0021217E">
        <w:rPr>
          <w:rFonts w:eastAsia="Courier New" w:cstheme="minorHAnsi"/>
          <w:b/>
          <w:bCs/>
        </w:rPr>
        <w:t>w Gminie Resko</w:t>
      </w:r>
      <w:r w:rsidRPr="00765D07">
        <w:rPr>
          <w:rFonts w:eastAsia="Courier New" w:cstheme="minorHAnsi"/>
          <w:b/>
          <w:bCs/>
        </w:rPr>
        <w:t xml:space="preserve">” </w:t>
      </w:r>
      <w:r w:rsidR="004F176A">
        <w:rPr>
          <w:rFonts w:eastAsia="Courier New" w:cstheme="minorHAnsi"/>
          <w:b/>
          <w:bCs/>
        </w:rPr>
        <w:br/>
        <w:t>znak sprawy ZP.271.8.21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3A5E56" w:rsidRDefault="003A5E56" w:rsidP="003A5E56">
      <w:pPr>
        <w:spacing w:after="0" w:line="240" w:lineRule="auto"/>
        <w:ind w:hanging="1"/>
        <w:rPr>
          <w:rFonts w:ascii="Calibri" w:hAnsi="Calibri" w:cs="Arial"/>
          <w:b/>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Pr>
          <w:rFonts w:ascii="Calibri" w:hAnsi="Calibri"/>
          <w:sz w:val="24"/>
          <w:szCs w:val="24"/>
        </w:rPr>
        <w:t>19</w:t>
      </w:r>
      <w:r w:rsidRPr="00433B23">
        <w:rPr>
          <w:rFonts w:ascii="Calibri" w:hAnsi="Calibri"/>
          <w:sz w:val="24"/>
          <w:szCs w:val="24"/>
        </w:rPr>
        <w:t xml:space="preserve"> r. poz. </w:t>
      </w:r>
      <w:r>
        <w:rPr>
          <w:rFonts w:ascii="Calibri" w:hAnsi="Calibri"/>
          <w:sz w:val="24"/>
          <w:szCs w:val="24"/>
        </w:rPr>
        <w:t>2019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r w:rsidRPr="002103D2">
        <w:rPr>
          <w:rFonts w:cstheme="minorHAnsi"/>
          <w:b/>
          <w:bCs/>
          <w:szCs w:val="26"/>
        </w:rPr>
        <w:t>„</w:t>
      </w:r>
      <w:r w:rsidRPr="00924160">
        <w:rPr>
          <w:rFonts w:cstheme="minorHAnsi"/>
          <w:b/>
          <w:bCs/>
          <w:sz w:val="26"/>
          <w:szCs w:val="26"/>
        </w:rPr>
        <w:t xml:space="preserve">Modernizacja </w:t>
      </w:r>
      <w:r w:rsidR="001315D0">
        <w:rPr>
          <w:rFonts w:cstheme="minorHAnsi"/>
          <w:b/>
          <w:bCs/>
          <w:sz w:val="26"/>
          <w:szCs w:val="26"/>
        </w:rPr>
        <w:t>terenów utwardzonych</w:t>
      </w:r>
      <w:r w:rsidRPr="00924160">
        <w:rPr>
          <w:rFonts w:cstheme="minorHAnsi"/>
          <w:b/>
          <w:bCs/>
          <w:sz w:val="26"/>
          <w:szCs w:val="26"/>
        </w:rPr>
        <w:t xml:space="preserve"> </w:t>
      </w:r>
      <w:r w:rsidR="0021217E">
        <w:rPr>
          <w:rFonts w:cstheme="minorHAnsi"/>
          <w:b/>
          <w:bCs/>
          <w:sz w:val="26"/>
          <w:szCs w:val="26"/>
        </w:rPr>
        <w:t>w Gminie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lastRenderedPageBreak/>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w:t>
      </w:r>
      <w:r w:rsidRPr="00433B23">
        <w:rPr>
          <w:rFonts w:ascii="Calibri" w:hAnsi="Calibri" w:cs="Calibri"/>
          <w:sz w:val="24"/>
          <w:szCs w:val="24"/>
        </w:rPr>
        <w:lastRenderedPageBreak/>
        <w:t>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3A5E56">
      <w:pPr>
        <w:spacing w:after="0" w:line="240" w:lineRule="auto"/>
        <w:ind w:left="284" w:hanging="1"/>
        <w:rPr>
          <w:rFonts w:ascii="Calibri" w:hAnsi="Calibri" w:cs="Calibri"/>
          <w:sz w:val="24"/>
          <w:szCs w:val="24"/>
        </w:rPr>
      </w:pPr>
      <w:r w:rsidRPr="00433B23">
        <w:rPr>
          <w:rFonts w:ascii="Calibri" w:hAnsi="Calibri" w:cs="Calibri"/>
          <w:sz w:val="24"/>
          <w:szCs w:val="24"/>
        </w:rPr>
        <w:t>Treść Umowy oraz dokumentów, określonych w § 2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 wraz z załącznikami.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4F176A" w:rsidRPr="004F176A" w:rsidRDefault="003A5E56" w:rsidP="003A5E56">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p>
    <w:p w:rsidR="003A5E56" w:rsidRPr="004F176A" w:rsidRDefault="004F176A" w:rsidP="004F176A">
      <w:pPr>
        <w:pStyle w:val="Tekstpodstawowy2"/>
        <w:numPr>
          <w:ilvl w:val="1"/>
          <w:numId w:val="98"/>
        </w:numPr>
        <w:jc w:val="both"/>
        <w:rPr>
          <w:rFonts w:ascii="Calibri" w:hAnsi="Calibri" w:cs="Arial"/>
          <w:sz w:val="24"/>
          <w:szCs w:val="24"/>
        </w:rPr>
      </w:pPr>
      <w:r>
        <w:rPr>
          <w:rFonts w:ascii="Calibri" w:hAnsi="Calibri" w:cs="Arial"/>
          <w:sz w:val="24"/>
          <w:szCs w:val="24"/>
          <w:lang w:val="pl-PL"/>
        </w:rPr>
        <w:t xml:space="preserve">dla zakresu przy Zespole Szkół w Resku: </w:t>
      </w:r>
      <w:r w:rsidR="003A5E56" w:rsidRPr="002979FE">
        <w:rPr>
          <w:rFonts w:ascii="Calibri" w:hAnsi="Calibri" w:cs="Arial"/>
          <w:b/>
          <w:sz w:val="24"/>
          <w:szCs w:val="24"/>
          <w:lang w:val="pl-PL"/>
        </w:rPr>
        <w:t>do</w:t>
      </w:r>
      <w:r w:rsidR="003A5E56" w:rsidRPr="002979FE">
        <w:rPr>
          <w:rFonts w:ascii="Calibri" w:hAnsi="Calibri" w:cs="Arial"/>
          <w:sz w:val="24"/>
          <w:szCs w:val="24"/>
          <w:lang w:val="pl-PL"/>
        </w:rPr>
        <w:t xml:space="preserve"> </w:t>
      </w:r>
      <w:r w:rsidRPr="004F176A">
        <w:rPr>
          <w:rFonts w:ascii="Calibri" w:hAnsi="Calibri" w:cs="Arial"/>
          <w:b/>
          <w:sz w:val="24"/>
          <w:szCs w:val="24"/>
          <w:lang w:val="pl-PL"/>
        </w:rPr>
        <w:t>30</w:t>
      </w:r>
      <w:r w:rsidR="003A5E56" w:rsidRPr="002979FE">
        <w:rPr>
          <w:rFonts w:ascii="Calibri" w:hAnsi="Calibri" w:cs="Arial"/>
          <w:b/>
          <w:sz w:val="24"/>
          <w:szCs w:val="24"/>
          <w:lang w:val="pl-PL"/>
        </w:rPr>
        <w:t xml:space="preserve"> dni od dnia podpisania umowy.</w:t>
      </w:r>
    </w:p>
    <w:p w:rsidR="004F176A" w:rsidRPr="004F176A" w:rsidRDefault="004F176A" w:rsidP="004F176A">
      <w:pPr>
        <w:pStyle w:val="Tekstpodstawowy2"/>
        <w:numPr>
          <w:ilvl w:val="1"/>
          <w:numId w:val="98"/>
        </w:numPr>
        <w:jc w:val="both"/>
        <w:rPr>
          <w:rFonts w:ascii="Calibri" w:hAnsi="Calibri" w:cs="Arial"/>
          <w:sz w:val="24"/>
          <w:szCs w:val="24"/>
        </w:rPr>
      </w:pPr>
      <w:r>
        <w:rPr>
          <w:rFonts w:ascii="Calibri" w:hAnsi="Calibri" w:cs="Arial"/>
          <w:b/>
          <w:sz w:val="24"/>
          <w:szCs w:val="24"/>
          <w:lang w:val="pl-PL"/>
        </w:rPr>
        <w:t xml:space="preserve">dla pozostałego zakresu: </w:t>
      </w:r>
      <w:r w:rsidRPr="002979FE">
        <w:rPr>
          <w:rFonts w:ascii="Calibri" w:hAnsi="Calibri" w:cs="Arial"/>
          <w:b/>
          <w:sz w:val="24"/>
          <w:szCs w:val="24"/>
          <w:lang w:val="pl-PL"/>
        </w:rPr>
        <w:t>do</w:t>
      </w:r>
      <w:r w:rsidRPr="002979FE">
        <w:rPr>
          <w:rFonts w:ascii="Calibri" w:hAnsi="Calibri" w:cs="Arial"/>
          <w:sz w:val="24"/>
          <w:szCs w:val="24"/>
          <w:lang w:val="pl-PL"/>
        </w:rPr>
        <w:t xml:space="preserve"> </w:t>
      </w:r>
      <w:r w:rsidRPr="004F176A">
        <w:rPr>
          <w:rFonts w:ascii="Calibri" w:hAnsi="Calibri" w:cs="Arial"/>
          <w:b/>
          <w:sz w:val="24"/>
          <w:szCs w:val="24"/>
          <w:lang w:val="pl-PL"/>
        </w:rPr>
        <w:t>60</w:t>
      </w:r>
      <w:r w:rsidRPr="002979FE">
        <w:rPr>
          <w:rFonts w:ascii="Calibri" w:hAnsi="Calibri" w:cs="Arial"/>
          <w:b/>
          <w:sz w:val="24"/>
          <w:szCs w:val="24"/>
          <w:lang w:val="pl-PL"/>
        </w:rPr>
        <w:t xml:space="preserve"> dni od dnia podpisania umowy.</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lastRenderedPageBreak/>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rsidR="003A5E56" w:rsidRPr="00BA3760"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BA3760">
        <w:rPr>
          <w:rFonts w:ascii="Calibri" w:hAnsi="Calibri" w:cs="Calibri"/>
          <w:sz w:val="24"/>
          <w:szCs w:val="24"/>
        </w:rPr>
        <w:t>Przewiduje się odbiór końcowy robót</w:t>
      </w:r>
      <w:r w:rsidR="00D73104">
        <w:rPr>
          <w:rFonts w:ascii="Calibri" w:hAnsi="Calibri" w:cs="Calibri"/>
          <w:sz w:val="24"/>
          <w:szCs w:val="24"/>
        </w:rPr>
        <w:t>: jeden dla zakresu przy Zespole Szkół w Resku oraz jeden dla pozostałego zakresu robót</w:t>
      </w:r>
      <w:r>
        <w:rPr>
          <w:rFonts w:ascii="Calibri" w:hAnsi="Calibri" w:cs="Calibri"/>
          <w:sz w:val="24"/>
          <w:szCs w:val="24"/>
        </w:rPr>
        <w:t xml:space="preserve">. </w:t>
      </w:r>
      <w:r w:rsidR="00D73104">
        <w:rPr>
          <w:rFonts w:ascii="Calibri" w:hAnsi="Calibri" w:cs="Calibri"/>
          <w:sz w:val="24"/>
          <w:szCs w:val="24"/>
        </w:rPr>
        <w:t xml:space="preserve">Dla każdej lokalizacji, o której mowa w §9 ust 1 zostanie sporządzony osobny protokół odbioru końcowego. </w:t>
      </w:r>
      <w:r w:rsidRPr="005A0651">
        <w:rPr>
          <w:rFonts w:ascii="Calibri" w:hAnsi="Calibri" w:cs="Calibri"/>
          <w:sz w:val="24"/>
          <w:szCs w:val="24"/>
        </w:rPr>
        <w:t>Nie przewiduje się odbiorów częściowych.</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lastRenderedPageBreak/>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w tym za wykonanie robót budowlanych w:</w:t>
      </w:r>
    </w:p>
    <w:p w:rsidR="004F176A" w:rsidRPr="004F176A" w:rsidRDefault="004F176A" w:rsidP="004F176A">
      <w:pPr>
        <w:pStyle w:val="Akapitzlist"/>
        <w:spacing w:after="0" w:line="240" w:lineRule="auto"/>
        <w:ind w:left="397"/>
        <w:jc w:val="both"/>
        <w:rPr>
          <w:rFonts w:cs="Arial"/>
          <w:sz w:val="24"/>
          <w:szCs w:val="24"/>
        </w:rPr>
      </w:pPr>
      <w:r w:rsidRPr="004F176A">
        <w:rPr>
          <w:rFonts w:cs="Arial"/>
          <w:sz w:val="24"/>
          <w:szCs w:val="24"/>
        </w:rPr>
        <w:t>m. Resko – Zespół Szkół</w:t>
      </w:r>
      <w:r w:rsidRPr="004F176A">
        <w:rPr>
          <w:rFonts w:cs="Arial"/>
          <w:sz w:val="24"/>
          <w:szCs w:val="24"/>
        </w:rPr>
        <w:tab/>
      </w:r>
      <w:r w:rsidRPr="004F176A">
        <w:rPr>
          <w:rFonts w:cs="Arial"/>
          <w:sz w:val="24"/>
          <w:szCs w:val="24"/>
        </w:rPr>
        <w:tab/>
      </w:r>
      <w:r w:rsidRPr="004F176A">
        <w:rPr>
          <w:rFonts w:cs="Arial"/>
          <w:sz w:val="24"/>
          <w:szCs w:val="24"/>
        </w:rPr>
        <w:tab/>
        <w:t>……………. zł brutto, ………….. zł netto</w:t>
      </w:r>
    </w:p>
    <w:p w:rsidR="004F176A" w:rsidRPr="004F176A" w:rsidRDefault="004F176A" w:rsidP="004F176A">
      <w:pPr>
        <w:pStyle w:val="Akapitzlist"/>
        <w:spacing w:after="0" w:line="240" w:lineRule="auto"/>
        <w:ind w:left="397"/>
        <w:jc w:val="both"/>
        <w:rPr>
          <w:rFonts w:cs="Arial"/>
          <w:sz w:val="24"/>
          <w:szCs w:val="24"/>
        </w:rPr>
      </w:pPr>
      <w:r w:rsidRPr="004F176A">
        <w:rPr>
          <w:rFonts w:cs="Arial"/>
          <w:sz w:val="24"/>
          <w:szCs w:val="24"/>
        </w:rPr>
        <w:t>m. Resko przy ul. Gdańskiej</w:t>
      </w:r>
      <w:r w:rsidRPr="004F176A">
        <w:rPr>
          <w:rFonts w:cs="Arial"/>
          <w:sz w:val="24"/>
          <w:szCs w:val="24"/>
        </w:rPr>
        <w:tab/>
      </w:r>
      <w:r w:rsidRPr="004F176A">
        <w:rPr>
          <w:rFonts w:cs="Arial"/>
          <w:sz w:val="24"/>
          <w:szCs w:val="24"/>
        </w:rPr>
        <w:tab/>
        <w:t>……………. zł brutto, ………….. zł netto</w:t>
      </w:r>
    </w:p>
    <w:p w:rsidR="004F176A" w:rsidRPr="004F176A" w:rsidRDefault="004F176A" w:rsidP="004F176A">
      <w:pPr>
        <w:pStyle w:val="Akapitzlist"/>
        <w:spacing w:after="0" w:line="240" w:lineRule="auto"/>
        <w:ind w:left="397"/>
        <w:jc w:val="both"/>
        <w:rPr>
          <w:rFonts w:cs="Arial"/>
          <w:sz w:val="24"/>
          <w:szCs w:val="24"/>
        </w:rPr>
      </w:pPr>
      <w:r w:rsidRPr="004F176A">
        <w:rPr>
          <w:rFonts w:cs="Arial"/>
          <w:sz w:val="24"/>
          <w:szCs w:val="24"/>
        </w:rPr>
        <w:t xml:space="preserve">m. Resko przy ul. </w:t>
      </w:r>
      <w:proofErr w:type="spellStart"/>
      <w:r w:rsidRPr="004F176A">
        <w:rPr>
          <w:rFonts w:cs="Arial"/>
          <w:sz w:val="24"/>
          <w:szCs w:val="24"/>
        </w:rPr>
        <w:t>Parkowej-Borków</w:t>
      </w:r>
      <w:proofErr w:type="spellEnd"/>
      <w:r w:rsidRPr="004F176A">
        <w:rPr>
          <w:rFonts w:cs="Arial"/>
          <w:sz w:val="24"/>
          <w:szCs w:val="24"/>
        </w:rPr>
        <w:tab/>
        <w:t>……………. zł brutto, ………….. zł netto</w:t>
      </w:r>
    </w:p>
    <w:p w:rsidR="004F176A" w:rsidRPr="004F176A" w:rsidRDefault="004F176A" w:rsidP="004F176A">
      <w:pPr>
        <w:pStyle w:val="Akapitzlist"/>
        <w:spacing w:after="0" w:line="240" w:lineRule="auto"/>
        <w:ind w:left="397"/>
        <w:jc w:val="both"/>
        <w:rPr>
          <w:rFonts w:ascii="Calibri" w:hAnsi="Calibri" w:cs="Calibri"/>
          <w:sz w:val="24"/>
          <w:szCs w:val="24"/>
        </w:rPr>
      </w:pPr>
      <w:r w:rsidRPr="004F176A">
        <w:rPr>
          <w:rFonts w:cs="Arial"/>
          <w:sz w:val="24"/>
          <w:szCs w:val="24"/>
        </w:rPr>
        <w:t>m. Starogard</w:t>
      </w:r>
      <w:r w:rsidRPr="004F176A">
        <w:rPr>
          <w:rFonts w:cs="Arial"/>
          <w:sz w:val="24"/>
          <w:szCs w:val="24"/>
        </w:rPr>
        <w:tab/>
      </w:r>
      <w:r w:rsidRPr="004F176A">
        <w:rPr>
          <w:rFonts w:cs="Arial"/>
          <w:sz w:val="24"/>
          <w:szCs w:val="24"/>
        </w:rPr>
        <w:tab/>
      </w:r>
      <w:r w:rsidRPr="004F176A">
        <w:rPr>
          <w:rFonts w:cs="Arial"/>
          <w:sz w:val="24"/>
          <w:szCs w:val="24"/>
        </w:rPr>
        <w:tab/>
      </w:r>
      <w:r w:rsidRPr="004F176A">
        <w:rPr>
          <w:rFonts w:cs="Arial"/>
          <w:sz w:val="24"/>
          <w:szCs w:val="24"/>
        </w:rPr>
        <w:tab/>
        <w:t xml:space="preserve">……………. zł brutto, ………….. zł netto </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3A5E56" w:rsidRPr="005A0651"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5A0651">
        <w:rPr>
          <w:rFonts w:ascii="Calibri" w:hAnsi="Calibri" w:cs="Calibri"/>
          <w:sz w:val="24"/>
          <w:szCs w:val="24"/>
        </w:rPr>
        <w:t xml:space="preserve">Zamawiający przewiduje rozliczenie wykonania przedmiotu umowy na następujących zasadach: </w:t>
      </w:r>
      <w:r w:rsidRPr="005A0651">
        <w:rPr>
          <w:rFonts w:ascii="Calibri" w:hAnsi="Calibri" w:cs="Calibri"/>
          <w:b/>
          <w:sz w:val="24"/>
          <w:szCs w:val="24"/>
        </w:rPr>
        <w:t>po wykonaniu 100% zakresu robót, płatność 100% wynagrodzenia na podstawie bezusterkowego protokołu końcowego odbioru robót</w:t>
      </w:r>
      <w:r w:rsidR="00D73104">
        <w:rPr>
          <w:rFonts w:ascii="Calibri" w:hAnsi="Calibri" w:cs="Calibri"/>
          <w:b/>
          <w:sz w:val="24"/>
          <w:szCs w:val="24"/>
        </w:rPr>
        <w:t xml:space="preserve"> dla każdej lokalizacji, o której mowa w ust 1</w:t>
      </w:r>
      <w:r w:rsidRPr="005A0651">
        <w:rPr>
          <w:rFonts w:ascii="Calibri" w:hAnsi="Calibri" w:cs="Calibri"/>
          <w:b/>
          <w:sz w:val="24"/>
          <w:szCs w:val="24"/>
        </w:rPr>
        <w:t>.</w:t>
      </w:r>
    </w:p>
    <w:p w:rsidR="003A5E56" w:rsidRPr="00476421" w:rsidRDefault="003A5E56" w:rsidP="003A5E56">
      <w:pPr>
        <w:pStyle w:val="Akapitzlist"/>
        <w:overflowPunct w:val="0"/>
        <w:autoSpaceDE w:val="0"/>
        <w:autoSpaceDN w:val="0"/>
        <w:adjustRightInd w:val="0"/>
        <w:spacing w:after="0" w:line="240" w:lineRule="auto"/>
        <w:ind w:left="426"/>
        <w:textAlignment w:val="baseline"/>
        <w:rPr>
          <w:rFonts w:ascii="Calibri" w:hAnsi="Calibri" w:cs="Calibri"/>
          <w:sz w:val="24"/>
          <w:szCs w:val="24"/>
        </w:rPr>
      </w:pPr>
      <w:r w:rsidRPr="005A0651">
        <w:rPr>
          <w:rFonts w:ascii="Calibri" w:hAnsi="Calibri" w:cs="Calibri"/>
          <w:sz w:val="24"/>
          <w:szCs w:val="24"/>
        </w:rPr>
        <w:t>Wykonawca wystawi osobno fakturę dla każdej lokalizacji zgodnie z wyszczególnieniem w ust.1. Płatność nastąpi po wykonaniu całości zadania.</w:t>
      </w:r>
    </w:p>
    <w:p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lastRenderedPageBreak/>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5A0651"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 w zakresie dróg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w:t>
      </w:r>
      <w:r w:rsidRPr="003C6856">
        <w:rPr>
          <w:rFonts w:ascii="Calibri" w:hAnsi="Calibri" w:cs="Calibri"/>
          <w:sz w:val="24"/>
          <w:szCs w:val="24"/>
        </w:rPr>
        <w:lastRenderedPageBreak/>
        <w:t xml:space="preserve">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1168CD"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konstrukcyjne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3"/>
        <w:jc w:val="both"/>
        <w:rPr>
          <w:rFonts w:ascii="Calibri" w:hAnsi="Calibri" w:cs="Calibri"/>
          <w:sz w:val="24"/>
          <w:szCs w:val="24"/>
        </w:rPr>
      </w:pPr>
      <w:r w:rsidRPr="00433B23">
        <w:rPr>
          <w:rFonts w:ascii="Calibri" w:hAnsi="Calibri" w:cs="Calibri"/>
          <w:sz w:val="24"/>
          <w:szCs w:val="24"/>
        </w:rPr>
        <w:t>Ubezpieczenie od odpowiedzialności z tytułu zaistnienia zdarzeń, których następstwem jest niewykonanie lub nienależyte wykonanie Przedmiotu</w:t>
      </w:r>
      <w:r w:rsidRPr="00433B23">
        <w:rPr>
          <w:rFonts w:ascii="Calibri" w:hAnsi="Calibri" w:cs="Calibri"/>
          <w:color w:val="FF0000"/>
          <w:sz w:val="24"/>
          <w:szCs w:val="24"/>
        </w:rPr>
        <w:t xml:space="preserve"> </w:t>
      </w:r>
      <w:r w:rsidRPr="00433B23">
        <w:rPr>
          <w:rFonts w:ascii="Calibri" w:hAnsi="Calibri" w:cs="Calibri"/>
          <w:sz w:val="24"/>
          <w:szCs w:val="24"/>
        </w:rPr>
        <w:t>Umowy (</w:t>
      </w:r>
      <w:r w:rsidRPr="0070676F">
        <w:rPr>
          <w:rFonts w:ascii="Calibri" w:hAnsi="Calibri" w:cs="Calibri"/>
          <w:b/>
          <w:sz w:val="24"/>
          <w:szCs w:val="24"/>
        </w:rPr>
        <w:t>odpowiedzialność kontraktowa</w:t>
      </w:r>
      <w:r w:rsidRPr="00433B23">
        <w:rPr>
          <w:rFonts w:ascii="Calibri" w:hAnsi="Calibri" w:cs="Calibri"/>
          <w:sz w:val="24"/>
          <w:szCs w:val="24"/>
        </w:rPr>
        <w:t>), na sumę ubezpieczenia nie niższą niż wartość brutto ceny złożonej w ofercie, na okres od dnia zawarcia Umowy do zakończenia robót i podpisania protokołu końcowego odbioru robót</w:t>
      </w:r>
      <w:r w:rsidRPr="001168CD">
        <w:rPr>
          <w:rFonts w:ascii="Calibri" w:hAnsi="Calibri" w:cs="Calibri"/>
          <w:sz w:val="24"/>
          <w:szCs w:val="24"/>
        </w:rPr>
        <w:t>. Jako podmiot uprawniony do otrzymania ewentualnych świadczeń z ubezpieczenia wskazany jest Zamawiający.</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Ubezpieczenie od odpowiedzialności cywilnej z tytułu zaistnienia zdarzeń (czynów niedozwolonych), których następstwem są szkody w mieniu lub na osobie, niezależnie czy dotyczą one osób zatrudnionych przez Wykonawcę, Podwykonawców (dalszych </w:t>
      </w:r>
      <w:r w:rsidRPr="00433B23">
        <w:rPr>
          <w:rFonts w:ascii="Calibri" w:hAnsi="Calibri" w:cs="Calibri"/>
          <w:sz w:val="24"/>
          <w:szCs w:val="24"/>
        </w:rPr>
        <w:lastRenderedPageBreak/>
        <w:t>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D73104">
        <w:rPr>
          <w:rFonts w:ascii="Calibri" w:hAnsi="Calibri" w:cs="Calibri"/>
          <w:sz w:val="24"/>
          <w:szCs w:val="24"/>
        </w:rPr>
        <w:t xml:space="preserve">600 000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i 2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1-3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wykupione polisy wraz z dowodem opłacenia składek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lastRenderedPageBreak/>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 xml:space="preserve">i innych skutków prowadzonych przez niego działań, także w zakresie przestrzegania </w:t>
      </w:r>
      <w:r w:rsidRPr="00433B23">
        <w:rPr>
          <w:rFonts w:ascii="Calibri" w:hAnsi="Calibri"/>
          <w:bCs/>
          <w:sz w:val="24"/>
          <w:szCs w:val="24"/>
        </w:rPr>
        <w:lastRenderedPageBreak/>
        <w:t>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zamówień publicznych ( tj. Dz.U. z 201</w:t>
      </w:r>
      <w:r>
        <w:rPr>
          <w:rFonts w:cs="Arial"/>
          <w:sz w:val="24"/>
          <w:szCs w:val="24"/>
        </w:rPr>
        <w:t xml:space="preserve">9 </w:t>
      </w:r>
      <w:r w:rsidRPr="00433B23">
        <w:rPr>
          <w:rFonts w:cs="Arial"/>
          <w:sz w:val="24"/>
          <w:szCs w:val="24"/>
        </w:rPr>
        <w:t>r</w:t>
      </w:r>
      <w:r>
        <w:rPr>
          <w:rFonts w:cs="Arial"/>
          <w:sz w:val="24"/>
          <w:szCs w:val="24"/>
        </w:rPr>
        <w:t>.</w:t>
      </w:r>
      <w:r w:rsidRPr="00433B23">
        <w:rPr>
          <w:rFonts w:cs="Arial"/>
          <w:sz w:val="24"/>
          <w:szCs w:val="24"/>
        </w:rPr>
        <w:t xml:space="preserve"> poz. </w:t>
      </w:r>
      <w:r w:rsidR="00D73104">
        <w:rPr>
          <w:rFonts w:cs="Arial"/>
          <w:sz w:val="24"/>
          <w:szCs w:val="24"/>
        </w:rPr>
        <w:t>2019</w:t>
      </w:r>
      <w:r>
        <w:rPr>
          <w:rFonts w:cs="Arial"/>
          <w:sz w:val="24"/>
          <w:szCs w:val="24"/>
        </w:rPr>
        <w:t xml:space="preserve"> 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8443C5"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lastRenderedPageBreak/>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3A5E56" w:rsidRDefault="003A5E56" w:rsidP="003A5E56">
      <w:pPr>
        <w:tabs>
          <w:tab w:val="left" w:pos="426"/>
          <w:tab w:val="left" w:pos="567"/>
        </w:tabs>
        <w:spacing w:after="0" w:line="240" w:lineRule="auto"/>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w:t>
      </w:r>
      <w:r w:rsidRPr="00433B23">
        <w:rPr>
          <w:rFonts w:ascii="Calibri" w:hAnsi="Calibri" w:cs="Calibri"/>
          <w:sz w:val="24"/>
          <w:szCs w:val="24"/>
        </w:rPr>
        <w:lastRenderedPageBreak/>
        <w:t>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lastRenderedPageBreak/>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Kopie polis ubezpieczeniowych z dowodami ich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4C" w:rsidRDefault="00CF054C" w:rsidP="007011F6">
      <w:pPr>
        <w:spacing w:after="0" w:line="240" w:lineRule="auto"/>
      </w:pPr>
      <w:r>
        <w:separator/>
      </w:r>
    </w:p>
  </w:endnote>
  <w:endnote w:type="continuationSeparator" w:id="0">
    <w:p w:rsidR="00CF054C" w:rsidRDefault="00CF054C"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CF054C" w:rsidRDefault="00CF054C"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A11C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A11C0">
              <w:rPr>
                <w:b/>
                <w:bCs/>
                <w:noProof/>
              </w:rPr>
              <w:t>55</w:t>
            </w:r>
            <w:r>
              <w:rPr>
                <w:b/>
                <w:bCs/>
                <w:sz w:val="24"/>
                <w:szCs w:val="24"/>
              </w:rPr>
              <w:fldChar w:fldCharType="end"/>
            </w:r>
          </w:p>
        </w:sdtContent>
      </w:sdt>
    </w:sdtContent>
  </w:sdt>
  <w:p w:rsidR="00CF054C" w:rsidRDefault="00CF0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4C" w:rsidRDefault="00CF054C" w:rsidP="007011F6">
      <w:pPr>
        <w:spacing w:after="0" w:line="240" w:lineRule="auto"/>
      </w:pPr>
      <w:r>
        <w:separator/>
      </w:r>
    </w:p>
  </w:footnote>
  <w:footnote w:type="continuationSeparator" w:id="0">
    <w:p w:rsidR="00CF054C" w:rsidRDefault="00CF054C"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7">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2">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7">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4">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1"/>
  </w:num>
  <w:num w:numId="3">
    <w:abstractNumId w:val="38"/>
  </w:num>
  <w:num w:numId="4">
    <w:abstractNumId w:val="28"/>
  </w:num>
  <w:num w:numId="5">
    <w:abstractNumId w:val="94"/>
  </w:num>
  <w:num w:numId="6">
    <w:abstractNumId w:val="4"/>
  </w:num>
  <w:num w:numId="7">
    <w:abstractNumId w:val="15"/>
  </w:num>
  <w:num w:numId="8">
    <w:abstractNumId w:val="58"/>
  </w:num>
  <w:num w:numId="9">
    <w:abstractNumId w:val="21"/>
  </w:num>
  <w:num w:numId="10">
    <w:abstractNumId w:val="62"/>
  </w:num>
  <w:num w:numId="11">
    <w:abstractNumId w:val="92"/>
  </w:num>
  <w:num w:numId="12">
    <w:abstractNumId w:val="106"/>
  </w:num>
  <w:num w:numId="13">
    <w:abstractNumId w:val="68"/>
  </w:num>
  <w:num w:numId="14">
    <w:abstractNumId w:val="29"/>
  </w:num>
  <w:num w:numId="15">
    <w:abstractNumId w:val="97"/>
  </w:num>
  <w:num w:numId="16">
    <w:abstractNumId w:val="49"/>
  </w:num>
  <w:num w:numId="17">
    <w:abstractNumId w:val="46"/>
  </w:num>
  <w:num w:numId="18">
    <w:abstractNumId w:val="96"/>
  </w:num>
  <w:num w:numId="19">
    <w:abstractNumId w:val="91"/>
  </w:num>
  <w:num w:numId="20">
    <w:abstractNumId w:val="74"/>
  </w:num>
  <w:num w:numId="21">
    <w:abstractNumId w:val="99"/>
  </w:num>
  <w:num w:numId="22">
    <w:abstractNumId w:val="72"/>
  </w:num>
  <w:num w:numId="23">
    <w:abstractNumId w:val="8"/>
  </w:num>
  <w:num w:numId="24">
    <w:abstractNumId w:val="10"/>
  </w:num>
  <w:num w:numId="25">
    <w:abstractNumId w:val="83"/>
  </w:num>
  <w:num w:numId="26">
    <w:abstractNumId w:val="12"/>
  </w:num>
  <w:num w:numId="27">
    <w:abstractNumId w:val="53"/>
  </w:num>
  <w:num w:numId="28">
    <w:abstractNumId w:val="54"/>
  </w:num>
  <w:num w:numId="29">
    <w:abstractNumId w:val="44"/>
  </w:num>
  <w:num w:numId="30">
    <w:abstractNumId w:val="23"/>
  </w:num>
  <w:num w:numId="31">
    <w:abstractNumId w:val="88"/>
  </w:num>
  <w:num w:numId="32">
    <w:abstractNumId w:val="57"/>
  </w:num>
  <w:num w:numId="33">
    <w:abstractNumId w:val="63"/>
  </w:num>
  <w:num w:numId="34">
    <w:abstractNumId w:val="40"/>
  </w:num>
  <w:num w:numId="35">
    <w:abstractNumId w:val="73"/>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num>
  <w:num w:numId="40">
    <w:abstractNumId w:val="87"/>
  </w:num>
  <w:num w:numId="41">
    <w:abstractNumId w:val="95"/>
  </w:num>
  <w:num w:numId="42">
    <w:abstractNumId w:val="48"/>
  </w:num>
  <w:num w:numId="43">
    <w:abstractNumId w:val="37"/>
  </w:num>
  <w:num w:numId="44">
    <w:abstractNumId w:val="18"/>
  </w:num>
  <w:num w:numId="45">
    <w:abstractNumId w:val="84"/>
  </w:num>
  <w:num w:numId="46">
    <w:abstractNumId w:val="26"/>
  </w:num>
  <w:num w:numId="47">
    <w:abstractNumId w:val="9"/>
  </w:num>
  <w:num w:numId="48">
    <w:abstractNumId w:val="69"/>
  </w:num>
  <w:num w:numId="49">
    <w:abstractNumId w:val="86"/>
  </w:num>
  <w:num w:numId="50">
    <w:abstractNumId w:val="41"/>
  </w:num>
  <w:num w:numId="51">
    <w:abstractNumId w:val="39"/>
  </w:num>
  <w:num w:numId="52">
    <w:abstractNumId w:val="32"/>
  </w:num>
  <w:num w:numId="53">
    <w:abstractNumId w:val="34"/>
  </w:num>
  <w:num w:numId="54">
    <w:abstractNumId w:val="104"/>
  </w:num>
  <w:num w:numId="55">
    <w:abstractNumId w:val="61"/>
  </w:num>
  <w:num w:numId="56">
    <w:abstractNumId w:val="60"/>
  </w:num>
  <w:num w:numId="57">
    <w:abstractNumId w:val="82"/>
  </w:num>
  <w:num w:numId="58">
    <w:abstractNumId w:val="20"/>
  </w:num>
  <w:num w:numId="59">
    <w:abstractNumId w:val="17"/>
  </w:num>
  <w:num w:numId="60">
    <w:abstractNumId w:val="77"/>
  </w:num>
  <w:num w:numId="61">
    <w:abstractNumId w:val="5"/>
  </w:num>
  <w:num w:numId="62">
    <w:abstractNumId w:val="13"/>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5"/>
  </w:num>
  <w:num w:numId="66">
    <w:abstractNumId w:val="47"/>
  </w:num>
  <w:num w:numId="67">
    <w:abstractNumId w:val="51"/>
  </w:num>
  <w:num w:numId="68">
    <w:abstractNumId w:val="81"/>
  </w:num>
  <w:num w:numId="69">
    <w:abstractNumId w:val="27"/>
  </w:num>
  <w:num w:numId="70">
    <w:abstractNumId w:val="14"/>
  </w:num>
  <w:num w:numId="71">
    <w:abstractNumId w:val="100"/>
  </w:num>
  <w:num w:numId="72">
    <w:abstractNumId w:val="70"/>
  </w:num>
  <w:num w:numId="73">
    <w:abstractNumId w:val="101"/>
  </w:num>
  <w:num w:numId="74">
    <w:abstractNumId w:val="25"/>
  </w:num>
  <w:num w:numId="75">
    <w:abstractNumId w:val="33"/>
  </w:num>
  <w:num w:numId="76">
    <w:abstractNumId w:val="42"/>
  </w:num>
  <w:num w:numId="77">
    <w:abstractNumId w:val="80"/>
  </w:num>
  <w:num w:numId="78">
    <w:abstractNumId w:val="79"/>
  </w:num>
  <w:num w:numId="79">
    <w:abstractNumId w:val="19"/>
  </w:num>
  <w:num w:numId="80">
    <w:abstractNumId w:val="56"/>
  </w:num>
  <w:num w:numId="81">
    <w:abstractNumId w:val="98"/>
  </w:num>
  <w:num w:numId="82">
    <w:abstractNumId w:val="78"/>
  </w:num>
  <w:num w:numId="83">
    <w:abstractNumId w:val="90"/>
  </w:num>
  <w:num w:numId="84">
    <w:abstractNumId w:val="35"/>
  </w:num>
  <w:num w:numId="85">
    <w:abstractNumId w:val="55"/>
  </w:num>
  <w:num w:numId="86">
    <w:abstractNumId w:val="64"/>
  </w:num>
  <w:num w:numId="87">
    <w:abstractNumId w:val="75"/>
  </w:num>
  <w:num w:numId="88">
    <w:abstractNumId w:val="30"/>
  </w:num>
  <w:num w:numId="89">
    <w:abstractNumId w:val="43"/>
  </w:num>
  <w:num w:numId="90">
    <w:abstractNumId w:val="102"/>
  </w:num>
  <w:num w:numId="91">
    <w:abstractNumId w:val="2"/>
  </w:num>
  <w:num w:numId="92">
    <w:abstractNumId w:val="52"/>
  </w:num>
  <w:num w:numId="93">
    <w:abstractNumId w:val="85"/>
  </w:num>
  <w:num w:numId="94">
    <w:abstractNumId w:val="24"/>
  </w:num>
  <w:num w:numId="95">
    <w:abstractNumId w:val="11"/>
  </w:num>
  <w:num w:numId="96">
    <w:abstractNumId w:val="3"/>
  </w:num>
  <w:num w:numId="97">
    <w:abstractNumId w:val="22"/>
  </w:num>
  <w:num w:numId="98">
    <w:abstractNumId w:val="89"/>
  </w:num>
  <w:num w:numId="99">
    <w:abstractNumId w:val="7"/>
  </w:num>
  <w:num w:numId="100">
    <w:abstractNumId w:val="66"/>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59"/>
  </w:num>
  <w:num w:numId="106">
    <w:abstractNumId w:val="6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47D"/>
    <w:rsid w:val="000606CA"/>
    <w:rsid w:val="00070875"/>
    <w:rsid w:val="000846EA"/>
    <w:rsid w:val="00093B6F"/>
    <w:rsid w:val="0009768E"/>
    <w:rsid w:val="000A0879"/>
    <w:rsid w:val="000B0C7A"/>
    <w:rsid w:val="000B10DF"/>
    <w:rsid w:val="000B334C"/>
    <w:rsid w:val="000C4F9F"/>
    <w:rsid w:val="000C506C"/>
    <w:rsid w:val="000E6A8B"/>
    <w:rsid w:val="000E75C7"/>
    <w:rsid w:val="000F5D6C"/>
    <w:rsid w:val="00101955"/>
    <w:rsid w:val="00102357"/>
    <w:rsid w:val="00123F3B"/>
    <w:rsid w:val="001315D0"/>
    <w:rsid w:val="00131D23"/>
    <w:rsid w:val="0014274A"/>
    <w:rsid w:val="001643D0"/>
    <w:rsid w:val="0017584D"/>
    <w:rsid w:val="00175B8C"/>
    <w:rsid w:val="00187319"/>
    <w:rsid w:val="00190979"/>
    <w:rsid w:val="00192181"/>
    <w:rsid w:val="001A11C0"/>
    <w:rsid w:val="001B6884"/>
    <w:rsid w:val="001C430F"/>
    <w:rsid w:val="001C5B16"/>
    <w:rsid w:val="001C5E48"/>
    <w:rsid w:val="001D7A08"/>
    <w:rsid w:val="00205E63"/>
    <w:rsid w:val="0021217E"/>
    <w:rsid w:val="0021723B"/>
    <w:rsid w:val="00242AA2"/>
    <w:rsid w:val="0025526F"/>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D0EDA"/>
    <w:rsid w:val="003F5160"/>
    <w:rsid w:val="0040576E"/>
    <w:rsid w:val="00426D92"/>
    <w:rsid w:val="004363BE"/>
    <w:rsid w:val="00437762"/>
    <w:rsid w:val="004455AA"/>
    <w:rsid w:val="004500ED"/>
    <w:rsid w:val="00453C05"/>
    <w:rsid w:val="00454336"/>
    <w:rsid w:val="00455B45"/>
    <w:rsid w:val="00462AA9"/>
    <w:rsid w:val="00466837"/>
    <w:rsid w:val="004709E1"/>
    <w:rsid w:val="00475021"/>
    <w:rsid w:val="004A2B7A"/>
    <w:rsid w:val="004A6185"/>
    <w:rsid w:val="004B1C3B"/>
    <w:rsid w:val="004B3ABA"/>
    <w:rsid w:val="004C47FB"/>
    <w:rsid w:val="004C497C"/>
    <w:rsid w:val="004D1189"/>
    <w:rsid w:val="004F176A"/>
    <w:rsid w:val="005023DA"/>
    <w:rsid w:val="00520F01"/>
    <w:rsid w:val="00521641"/>
    <w:rsid w:val="00524076"/>
    <w:rsid w:val="00526A59"/>
    <w:rsid w:val="00530558"/>
    <w:rsid w:val="005330C8"/>
    <w:rsid w:val="005426E9"/>
    <w:rsid w:val="00561093"/>
    <w:rsid w:val="00576F04"/>
    <w:rsid w:val="005815EC"/>
    <w:rsid w:val="00581DDB"/>
    <w:rsid w:val="00586EA5"/>
    <w:rsid w:val="005C7560"/>
    <w:rsid w:val="005D1C77"/>
    <w:rsid w:val="005E2B64"/>
    <w:rsid w:val="005E3A09"/>
    <w:rsid w:val="00606F9A"/>
    <w:rsid w:val="00613BE9"/>
    <w:rsid w:val="00620CA2"/>
    <w:rsid w:val="00624CC6"/>
    <w:rsid w:val="00675317"/>
    <w:rsid w:val="0067546C"/>
    <w:rsid w:val="006825D3"/>
    <w:rsid w:val="006A7476"/>
    <w:rsid w:val="006B6CE4"/>
    <w:rsid w:val="006C241F"/>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D4"/>
    <w:rsid w:val="00797AF4"/>
    <w:rsid w:val="007A039C"/>
    <w:rsid w:val="007A3245"/>
    <w:rsid w:val="007A565E"/>
    <w:rsid w:val="007C424D"/>
    <w:rsid w:val="007C6E1B"/>
    <w:rsid w:val="007E1DD9"/>
    <w:rsid w:val="007E4F85"/>
    <w:rsid w:val="007F4381"/>
    <w:rsid w:val="007F5D0B"/>
    <w:rsid w:val="00801BA9"/>
    <w:rsid w:val="00822590"/>
    <w:rsid w:val="00864359"/>
    <w:rsid w:val="00867982"/>
    <w:rsid w:val="00872E17"/>
    <w:rsid w:val="00873BB4"/>
    <w:rsid w:val="008840D4"/>
    <w:rsid w:val="00897EE0"/>
    <w:rsid w:val="008D7822"/>
    <w:rsid w:val="008E62B3"/>
    <w:rsid w:val="008F28A4"/>
    <w:rsid w:val="009425ED"/>
    <w:rsid w:val="00975400"/>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69E0"/>
    <w:rsid w:val="00AB1016"/>
    <w:rsid w:val="00AB2DA4"/>
    <w:rsid w:val="00AB5126"/>
    <w:rsid w:val="00AC428F"/>
    <w:rsid w:val="00AD154D"/>
    <w:rsid w:val="00AD6B79"/>
    <w:rsid w:val="00AE6B69"/>
    <w:rsid w:val="00AF3C00"/>
    <w:rsid w:val="00B153A1"/>
    <w:rsid w:val="00B154F2"/>
    <w:rsid w:val="00B2614A"/>
    <w:rsid w:val="00B50A11"/>
    <w:rsid w:val="00B56CF9"/>
    <w:rsid w:val="00B73BF0"/>
    <w:rsid w:val="00B74288"/>
    <w:rsid w:val="00BA1150"/>
    <w:rsid w:val="00BA4551"/>
    <w:rsid w:val="00BC0595"/>
    <w:rsid w:val="00BC10B2"/>
    <w:rsid w:val="00BE7F01"/>
    <w:rsid w:val="00C001E1"/>
    <w:rsid w:val="00C354F8"/>
    <w:rsid w:val="00C36B07"/>
    <w:rsid w:val="00C40A51"/>
    <w:rsid w:val="00C64803"/>
    <w:rsid w:val="00C7149D"/>
    <w:rsid w:val="00C8090C"/>
    <w:rsid w:val="00C85CCC"/>
    <w:rsid w:val="00C86280"/>
    <w:rsid w:val="00C92D3D"/>
    <w:rsid w:val="00C9320C"/>
    <w:rsid w:val="00CC4860"/>
    <w:rsid w:val="00CD572F"/>
    <w:rsid w:val="00CE4CFE"/>
    <w:rsid w:val="00CF054C"/>
    <w:rsid w:val="00D00BF8"/>
    <w:rsid w:val="00D22C82"/>
    <w:rsid w:val="00D3287E"/>
    <w:rsid w:val="00D50DFC"/>
    <w:rsid w:val="00D57553"/>
    <w:rsid w:val="00D61C38"/>
    <w:rsid w:val="00D6592B"/>
    <w:rsid w:val="00D67136"/>
    <w:rsid w:val="00D73104"/>
    <w:rsid w:val="00D753EB"/>
    <w:rsid w:val="00D86A79"/>
    <w:rsid w:val="00DB1C30"/>
    <w:rsid w:val="00DB3D67"/>
    <w:rsid w:val="00DC16BD"/>
    <w:rsid w:val="00DC2F80"/>
    <w:rsid w:val="00DE561C"/>
    <w:rsid w:val="00DF0746"/>
    <w:rsid w:val="00DF0ADF"/>
    <w:rsid w:val="00DF62E3"/>
    <w:rsid w:val="00E052A1"/>
    <w:rsid w:val="00E16BB7"/>
    <w:rsid w:val="00E1748A"/>
    <w:rsid w:val="00E26C8B"/>
    <w:rsid w:val="00E56479"/>
    <w:rsid w:val="00E67F98"/>
    <w:rsid w:val="00E87DCD"/>
    <w:rsid w:val="00E947A1"/>
    <w:rsid w:val="00EA2E08"/>
    <w:rsid w:val="00EC1724"/>
    <w:rsid w:val="00F01A9C"/>
    <w:rsid w:val="00F02DCE"/>
    <w:rsid w:val="00F0513E"/>
    <w:rsid w:val="00F108B3"/>
    <w:rsid w:val="00F313CB"/>
    <w:rsid w:val="00F36EE3"/>
    <w:rsid w:val="00F4284D"/>
    <w:rsid w:val="00F47911"/>
    <w:rsid w:val="00F61EF6"/>
    <w:rsid w:val="00F80A25"/>
    <w:rsid w:val="00F86403"/>
    <w:rsid w:val="00F8795C"/>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481225"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481225"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cek.wieckowskie@resko.pl" TargetMode="External"/><Relationship Id="rId20" Type="http://schemas.openxmlformats.org/officeDocument/2006/relationships/hyperlink" Target="https://platformazakupowa.pl/transakcja/481225"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5D81-B69C-4EA1-844B-8B10A07D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55</Pages>
  <Words>22499</Words>
  <Characters>134995</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35</cp:revision>
  <cp:lastPrinted>2021-07-13T11:49:00Z</cp:lastPrinted>
  <dcterms:created xsi:type="dcterms:W3CDTF">2021-05-25T10:42:00Z</dcterms:created>
  <dcterms:modified xsi:type="dcterms:W3CDTF">2021-07-13T11:49:00Z</dcterms:modified>
</cp:coreProperties>
</file>