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9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64"/>
        <w:gridCol w:w="4239"/>
        <w:gridCol w:w="3587"/>
      </w:tblGrid>
      <w:tr>
        <w:trPr>
          <w:trHeight w:val="944" w:hRule="atLeast"/>
        </w:trPr>
        <w:tc>
          <w:tcPr>
            <w:tcW w:w="1564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jc w:val="center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agwek"/>
              <w:widowControl w:val="false"/>
              <w:spacing w:lineRule="auto" w:line="276"/>
              <w:rPr/>
            </w:pPr>
            <w:r>
              <w:rPr/>
              <w:drawing>
                <wp:inline distT="0" distB="0" distL="0" distR="0">
                  <wp:extent cx="921385" cy="60706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/>
            <w:vAlign w:val="center"/>
          </w:tcPr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ZESPÓŁ ZAKŁADÓW OPIEKI ZDROWOTNEJ</w:t>
            </w:r>
          </w:p>
          <w:p>
            <w:pPr>
              <w:pStyle w:val="Nagwek"/>
              <w:widowControl w:val="false"/>
              <w:spacing w:lineRule="auto" w:line="276"/>
              <w:ind w:hanging="0" w:left="1134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W CZARNKOWIE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ul. Kościuszki 96, 64-700 CZARNKÓW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cs="Arial" w:ascii="Trebuchet MS" w:hAnsi="Trebuchet MS"/>
                <w:b/>
                <w:bCs/>
                <w:sz w:val="20"/>
                <w:lang w:val="en-US"/>
              </w:rPr>
              <w:t>tel. 67 352 81 70,  tel./fax 67 352 81 71</w:t>
            </w:r>
          </w:p>
        </w:tc>
        <w:tc>
          <w:tcPr>
            <w:tcW w:w="3587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 w:cs="Calibri"/>
                <w:b/>
                <w:sz w:val="20"/>
              </w:rPr>
            </w:pPr>
            <w:r>
              <w:rPr>
                <w:rFonts w:cs="Calibri" w:ascii="Trebuchet MS" w:hAnsi="Trebuchet MS" w:cstheme="minorHAnsi"/>
                <w:b/>
                <w:sz w:val="20"/>
              </w:rPr>
              <w:t>WWW.SZPITAL.CZARNKOW.PL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mail: sekretariat@zzozczarnkow.x.pl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rFonts w:cs="Arial" w:ascii="Trebuchet MS" w:hAnsi="Trebuchet MS"/>
                <w:b/>
                <w:bCs/>
                <w:sz w:val="18"/>
                <w:szCs w:val="18"/>
                <w:lang w:val="en-US"/>
              </w:rPr>
              <w:t>NIP  763-17-48-697    REGON  000308525</w:t>
            </w:r>
          </w:p>
        </w:tc>
      </w:tr>
    </w:tbl>
    <w:p>
      <w:pPr>
        <w:pStyle w:val="Normal"/>
        <w:spacing w:lineRule="auto" w:line="276"/>
        <w:ind w:hanging="0" w:right="283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ab/>
        <w:tab/>
        <w:tab/>
        <w:tab/>
        <w:t xml:space="preserve">                                     </w:t>
      </w:r>
    </w:p>
    <w:p>
      <w:pPr>
        <w:pStyle w:val="Normal"/>
        <w:spacing w:lineRule="auto" w:line="276"/>
        <w:jc w:val="right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Czarnków, dnia 27 marca 2024</w:t>
      </w:r>
    </w:p>
    <w:p>
      <w:pPr>
        <w:pStyle w:val="Normal"/>
        <w:spacing w:lineRule="auto" w:line="27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ZAPYTANIE OFERTOWE</w:t>
            </w:r>
          </w:p>
        </w:tc>
      </w:tr>
    </w:tbl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Sukcesywna dostawa odczynników, kontroli oraz materiałów eksploatacyjnych</w:t>
      </w:r>
    </w:p>
    <w:p>
      <w:pPr>
        <w:pStyle w:val="Normal"/>
        <w:bidi w:val="0"/>
        <w:spacing w:lineRule="auto" w:line="360"/>
        <w:jc w:val="center"/>
        <w:rPr/>
      </w:pPr>
      <w:r>
        <w:rPr>
          <w:b/>
          <w:sz w:val="22"/>
          <w:szCs w:val="22"/>
        </w:rPr>
        <w:t>wraz z dzierżawą analizatora do badań koagulologicznych”</w:t>
      </w:r>
    </w:p>
    <w:p>
      <w:pPr>
        <w:pStyle w:val="Normal"/>
        <w:bidi w:val="0"/>
        <w:spacing w:lineRule="auto" w:line="360"/>
        <w:jc w:val="center"/>
        <w:rPr>
          <w:b/>
          <w:bCs/>
          <w:sz w:val="12"/>
          <w:szCs w:val="12"/>
          <w:u w:val="single"/>
          <w:shd w:fill="auto" w:val="clear"/>
        </w:rPr>
      </w:pPr>
      <w:r>
        <w:rPr>
          <w:b/>
          <w:bCs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  <w:sz w:val="22"/>
          <w:szCs w:val="22"/>
        </w:rPr>
        <w:t xml:space="preserve">1.1. </w:t>
      </w:r>
      <w:r>
        <w:rPr>
          <w:bCs/>
          <w:sz w:val="22"/>
          <w:szCs w:val="22"/>
        </w:rPr>
        <w:t>Przedmiotem zapytania ofertowego jest sukcesywna dostawa odczynników, kontroli oraz materiałów eksploatacyjnych wraz z dzierżawą analizatora do badań koagulologicznych do Laboratorium Zespołu Zakładów Opieki Zdrowotnej w Czarnkowie, ul. Kościuszki 94, 64-700 Czarnków.</w:t>
      </w:r>
    </w:p>
    <w:p>
      <w:pPr>
        <w:pStyle w:val="Normal"/>
        <w:bidi w:val="0"/>
        <w:spacing w:lineRule="auto" w: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  <w:sz w:val="22"/>
          <w:szCs w:val="22"/>
        </w:rPr>
        <w:t xml:space="preserve">1.2. </w:t>
      </w:r>
      <w:r>
        <w:rPr>
          <w:bCs/>
          <w:sz w:val="22"/>
          <w:szCs w:val="22"/>
        </w:rPr>
        <w:t>Wymagania Zamawiającego w zakresie odczynników: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PT (ilość oznaczeń 6500)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 xml:space="preserve">- APTT (ilość oznaczeń: 4600) 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Fibrynogen (ilość oznaczeń: 500)</w:t>
      </w:r>
    </w:p>
    <w:p>
      <w:pPr>
        <w:pStyle w:val="Normal"/>
        <w:bidi w:val="0"/>
        <w:spacing w:lineRule="auto" w: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  <w:sz w:val="22"/>
          <w:szCs w:val="22"/>
        </w:rPr>
        <w:t xml:space="preserve">1.3. </w:t>
      </w:r>
      <w:r>
        <w:rPr>
          <w:bCs/>
          <w:sz w:val="22"/>
          <w:szCs w:val="22"/>
        </w:rPr>
        <w:t>Wymagania Zamawiającego w zakresie analizatora do badań koagulologicznych: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automatyczny analizator fabrycznie nowy lub używany po generalnym przeglądzie (rok produkcji min. 2018r);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metoda pomiaru: krzepnięciowa (pomiar optyczny), chromogenna, immunologiczna;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gotowość aparatu do pracy: maksymalnie 5 minut od włączenia;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metoda pomiaru: automatyczna w trybie „pacjent po pacjencie” lub „test po teście”;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wykonania badań: PT, APTT, TT, Fibrynogen met. Claussa, AT III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odczynniki, wszystkie materiały zużywalne oraz analizator pochodzą od jednego producenta. Wymagane referencje od min. 5 użytkowników oferowanego modelu analizatora. Wymagane referencje tylko i wyłącznie od użytkowników działających na terenie Polski;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umieszczenia minimum 65 prób badanych na pokładzie;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identyfikacja standardowych prób badanych umieszczonych na statywach przez automatyczne ich skanowanie wbudowanym czytnikiem kodów kreskowych;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dokładania prób badanych w trakcie pracy analizatora bez przerywania jego pracy;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zmiany statusu badania ze standardowego na CITO;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podglądu przebiegu reakcji oraz jej odtworzenia w formie wykresu;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minimum 14 pozycji odczynnikowych z funkcją chłodzenia;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odkładania odczynników oraz kuwet bez konieczności przerywania pomiarów;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automatycznego rozcieńczania próby badanej / powtarzania / zlecenia kolejnych pomiarów w przypadku wystąpienia wyników poza ustalonym zakresem (reflex test);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pracy na próbach badanych pierwotnych lub wtórnych;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jednorazowego załadowania min. 250 kuwet bez konieczności ręcznego układania kuwet na statywie / talerzu;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kuwety jednorazowe, pojedyncze, automatyczne przenoszone oraz ustylizowane, nie łączone</w:t>
        <w:br/>
        <w:t>w segmenty;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mieszanie odczynników i osocza w kuwecie pomiarowej za pomocą ramienia przenoszącego kuwety;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system dozujący składający się z dwóch igieł z funkcją podgrzewania osocza / odczynnika;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płyny eksploatacyjne używane do rutynowej pracy w oryginalnych opakowaniach;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oprogramowanie dla wewnętrznej kontroli jakości badań, wykresy Levy-Jennings’a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możliwość wprowadzenia danych kalibracyjnych i parametrów odczynników przy pomocy kodów kreskowych dla PT, APTT, Fibrynogen;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oprogramowanie umożliwiające monitorowanie odczynników na pokładzie analizatora (ilość testów trwałość, numer serii);</w:t>
      </w:r>
    </w:p>
    <w:p>
      <w:pPr>
        <w:pStyle w:val="Normal"/>
        <w:bidi w:val="0"/>
        <w:spacing w:lineRule="auto" w:line="360"/>
        <w:jc w:val="both"/>
        <w:rPr/>
      </w:pPr>
      <w:r>
        <w:rPr>
          <w:bCs/>
          <w:sz w:val="22"/>
          <w:szCs w:val="22"/>
        </w:rPr>
        <w:t>- obsługa analizatora przez ekran dotykowy;</w:t>
      </w:r>
    </w:p>
    <w:p>
      <w:pPr>
        <w:pStyle w:val="Normal"/>
        <w:bidi w:val="0"/>
        <w:spacing w:lineRule="auto" w:line="360"/>
        <w:jc w:val="both"/>
        <w:rPr/>
      </w:pPr>
      <w:r>
        <w:rPr/>
        <w:t>- oprogramowanie w języku polskim, działające w środowisku Windows, możliwość aktualizacji oprogramowania przez Internet;</w:t>
      </w:r>
    </w:p>
    <w:p>
      <w:pPr>
        <w:pStyle w:val="Normal"/>
        <w:bidi w:val="0"/>
        <w:spacing w:lineRule="auto" w:line="360"/>
        <w:jc w:val="both"/>
        <w:rPr/>
      </w:pPr>
      <w:r>
        <w:rPr/>
        <w:t>- analizator zaopatrzony w UPS o odpowiedniej mocy, a w przypadku zaniku zasilania gwarantuje możliwość dokończenia rozpoczętych analiz.</w:t>
      </w:r>
    </w:p>
    <w:p>
      <w:pPr>
        <w:pStyle w:val="Normal"/>
        <w:bidi w:val="0"/>
        <w:spacing w:lineRule="auto" w: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1.4. </w:t>
      </w:r>
      <w:r>
        <w:rPr>
          <w:b w:val="false"/>
          <w:bCs w:val="false"/>
          <w:sz w:val="22"/>
          <w:szCs w:val="22"/>
        </w:rPr>
        <w:t>Po zakończeniu postępowania z Wykonawcą, którego oferta okaże się najkorzystniejsza zostanie podpisana umowa finalizująca powyższe zlecenie, zgodnie ze wzorem umowy z postępowania. Umowa zostanie zawarta na czas określony (24 miesiące), z mocą obowiązywania od 1 maja 2024r.</w:t>
      </w:r>
    </w:p>
    <w:p>
      <w:pPr>
        <w:pStyle w:val="Normal"/>
        <w:bidi w:val="0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1.5.</w:t>
      </w:r>
      <w:r>
        <w:rPr>
          <w:b w:val="false"/>
          <w:bCs w:val="false"/>
          <w:sz w:val="22"/>
          <w:szCs w:val="22"/>
        </w:rPr>
        <w:t xml:space="preserve"> Cena złożona w ofercie przez Zamawiającego powinna obejmować wszystkie koszty związane</w:t>
        <w:br/>
        <w:t>z wykonaniem całości zamówienia.</w:t>
      </w:r>
    </w:p>
    <w:p>
      <w:pPr>
        <w:pStyle w:val="Normal"/>
        <w:bidi w:val="0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1.6. </w:t>
      </w:r>
      <w:r>
        <w:rPr>
          <w:b w:val="false"/>
          <w:bCs w:val="false"/>
          <w:sz w:val="22"/>
          <w:szCs w:val="22"/>
        </w:rPr>
        <w:t xml:space="preserve">Ostateczny termin składania ofert: </w:t>
      </w:r>
      <w:r>
        <w:rPr>
          <w:b/>
          <w:bCs/>
          <w:sz w:val="22"/>
          <w:szCs w:val="22"/>
        </w:rPr>
        <w:t>do 8 kwietnia 2024r.</w:t>
      </w:r>
    </w:p>
    <w:sectPr>
      <w:footerReference w:type="default" r:id="rId3"/>
      <w:type w:val="nextPage"/>
      <w:pgSz w:w="11906" w:h="16838"/>
      <w:pgMar w:left="1417" w:right="1417" w:gutter="0" w:header="0" w:top="1417" w:footer="1417" w:bottom="272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Sporządził: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Specjalista ds. logistyki Marcelina Drab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tel. (67) 352 – 81 – 77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e-mail: logistyka@zzozczarnkow.x.pl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66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e24666"/>
    <w:rPr>
      <w:rFonts w:ascii="Tahoma" w:hAnsi="Tahoma" w:eastAsia="Times New Roman" w:cs="Tahoma"/>
      <w:sz w:val="16"/>
      <w:szCs w:val="16"/>
      <w:lang w:eastAsia="ar-SA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 w:customStyle="1">
    <w:name w:val="Nagłówek"/>
    <w:basedOn w:val="Normal"/>
    <w:next w:val="BodyText"/>
    <w:qFormat/>
    <w:rsid w:val="00e246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4666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Footer">
    <w:name w:val="Footer"/>
    <w:basedOn w:val="Gwkaistopka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>
    <w:name w:val="Numeracja abc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Application>LibreOffice/7.6.0.3$Windows_X86_64 LibreOffice_project/69edd8b8ebc41d00b4de3915dc82f8f0fc3b6265</Application>
  <AppVersion>15.0000</AppVersion>
  <Pages>2</Pages>
  <Words>522</Words>
  <Characters>3549</Characters>
  <CharactersWithSpaces>4071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2021-06-28T15:11:00Z</dcterms:created>
  <dc:creator>SEKRETARIAT ZZOZ Czarnków</dc:creator>
  <dc:description/>
  <dc:language>pl-PL</dc:language>
  <cp:lastModifiedBy/>
  <cp:lastPrinted>2024-03-26T07:35:23Z</cp:lastPrinted>
  <dcterms:modified xsi:type="dcterms:W3CDTF">2024-03-27T13:17:00Z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