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end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1a do SWZ</w:t>
      </w:r>
    </w:p>
    <w:tbl>
      <w:tblPr>
        <w:tblW w:w="14625" w:type="dxa"/>
        <w:jc w:val="start"/>
        <w:tblInd w:w="78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0" w:noVBand="0" w:lastRow="0" w:firstColumn="0" w:lastColumn="0" w:noHBand="0" w:val="0000"/>
      </w:tblPr>
      <w:tblGrid>
        <w:gridCol w:w="14625"/>
      </w:tblGrid>
      <w:tr>
        <w:trPr/>
        <w:tc>
          <w:tcPr>
            <w:tcW w:w="14625" w:type="dxa"/>
            <w:tcBorders>
              <w:top w:val="double" w:sz="6" w:space="0" w:color="000000"/>
              <w:start w:val="double" w:sz="6" w:space="0" w:color="000000"/>
              <w:bottom w:val="double" w:sz="6" w:space="0" w:color="000000"/>
              <w:end w:val="double" w:sz="6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Formularz cenowy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end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ind w:start="13" w:end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end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start="13" w:end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end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ind w:end="283" w:hanging="0"/>
        <w:rPr/>
      </w:pPr>
      <w:r>
        <w:rPr/>
      </w:r>
    </w:p>
    <w:p>
      <w:pPr>
        <w:pStyle w:val="Normal"/>
        <w:ind w:end="283" w:hanging="0"/>
        <w:rPr/>
      </w:pPr>
      <w:r>
        <w:rPr>
          <w:rFonts w:eastAsia="Times New Roman" w:ascii="Arial" w:hAnsi="Arial"/>
          <w:sz w:val="22"/>
          <w:szCs w:val="22"/>
        </w:rPr>
        <w:t xml:space="preserve">Składając ofertę w postępowaniu o udzielenie zamówienia publicznego na zadanie: 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uppressAutoHyphens w:val="false"/>
        <w:spacing w:lineRule="auto" w:line="276" w:before="0" w:after="57"/>
        <w:ind w:start="288" w:hanging="0"/>
        <w:jc w:val="center"/>
        <w:rPr>
          <w:rFonts w:ascii="Arial" w:hAnsi="Arial" w:eastAsia="Times New Roman" w:cs="Arial"/>
          <w:b/>
          <w:bCs/>
          <w:color w:val="000000"/>
          <w:sz w:val="28"/>
          <w:szCs w:val="28"/>
        </w:rPr>
      </w:pPr>
      <w:r>
        <w:rPr>
          <w:rStyle w:val="Wyrnienie"/>
          <w:rFonts w:eastAsia="Times New Roman" w:cs="Arial" w:ascii="Arial" w:hAnsi="Arial"/>
          <w:b/>
          <w:bCs/>
          <w:i w:val="false"/>
          <w:iCs w:val="false"/>
          <w:color w:val="000000"/>
          <w:kern w:val="0"/>
          <w:lang w:eastAsia="pl-PL" w:bidi="ar-SA"/>
        </w:rPr>
        <w:t>Kompleksowa dostawa gazu ziemnego wysokometanowego E do budynków Szkoły Podstawowej z Oddziałami Integracyjnymi Nr 4 im. Erazma Józefa Jerzmanowskiego w Wieliczce w 2025 r.</w:t>
      </w:r>
    </w:p>
    <w:p>
      <w:pPr>
        <w:pStyle w:val="Normal"/>
        <w:spacing w:lineRule="auto" w:line="276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poniżej przedstawiam formularz cenowy:</w:t>
      </w:r>
    </w:p>
    <w:tbl>
      <w:tblPr>
        <w:tblW w:w="14685" w:type="dxa"/>
        <w:jc w:val="start"/>
        <w:tblInd w:w="-156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firstRow="0" w:noVBand="0" w:lastRow="0" w:firstColumn="0" w:lastColumn="0" w:noHBand="0" w:val="0000"/>
      </w:tblPr>
      <w:tblGrid>
        <w:gridCol w:w="368"/>
        <w:gridCol w:w="990"/>
        <w:gridCol w:w="711"/>
        <w:gridCol w:w="709"/>
        <w:gridCol w:w="709"/>
        <w:gridCol w:w="670"/>
        <w:gridCol w:w="746"/>
        <w:gridCol w:w="746"/>
        <w:gridCol w:w="994"/>
        <w:gridCol w:w="953"/>
        <w:gridCol w:w="994"/>
        <w:gridCol w:w="887"/>
        <w:gridCol w:w="955"/>
        <w:gridCol w:w="991"/>
        <w:gridCol w:w="1135"/>
        <w:gridCol w:w="849"/>
        <w:gridCol w:w="1278"/>
      </w:tblGrid>
      <w:tr>
        <w:trPr>
          <w:trHeight w:val="225" w:hRule="atLeast"/>
        </w:trPr>
        <w:tc>
          <w:tcPr>
            <w:tcW w:w="36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L.p.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Adres punktu poboru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Grupa taryfowa Sprzedawcy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Grupa taryfowa OSD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Przewidywane zużycie paliwa gazowego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[kWh]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Liczba miesięcy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[m-c]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2"/>
                <w:szCs w:val="12"/>
              </w:rPr>
            </w:pPr>
            <w:r>
              <w:rPr>
                <w:rFonts w:ascii="Arial" w:hAnsi="Arial"/>
                <w:bCs/>
                <w:sz w:val="12"/>
                <w:szCs w:val="12"/>
              </w:rPr>
              <w:t>Liczba godzin w Okresie rozliczeniowym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2"/>
                <w:szCs w:val="12"/>
              </w:rPr>
            </w:pPr>
            <w:r>
              <w:rPr>
                <w:rFonts w:ascii="Arial" w:hAnsi="Arial"/>
                <w:bCs/>
                <w:sz w:val="12"/>
                <w:szCs w:val="12"/>
              </w:rPr>
              <w:t>[h]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2"/>
                <w:szCs w:val="12"/>
              </w:rPr>
            </w:pPr>
            <w:r>
              <w:rPr>
                <w:rFonts w:ascii="Arial" w:hAnsi="Arial"/>
                <w:bCs/>
                <w:sz w:val="12"/>
                <w:szCs w:val="12"/>
              </w:rPr>
              <w:t>Moc umowna [kWh/h]</w:t>
            </w:r>
          </w:p>
        </w:tc>
        <w:tc>
          <w:tcPr>
            <w:tcW w:w="294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SPRZEDAŻ</w:t>
            </w:r>
            <w:r>
              <w:rPr>
                <w:rStyle w:val="Zakotwiczenieprzypisudolnego"/>
                <w:rFonts w:ascii="Arial" w:hAnsi="Arial"/>
                <w:b/>
                <w:bCs/>
                <w:sz w:val="12"/>
                <w:szCs w:val="12"/>
              </w:rPr>
              <w:footnoteReference w:id="2"/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DYSTRYBUCJA</w:t>
            </w:r>
            <w:r>
              <w:rPr>
                <w:rStyle w:val="Zakotwiczenieprzypisudolnego"/>
                <w:rFonts w:ascii="Arial" w:hAnsi="Arial"/>
                <w:sz w:val="12"/>
                <w:szCs w:val="12"/>
              </w:rPr>
              <w:footnoteReference w:id="3"/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Razem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dostawa i dystrybucja netto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[zł]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 K + N]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Wartość podatku VAT 23%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[zł]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Razem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dostawa i dystrybucja brutto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[zł]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[O + P]</w:t>
            </w:r>
          </w:p>
        </w:tc>
      </w:tr>
      <w:tr>
        <w:trPr>
          <w:trHeight w:val="566" w:hRule="atLeast"/>
        </w:trPr>
        <w:tc>
          <w:tcPr>
            <w:tcW w:w="368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990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711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709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709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670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746" w:type="dxa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746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Cena jednostkowa sprzedaży paliwa gazowego netto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[gr/kWh]</w:t>
            </w:r>
          </w:p>
        </w:tc>
        <w:tc>
          <w:tcPr>
            <w:tcW w:w="953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Stawka opłaty abonamentowej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[zł/m-c]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Razem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sprzedaż netto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[zł]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[(E*I)/100 + (F*J)]</w:t>
            </w:r>
          </w:p>
        </w:tc>
        <w:tc>
          <w:tcPr>
            <w:tcW w:w="887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Stawka opłaty zmiennej netto</w:t>
              <w:br/>
              <w:t>[gr/kWh]</w:t>
            </w:r>
          </w:p>
        </w:tc>
        <w:tc>
          <w:tcPr>
            <w:tcW w:w="955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Stawka opłaty stałej netto</w:t>
              <w:br/>
              <w:t>[gr/(kWh/h)za h]</w:t>
            </w:r>
          </w:p>
        </w:tc>
        <w:tc>
          <w:tcPr>
            <w:tcW w:w="99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Razem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dystrybucja netto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[zł]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[(E*L) + (M*H*G)]/100</w:t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>
          <w:trHeight w:val="220" w:hRule="atLeast"/>
        </w:trPr>
        <w:tc>
          <w:tcPr>
            <w:tcW w:w="3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A</w:t>
            </w:r>
          </w:p>
        </w:tc>
        <w:tc>
          <w:tcPr>
            <w:tcW w:w="99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B</w:t>
            </w:r>
          </w:p>
        </w:tc>
        <w:tc>
          <w:tcPr>
            <w:tcW w:w="71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C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D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E</w:t>
            </w:r>
          </w:p>
        </w:tc>
        <w:tc>
          <w:tcPr>
            <w:tcW w:w="67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F</w:t>
            </w:r>
          </w:p>
        </w:tc>
        <w:tc>
          <w:tcPr>
            <w:tcW w:w="746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2"/>
                <w:szCs w:val="12"/>
              </w:rPr>
            </w:pPr>
            <w:r>
              <w:rPr>
                <w:rFonts w:ascii="Arial" w:hAnsi="Arial"/>
                <w:bCs/>
                <w:sz w:val="12"/>
                <w:szCs w:val="12"/>
              </w:rPr>
              <w:t>G</w:t>
            </w:r>
          </w:p>
        </w:tc>
        <w:tc>
          <w:tcPr>
            <w:tcW w:w="746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2"/>
                <w:szCs w:val="12"/>
              </w:rPr>
            </w:pPr>
            <w:r>
              <w:rPr>
                <w:rFonts w:ascii="Arial" w:hAnsi="Arial"/>
                <w:bCs/>
                <w:sz w:val="12"/>
                <w:szCs w:val="12"/>
              </w:rPr>
              <w:t>H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953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J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K</w:t>
            </w:r>
          </w:p>
        </w:tc>
        <w:tc>
          <w:tcPr>
            <w:tcW w:w="887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L</w:t>
            </w:r>
          </w:p>
        </w:tc>
        <w:tc>
          <w:tcPr>
            <w:tcW w:w="955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M</w:t>
            </w:r>
          </w:p>
        </w:tc>
        <w:tc>
          <w:tcPr>
            <w:tcW w:w="99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N</w:t>
            </w:r>
          </w:p>
        </w:tc>
        <w:tc>
          <w:tcPr>
            <w:tcW w:w="113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O</w:t>
            </w:r>
          </w:p>
        </w:tc>
        <w:tc>
          <w:tcPr>
            <w:tcW w:w="84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</w:t>
            </w:r>
          </w:p>
        </w:tc>
        <w:tc>
          <w:tcPr>
            <w:tcW w:w="127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R</w:t>
            </w:r>
          </w:p>
        </w:tc>
      </w:tr>
      <w:tr>
        <w:trPr>
          <w:trHeight w:val="694" w:hRule="atLeast"/>
        </w:trPr>
        <w:tc>
          <w:tcPr>
            <w:tcW w:w="3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1</w:t>
            </w:r>
          </w:p>
        </w:tc>
        <w:tc>
          <w:tcPr>
            <w:tcW w:w="99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ul. Krzyszkowicka 18a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32-020 Wieliczka</w:t>
            </w:r>
          </w:p>
        </w:tc>
        <w:tc>
          <w:tcPr>
            <w:tcW w:w="71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W-5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W-5.1_TA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415 000</w:t>
            </w:r>
          </w:p>
        </w:tc>
        <w:tc>
          <w:tcPr>
            <w:tcW w:w="67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12</w:t>
            </w:r>
          </w:p>
        </w:tc>
        <w:tc>
          <w:tcPr>
            <w:tcW w:w="74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Liberation Sans" w:hAnsi="Liberation Sans" w:cs="Liberation Sans"/>
                <w:sz w:val="14"/>
                <w:szCs w:val="14"/>
              </w:rPr>
            </w:pPr>
            <w:r>
              <w:rPr>
                <w:rFonts w:cs="Arial" w:ascii="Arial" w:hAnsi="Arial"/>
                <w:color w:val="000000"/>
                <w:sz w:val="14"/>
                <w:szCs w:val="14"/>
              </w:rPr>
              <w:t>8760</w:t>
            </w:r>
          </w:p>
        </w:tc>
        <w:tc>
          <w:tcPr>
            <w:tcW w:w="7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  <w:t>274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953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887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3,278</w:t>
            </w:r>
          </w:p>
        </w:tc>
        <w:tc>
          <w:tcPr>
            <w:tcW w:w="955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0,654</w:t>
            </w:r>
          </w:p>
        </w:tc>
        <w:tc>
          <w:tcPr>
            <w:tcW w:w="99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29 301,27</w:t>
            </w:r>
          </w:p>
        </w:tc>
        <w:tc>
          <w:tcPr>
            <w:tcW w:w="1135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849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127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</w:tr>
      <w:tr>
        <w:trPr>
          <w:trHeight w:val="704" w:hRule="atLeast"/>
        </w:trPr>
        <w:tc>
          <w:tcPr>
            <w:tcW w:w="3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2</w:t>
            </w:r>
          </w:p>
        </w:tc>
        <w:tc>
          <w:tcPr>
            <w:tcW w:w="99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ul. Sadowa 1b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32-020 Wieliczka</w:t>
            </w:r>
          </w:p>
        </w:tc>
        <w:tc>
          <w:tcPr>
            <w:tcW w:w="71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W-5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W-5.1_TA</w:t>
            </w:r>
          </w:p>
        </w:tc>
        <w:tc>
          <w:tcPr>
            <w:tcW w:w="709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104 000</w:t>
            </w:r>
          </w:p>
        </w:tc>
        <w:tc>
          <w:tcPr>
            <w:tcW w:w="670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12</w:t>
            </w:r>
          </w:p>
        </w:tc>
        <w:tc>
          <w:tcPr>
            <w:tcW w:w="74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Liberation Sans" w:hAnsi="Liberation Sans" w:cs="Liberation Sans"/>
                <w:sz w:val="14"/>
                <w:szCs w:val="14"/>
              </w:rPr>
            </w:pPr>
            <w:r>
              <w:rPr>
                <w:rFonts w:cs="Arial" w:ascii="Arial" w:hAnsi="Arial"/>
                <w:color w:val="000000"/>
                <w:sz w:val="14"/>
                <w:szCs w:val="14"/>
              </w:rPr>
              <w:t>8760</w:t>
            </w:r>
          </w:p>
        </w:tc>
        <w:tc>
          <w:tcPr>
            <w:tcW w:w="7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>
              <w:rPr>
                <w:rFonts w:ascii="Arial" w:hAnsi="Arial"/>
                <w:bCs/>
                <w:sz w:val="14"/>
                <w:szCs w:val="14"/>
              </w:rPr>
              <w:t>252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953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994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887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3,278</w:t>
            </w:r>
          </w:p>
        </w:tc>
        <w:tc>
          <w:tcPr>
            <w:tcW w:w="955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0,654</w:t>
            </w:r>
          </w:p>
        </w:tc>
        <w:tc>
          <w:tcPr>
            <w:tcW w:w="991" w:type="dxa"/>
            <w:tcBorders>
              <w:star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tcMar>
              <w:start w:w="0" w:type="dxa"/>
              <w:end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17 846,30</w:t>
            </w:r>
          </w:p>
        </w:tc>
        <w:tc>
          <w:tcPr>
            <w:tcW w:w="1135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849" w:type="dxa"/>
            <w:tcBorders>
              <w:start w:val="single" w:sz="4" w:space="0" w:color="000000"/>
              <w:bottom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  <w:tc>
          <w:tcPr>
            <w:tcW w:w="127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0" w:type="dxa"/>
              <w:end w:w="0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……………</w:t>
            </w:r>
          </w:p>
        </w:tc>
      </w:tr>
    </w:tbl>
    <w:p>
      <w:pPr>
        <w:pStyle w:val="Normal"/>
        <w:widowControl/>
        <w:tabs>
          <w:tab w:val="clear" w:pos="709"/>
          <w:tab w:val="left" w:pos="810" w:leader="none"/>
        </w:tabs>
        <w:spacing w:lineRule="auto" w:line="276" w:before="0" w:after="57"/>
        <w:ind w:start="622" w:hanging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cs="Arial" w:ascii="Arial" w:hAnsi="Arial"/>
          <w:sz w:val="18"/>
          <w:szCs w:val="18"/>
          <w:lang w:eastAsia="ar-SA"/>
        </w:rPr>
      </w:r>
    </w:p>
    <w:p>
      <w:pPr>
        <w:pStyle w:val="Normal"/>
        <w:rPr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 xml:space="preserve">____________________________                                                                      </w:t>
      </w:r>
    </w:p>
    <w:p>
      <w:pPr>
        <w:pStyle w:val="Normal"/>
        <w:spacing w:lineRule="auto" w:line="360"/>
        <w:jc w:val="both"/>
        <w:rPr>
          <w:sz w:val="18"/>
          <w:szCs w:val="18"/>
        </w:rPr>
      </w:pPr>
      <w:r>
        <w:rPr>
          <w:rFonts w:eastAsia="Times New Roman" w:cs="Arial" w:ascii="Arial" w:hAnsi="Arial"/>
          <w:i/>
          <w:sz w:val="18"/>
          <w:szCs w:val="18"/>
          <w:lang w:bidi="ar-SA"/>
        </w:rPr>
        <w:tab/>
        <w:t xml:space="preserve">miejscowość i data          </w:t>
      </w:r>
    </w:p>
    <w:sectPr>
      <w:footnotePr>
        <w:numFmt w:val="decimal"/>
      </w:footnote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>
          <w:rFonts w:ascii="Arial" w:hAnsi="Arial"/>
          <w:i/>
          <w:i/>
          <w:iCs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4"/>
          <w:szCs w:val="14"/>
        </w:rPr>
        <w:tab/>
        <w:t>Stawki stałe i niezmienne przez cały okres obowiązywania umowy (z zastrzeżeniem waloryzacji o której mowa w § 13 ust. 3 umowy)</w:t>
      </w:r>
    </w:p>
  </w:footnote>
  <w:footnote w:id="3">
    <w:p>
      <w:pPr>
        <w:pStyle w:val="Przypisdolny"/>
        <w:widowControl w:val="false"/>
        <w:rPr>
          <w:rFonts w:ascii="Arial" w:hAnsi="Arial"/>
          <w:i/>
          <w:i/>
          <w:iCs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4"/>
          <w:szCs w:val="14"/>
        </w:rPr>
        <w:tab/>
        <w:t>Stawki opłaty dystrybucyjnej zgodne z aktualnie obowiązującą taryfą</w:t>
      </w:r>
    </w:p>
  </w:footnote>
</w:footnotes>
</file>

<file path=word/settings.xml><?xml version="1.0" encoding="utf-8"?>
<w:settings xmlns:w="http://schemas.openxmlformats.org/wordprocessingml/2006/main">
  <w:zoom w:percent="16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Wyrnienie">
    <w:name w:val="Emphasis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rzypisdolny">
    <w:name w:val="Footnote Text"/>
    <w:basedOn w:val="Normal"/>
    <w:pPr>
      <w:suppressLineNumbers/>
      <w:ind w:start="339" w:hanging="339"/>
    </w:pPr>
    <w:rPr>
      <w:sz w:val="20"/>
      <w:szCs w:val="20"/>
    </w:rPr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kstpodstawowy31" w:customStyle="1">
    <w:name w:val="Tekst podstawowy 31"/>
    <w:basedOn w:val="Nagwek1"/>
    <w:next w:val="Pkt"/>
    <w:qFormat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pPr>
      <w:spacing w:before="60" w:after="60"/>
      <w:ind w:start="851" w:hanging="295"/>
      <w:jc w:val="both"/>
    </w:pPr>
    <w:rPr/>
  </w:style>
  <w:style w:type="paragraph" w:styleId="ListParagraph">
    <w:name w:val="List Paragraph"/>
    <w:basedOn w:val="Nagwek1"/>
    <w:next w:val="Tekstpodstawowywcity22"/>
    <w:qFormat/>
    <w:pPr>
      <w:ind w:start="720" w:hanging="0"/>
    </w:pPr>
    <w:rPr/>
  </w:style>
  <w:style w:type="paragraph" w:styleId="Tekstpodstawowywcity22" w:customStyle="1">
    <w:name w:val="Tekst podstawowy wcięty 22"/>
    <w:basedOn w:val="Nagwek1"/>
    <w:next w:val="NormalWeb"/>
    <w:qFormat/>
    <w:pPr>
      <w:suppressAutoHyphens w:val="false"/>
      <w:ind w:star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pPr>
      <w:spacing w:lineRule="auto" w:line="360"/>
      <w:ind w:star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start="567" w:hanging="283"/>
      <w:jc w:val="star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pPr>
      <w:ind w:star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pPr>
      <w:ind w:star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start="2835" w:hanging="2551"/>
    </w:pPr>
    <w:rPr/>
  </w:style>
  <w:style w:type="paragraph" w:styleId="Legenda1" w:customStyle="1">
    <w:name w:val="Legenda1"/>
    <w:basedOn w:val="Nagwek1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LibreOffice/7.5.4.2$Windows_X86_64 LibreOffice_project/36ccfdc35048b057fd9854c757a8b67ec53977b6</Application>
  <AppVersion>15.0000</AppVersion>
  <Pages>1</Pages>
  <Words>251</Words>
  <Characters>1767</Characters>
  <CharactersWithSpaces>1998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2024-12-09T13:55:45Z</dcterms:created>
  <dc:creator>Adam Konieczny</dc:creator>
  <dc:description/>
  <dc:language>pl-PL</dc:language>
  <cp:lastModifiedBy>Adam Konieczny</cp:lastModifiedBy>
  <dcterms:modified xsi:type="dcterms:W3CDTF">2024-12-09T13:55:46Z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