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B6" w:rsidRDefault="006657B6" w:rsidP="006657B6">
      <w:pPr>
        <w:pStyle w:val="Tekstpodstawowy"/>
        <w:tabs>
          <w:tab w:val="left" w:pos="6804"/>
        </w:tabs>
        <w:jc w:val="right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Załącznik nr 1b</w:t>
      </w:r>
    </w:p>
    <w:p w:rsidR="006657B6" w:rsidRDefault="006657B6" w:rsidP="006657B6">
      <w:pPr>
        <w:keepNext/>
        <w:widowControl w:val="0"/>
        <w:spacing w:after="4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</w:t>
      </w:r>
      <w:r>
        <w:rPr>
          <w:rFonts w:ascii="Arial" w:hAnsi="Arial" w:cs="Arial"/>
          <w:sz w:val="22"/>
          <w:szCs w:val="22"/>
        </w:rPr>
        <w:t>.272.1.136.2022</w:t>
      </w:r>
    </w:p>
    <w:p w:rsidR="006657B6" w:rsidRDefault="006657B6" w:rsidP="006657B6">
      <w:pPr>
        <w:keepNext/>
        <w:widowControl w:val="0"/>
        <w:spacing w:after="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657B6" w:rsidRDefault="006657B6" w:rsidP="006657B6">
      <w:pPr>
        <w:keepNext/>
        <w:widowControl w:val="0"/>
        <w:spacing w:after="4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OPIS PRZEDMIOTU ZAMÓWIENIA </w:t>
      </w:r>
      <w:r>
        <w:rPr>
          <w:rFonts w:ascii="Arial" w:hAnsi="Arial" w:cs="Arial"/>
          <w:b/>
          <w:color w:val="000000"/>
          <w:sz w:val="22"/>
          <w:szCs w:val="22"/>
        </w:rPr>
        <w:br/>
        <w:t>DLA CZĘŚCI II</w:t>
      </w:r>
    </w:p>
    <w:p w:rsidR="006657B6" w:rsidRPr="007F385B" w:rsidRDefault="007F385B" w:rsidP="006657B6">
      <w:pPr>
        <w:keepNext/>
        <w:widowControl w:val="0"/>
        <w:spacing w:after="40"/>
        <w:jc w:val="center"/>
        <w:outlineLvl w:val="0"/>
        <w:rPr>
          <w:rFonts w:ascii="Arial" w:hAnsi="Arial" w:cs="Arial"/>
          <w:b/>
          <w:color w:val="0000FF"/>
          <w:sz w:val="22"/>
          <w:szCs w:val="22"/>
        </w:rPr>
      </w:pPr>
      <w:r w:rsidRPr="007F385B">
        <w:rPr>
          <w:rFonts w:ascii="Arial" w:hAnsi="Arial" w:cs="Arial"/>
          <w:b/>
          <w:color w:val="0000FF"/>
          <w:sz w:val="22"/>
          <w:szCs w:val="22"/>
        </w:rPr>
        <w:t>po modyfikacji z dnia 1</w:t>
      </w:r>
      <w:r w:rsidR="00C81E8F">
        <w:rPr>
          <w:rFonts w:ascii="Arial" w:hAnsi="Arial" w:cs="Arial"/>
          <w:b/>
          <w:color w:val="0000FF"/>
          <w:sz w:val="22"/>
          <w:szCs w:val="22"/>
        </w:rPr>
        <w:t>9</w:t>
      </w:r>
      <w:r w:rsidRPr="007F385B">
        <w:rPr>
          <w:rFonts w:ascii="Arial" w:hAnsi="Arial" w:cs="Arial"/>
          <w:b/>
          <w:color w:val="0000FF"/>
          <w:sz w:val="22"/>
          <w:szCs w:val="22"/>
        </w:rPr>
        <w:t>.12.2022 r.</w:t>
      </w:r>
    </w:p>
    <w:p w:rsidR="007F385B" w:rsidRDefault="007F385B" w:rsidP="006657B6">
      <w:pPr>
        <w:keepNext/>
        <w:widowControl w:val="0"/>
        <w:spacing w:after="4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657B6" w:rsidRDefault="006657B6" w:rsidP="006657B6">
      <w:pPr>
        <w:keepNext/>
        <w:widowControl w:val="0"/>
        <w:spacing w:after="40"/>
        <w:ind w:left="1276" w:hanging="127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3"/>
          <w:sz w:val="22"/>
          <w:szCs w:val="22"/>
        </w:rPr>
        <w:t>Usługa ubezpieczenia komunikacyjnego floty pojazdów.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Wymagania ogólne dotyczące ryzyk</w:t>
      </w:r>
    </w:p>
    <w:p w:rsidR="006657B6" w:rsidRDefault="006657B6" w:rsidP="006657B6">
      <w:pPr>
        <w:spacing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ogólne obligatoryjne</w:t>
      </w:r>
    </w:p>
    <w:p w:rsidR="006657B6" w:rsidRDefault="006657B6" w:rsidP="006657B6">
      <w:pPr>
        <w:numPr>
          <w:ilvl w:val="1"/>
          <w:numId w:val="2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wykonując usługę będzie udzielał ochrony ubezpieczeniowej i obejmował ochroną ryzyka wskazane w niniejszym załączniku.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ochrony ubezpieczeniowej i obejmuje ochroną ubezpieczeniową na warunkach wyznaczonych treścią SWZ i zgodnych ze złożoną ofertą.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Ubezpieczeniem objęte są pojazdy wraz z wyposażeniem (podstawowym oraz dodatkowym) wymienione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>
        <w:rPr>
          <w:rFonts w:ascii="Arial" w:hAnsi="Arial" w:cs="Arial"/>
          <w:sz w:val="22"/>
          <w:szCs w:val="22"/>
        </w:rPr>
        <w:t>oraz pojazdy włączane do ubezpieczenia przez Zamawiającego w trakcie trwania umowy.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ubezpieczeń dobrowolnych (AC/KR, NNW, Assistance), w przypadku przeniesienia własności pojazdu pomiędzy jednostkami Zamawiającego, prawa i obowiązki wynikające z zawartej umowy ubezpieczenia mogą na wniosek Zamawiającego zostać przeniesione na jednostkę Zamawiającego będącą nowym właścicielem tego pojazdu bez konieczności rozliczania pomiędzy jednostkami Zamawiającego części opłaconej i nieopłaconej składki ubezpieczeniowej.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SWZ i ofercie zastosowanie mają przepisy prawa oraz Ogólne Warunki Ubezpieczenia, którymi posługuje się wykonawca i które wskazuje w dokumencie potwierdzającym ochronę ubezpieczeniową w zakresie ryzyk wskazanych w SWZ. Jeżeli OWU wskazują przesłanki wyłączające bądź ograniczające odpowiedzialność Ubezpieczyciela to mają one zastosowanie, chyba że Zamawiający włączył je do zakresu ubezpieczenia w niniejszej SWZ.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trike/>
          <w:sz w:val="22"/>
          <w:szCs w:val="22"/>
        </w:rPr>
      </w:pPr>
      <w:r>
        <w:rPr>
          <w:rFonts w:ascii="Arial" w:eastAsia="ArialNarrow" w:hAnsi="Arial" w:cs="Arial"/>
          <w:sz w:val="22"/>
          <w:szCs w:val="22"/>
        </w:rPr>
        <w:t>Niedopuszczalne jest wprowadzanie innych limitów kwotowych mniej korzystnych dla Zamawiającego niż wskazane w niniejszym załączniku, ani też stosowanie czasowych ograniczeń odpowiedzialności.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eastAsia="ArialNarrow" w:hAnsi="Arial" w:cs="Arial"/>
          <w:sz w:val="22"/>
          <w:szCs w:val="22"/>
        </w:rPr>
      </w:pPr>
      <w:r>
        <w:rPr>
          <w:rFonts w:ascii="Arial" w:eastAsia="ArialNarrow" w:hAnsi="Arial" w:cs="Arial"/>
          <w:sz w:val="22"/>
          <w:szCs w:val="22"/>
        </w:rPr>
        <w:t>Stawki i stopy składki przez cały czas wykonywania zamówienia nie ulegają zmianie.</w:t>
      </w:r>
    </w:p>
    <w:p w:rsidR="006657B6" w:rsidRDefault="006657B6" w:rsidP="006657B6">
      <w:pPr>
        <w:numPr>
          <w:ilvl w:val="1"/>
          <w:numId w:val="2"/>
        </w:numPr>
        <w:tabs>
          <w:tab w:val="num" w:pos="786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Składkę </w:t>
      </w:r>
      <w:r w:rsidR="00BC43F8">
        <w:rPr>
          <w:rFonts w:ascii="Arial" w:hAnsi="Arial" w:cs="Arial"/>
          <w:sz w:val="22"/>
          <w:szCs w:val="22"/>
        </w:rPr>
        <w:t xml:space="preserve">za dany pojazd </w:t>
      </w:r>
      <w:r>
        <w:rPr>
          <w:rFonts w:ascii="Arial" w:hAnsi="Arial" w:cs="Arial"/>
          <w:sz w:val="22"/>
          <w:szCs w:val="22"/>
        </w:rPr>
        <w:t>należy wyliczyć przyjmując płatność jednorazową.</w:t>
      </w:r>
    </w:p>
    <w:p w:rsidR="006657B6" w:rsidRDefault="006657B6" w:rsidP="006657B6">
      <w:pPr>
        <w:numPr>
          <w:ilvl w:val="1"/>
          <w:numId w:val="2"/>
        </w:numPr>
        <w:tabs>
          <w:tab w:val="num" w:pos="786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zgłaszania do ubezpieczenia nowo zakupionych pojazdów, doubezpieczeń lub podwyższania sumy ubezpieczenia, w okresie ubezpieczenia, zastosowanie będą miały warunki umowy oraz składki/stawki nie mniej korzystne niż obowiązujące w ofercie Wykonawcy. Wszelkie zwroty składek wynikające ze zmniejszenia sum ubezpieczenia z tytułu sprzedaży lub likwidacji poszczególnych składników majątku w okresie ubezpieczenia oraz dopłaty składek z tytułu realizowanych doubezpieczeń będą wyliczane systemem pro rata za każdy dzień udzielonej ochrony.</w:t>
      </w:r>
    </w:p>
    <w:p w:rsidR="006657B6" w:rsidRDefault="006657B6" w:rsidP="006657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czas trwania wykonywania zamówienia Wykonawca gwarantuje niezmienność ogólnych warunków ubezpieczenia, na których udzielana będzie ochrona ubezpieczeniowa. Wyjątek od tej zasady dopuszczalny będzie, w przypadku zmiany kodeksu cywilnego, ustawy o działalności ubezpieczeniowej lub ustawy o ubezpieczeniach obowiązkowych, Ubezpieczeniowym Funduszu Gwarancyjnym i Polskim Biurze Ubezpieczycieli Komunikacyjnych, w zakresie w jakim zmiany te będą dotyczyć postanowień umów ubezpieczenia wskazanych w SWZ. </w:t>
      </w:r>
    </w:p>
    <w:p w:rsidR="00EB7009" w:rsidRPr="00EB7009" w:rsidRDefault="006657B6" w:rsidP="00285AD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Wykonawca akceptuje treść obligatoryjnych oraz fakultatywnych (w przypadku ich przyjęcia) warunków ubezpieczenia podanych w niniejszym załączniku.</w:t>
      </w:r>
    </w:p>
    <w:p w:rsidR="00EB7009" w:rsidRPr="00EB7009" w:rsidRDefault="00EB7009" w:rsidP="00EB7009">
      <w:pPr>
        <w:overflowPunct w:val="0"/>
        <w:autoSpaceDE w:val="0"/>
        <w:autoSpaceDN w:val="0"/>
        <w:adjustRightInd w:val="0"/>
        <w:spacing w:after="40"/>
        <w:ind w:left="12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57B6" w:rsidRPr="00EB7009" w:rsidRDefault="006657B6" w:rsidP="00285AD9">
      <w:pPr>
        <w:overflowPunct w:val="0"/>
        <w:autoSpaceDE w:val="0"/>
        <w:autoSpaceDN w:val="0"/>
        <w:adjustRightInd w:val="0"/>
        <w:spacing w:after="40"/>
        <w:ind w:left="34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EB7009">
        <w:rPr>
          <w:rFonts w:ascii="Arial" w:hAnsi="Arial" w:cs="Arial"/>
          <w:b/>
          <w:bCs/>
          <w:sz w:val="22"/>
          <w:szCs w:val="22"/>
          <w:u w:val="single"/>
        </w:rPr>
        <w:t>Warunki ogólne fakultatywne</w:t>
      </w:r>
    </w:p>
    <w:p w:rsidR="006657B6" w:rsidRDefault="006657B6" w:rsidP="006657B6">
      <w:pPr>
        <w:numPr>
          <w:ilvl w:val="0"/>
          <w:numId w:val="3"/>
        </w:numPr>
        <w:tabs>
          <w:tab w:val="clear" w:pos="454"/>
          <w:tab w:val="num" w:pos="709"/>
        </w:tabs>
        <w:overflowPunct w:val="0"/>
        <w:autoSpaceDE w:val="0"/>
        <w:autoSpaceDN w:val="0"/>
        <w:adjustRightInd w:val="0"/>
        <w:spacing w:after="40"/>
        <w:ind w:left="709" w:right="21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EB7009">
        <w:rPr>
          <w:rFonts w:ascii="Arial" w:hAnsi="Arial" w:cs="Arial"/>
          <w:b/>
          <w:sz w:val="22"/>
          <w:szCs w:val="22"/>
        </w:rPr>
        <w:t xml:space="preserve">Klauzula dedykowanego koordynatora likwidacji szkód </w:t>
      </w:r>
      <w:r w:rsidRPr="00EB7009">
        <w:rPr>
          <w:rFonts w:ascii="Arial" w:hAnsi="Arial" w:cs="Arial"/>
          <w:sz w:val="22"/>
          <w:szCs w:val="22"/>
        </w:rPr>
        <w:t>– Ubezpieczyciel ustanowi dedykowanego koordynatora likwidacji sz</w:t>
      </w:r>
      <w:r w:rsidRPr="00EB7009">
        <w:rPr>
          <w:rFonts w:ascii="Arial" w:hAnsi="Arial" w:cs="Arial"/>
          <w:bCs/>
          <w:sz w:val="22"/>
          <w:szCs w:val="22"/>
        </w:rPr>
        <w:t>kód, który będzie odpowiedzia</w:t>
      </w:r>
      <w:r w:rsidRPr="00EB7009">
        <w:rPr>
          <w:rFonts w:ascii="Arial" w:hAnsi="Arial" w:cs="Arial"/>
          <w:sz w:val="22"/>
          <w:szCs w:val="22"/>
        </w:rPr>
        <w:t>lny</w:t>
      </w:r>
      <w:r>
        <w:rPr>
          <w:rFonts w:ascii="Arial" w:hAnsi="Arial" w:cs="Arial"/>
          <w:sz w:val="22"/>
          <w:szCs w:val="22"/>
        </w:rPr>
        <w:t xml:space="preserve"> za koordynację likwidacji szkód i będzie dostępny dla Ubezpieczającego w dni robocze w godz. 8 – 15 przez cały czas wykonywania umowy ubezpieczenia. O każdej zmianie dedykowanego likwidatora Ubezpieczyciel będzie informował Ubezpieczającego z minimum jednodniowym wyprzedzeniem, z wyłączeniem sytuacji nagłych losowych.</w:t>
      </w:r>
    </w:p>
    <w:p w:rsidR="006657B6" w:rsidRDefault="006657B6" w:rsidP="006657B6">
      <w:pPr>
        <w:numPr>
          <w:ilvl w:val="0"/>
          <w:numId w:val="3"/>
        </w:numPr>
        <w:tabs>
          <w:tab w:val="clear" w:pos="454"/>
          <w:tab w:val="num" w:pos="709"/>
        </w:tabs>
        <w:overflowPunct w:val="0"/>
        <w:autoSpaceDE w:val="0"/>
        <w:autoSpaceDN w:val="0"/>
        <w:adjustRightInd w:val="0"/>
        <w:spacing w:after="40"/>
        <w:ind w:left="709" w:right="21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automatycznego włączania pojazdów do ubezpieczenia w okresie wykonywania umowy – </w:t>
      </w:r>
      <w:r>
        <w:rPr>
          <w:rFonts w:ascii="Arial" w:hAnsi="Arial" w:cs="Arial"/>
          <w:sz w:val="22"/>
          <w:szCs w:val="22"/>
        </w:rPr>
        <w:t xml:space="preserve">Ubezpieczyciel automatycznie obejmuje ochroną ubezpieczeniową każdy pojazd zakupiony, objęty w posiadanie lub przejęty w okresie wykonywania zamówienia z dniem zakupu, objęcia w posiadanie, przejęcia, najpóźniej z dniem rejestracji pod warunkiem pisemnego zgłoszenia do ubezpieczenia w tym samym dniu roboczym. 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Dane Ubezpieczającego/Ubezpieczonego floty pojazdów </w:t>
      </w:r>
    </w:p>
    <w:p w:rsidR="006657B6" w:rsidRDefault="006657B6" w:rsidP="006657B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40"/>
        <w:ind w:right="21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Ubezpieczający: </w:t>
      </w:r>
      <w:r>
        <w:rPr>
          <w:rFonts w:ascii="Arial" w:hAnsi="Arial" w:cs="Arial"/>
          <w:bCs/>
          <w:sz w:val="22"/>
          <w:szCs w:val="22"/>
        </w:rPr>
        <w:t xml:space="preserve">Województwo Warmińsko- Mazurskie z siedzibą w Olsztynie, </w:t>
      </w:r>
    </w:p>
    <w:p w:rsidR="006657B6" w:rsidRDefault="006657B6" w:rsidP="006657B6">
      <w:pPr>
        <w:overflowPunct w:val="0"/>
        <w:autoSpaceDE w:val="0"/>
        <w:autoSpaceDN w:val="0"/>
        <w:adjustRightInd w:val="0"/>
        <w:spacing w:after="40"/>
        <w:ind w:left="2804" w:right="21" w:hanging="394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10-562 Olsztyn, ul. Emilii Plater 1</w:t>
      </w:r>
    </w:p>
    <w:p w:rsidR="006657B6" w:rsidRDefault="006657B6" w:rsidP="006657B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40"/>
        <w:ind w:left="2410" w:right="21" w:hanging="2070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Ubezpieczony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>Urząd Marszałkowski Województwa Warmińsko- Mazurskiego  w Olsztynie, 10-562 Olsztyn, ul. Emilii Plater 1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Obowiązkowe ubezpieczenie OC posiadaczy pojazdów mechanicznych</w:t>
      </w:r>
    </w:p>
    <w:p w:rsidR="006657B6" w:rsidRDefault="006657B6" w:rsidP="006657B6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:rsidR="006657B6" w:rsidRDefault="006657B6" w:rsidP="006657B6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ubezpieczenia: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657B6" w:rsidRDefault="006657B6" w:rsidP="006657B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pojazdy wymienione w</w:t>
      </w:r>
      <w:r>
        <w:rPr>
          <w:rFonts w:ascii="Arial" w:hAnsi="Arial" w:cs="Arial"/>
          <w:b/>
          <w:sz w:val="22"/>
          <w:szCs w:val="22"/>
        </w:rPr>
        <w:t xml:space="preserve"> 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</w:p>
    <w:p w:rsidR="006657B6" w:rsidRDefault="006657B6" w:rsidP="006657B6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hanging="254"/>
        <w:contextualSpacing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Zakres ubezpieczenia i suma gwarancyjna:</w:t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zgodnie z ustawą z dnia 22 maja 2003 r. o ubezpieczeniach obowiązkowych, Ubezpieczeniowym Funduszu Gwarancyjnym i Polskim Biurze Ubezpieczycieli Komunikacyjnych.</w:t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gwarancyjna na jeden pojazd – w wysokości zgodnej z w/w Ustawą w dniu zawarcia umowy ubezpieczenia na pojazd (w przypadku zwiększenia przez ustawodawcę minimalnej ustawowej sumy gwarancyjnej składka za ubezpieczenie pozostaje bez zmian).</w:t>
      </w:r>
    </w:p>
    <w:p w:rsidR="006657B6" w:rsidRDefault="006657B6" w:rsidP="006657B6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Okres ubezpieczenia:</w:t>
      </w:r>
      <w:r>
        <w:rPr>
          <w:rFonts w:ascii="Arial" w:hAnsi="Arial" w:cs="Arial"/>
          <w:b/>
          <w:sz w:val="22"/>
          <w:szCs w:val="22"/>
        </w:rPr>
        <w:tab/>
      </w:r>
    </w:p>
    <w:p w:rsidR="006657B6" w:rsidRDefault="006657B6" w:rsidP="006657B6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okresy ochrony ubezpieczeniowej będą obejmowały </w:t>
      </w:r>
      <w:r>
        <w:rPr>
          <w:rFonts w:ascii="Arial" w:hAnsi="Arial" w:cs="Arial"/>
          <w:b/>
          <w:sz w:val="22"/>
          <w:szCs w:val="22"/>
        </w:rPr>
        <w:t>12 miesięczne</w:t>
      </w:r>
      <w:r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sukcesywnie w trakcie trwania umowy.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Ubezpieczenie OC posiadaczy pojazdów mechanicznych w ruchu zagranicznym ZK (Zielona Karta)</w:t>
      </w:r>
    </w:p>
    <w:p w:rsidR="006657B6" w:rsidRDefault="006657B6" w:rsidP="006657B6">
      <w:pPr>
        <w:spacing w:before="240"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:rsidR="006657B6" w:rsidRDefault="006657B6" w:rsidP="006657B6">
      <w:pPr>
        <w:numPr>
          <w:ilvl w:val="1"/>
          <w:numId w:val="1"/>
        </w:numPr>
        <w:spacing w:after="40"/>
        <w:ind w:left="1701" w:right="21" w:hanging="127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 w:right="2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pojazdy wymienione w</w:t>
      </w:r>
      <w:r>
        <w:rPr>
          <w:rFonts w:ascii="Arial" w:hAnsi="Arial" w:cs="Arial"/>
          <w:b/>
          <w:sz w:val="22"/>
          <w:szCs w:val="22"/>
        </w:rPr>
        <w:t xml:space="preserve"> 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z wyłączeniem pojazdów w pozycjach: 3, 5, 6, 8, 9, 10, 11, 13, 19, 22-24.</w:t>
      </w:r>
    </w:p>
    <w:p w:rsidR="006657B6" w:rsidRDefault="006657B6" w:rsidP="006657B6">
      <w:pPr>
        <w:numPr>
          <w:ilvl w:val="1"/>
          <w:numId w:val="1"/>
        </w:numPr>
        <w:spacing w:after="40"/>
        <w:ind w:left="1701" w:right="21" w:hanging="127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Zakres ubezpieczenia i suma gwarancyjna: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657B6" w:rsidRDefault="006657B6" w:rsidP="006657B6">
      <w:pPr>
        <w:spacing w:after="40"/>
        <w:ind w:left="709" w:right="2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Ochroną ubezpieczeniową jest objęta odpowiedzialność cywilna każdej osoby, która kierując pojazdem mechanicznym w okresie trwania odpowiedzialności ubezpieczeniowej, wyrządziła szkodę w związku z ruchem tego pojazdu poza granicami Rzeczypospolitej Polskiej, na terytorium państw, których biura narodowe są sygnatariuszami w dniu zawarcia umowy ubezpieczenia Porozumienia Wielostronnego, o którym mowa w ustawie z dnia 22 maja 2003 r. o ubezpieczeniach obowiązkowych, Ubezpieczeniowym Funduszu Gwarancyjnym i Polskim Biurze Ubezpieczycieli Komunikacyjnych</w:t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gwarancyjna na jeden pojazd – w wysokości zgodnej z w/w Ustawą w dniu zawarcia umowy ubezpieczenia na pojazd (w przypadku zwiększenia przez ustawodawcę minimalnej ustawowej sumy gwarancyjnej składka za ubezpieczenie pozostaje bez zmian).</w:t>
      </w:r>
    </w:p>
    <w:p w:rsidR="006657B6" w:rsidRDefault="006657B6" w:rsidP="006657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Okres ubezpieczenia:</w:t>
      </w:r>
      <w:r>
        <w:rPr>
          <w:rFonts w:ascii="Arial" w:hAnsi="Arial" w:cs="Arial"/>
          <w:b/>
          <w:sz w:val="22"/>
          <w:szCs w:val="22"/>
        </w:rPr>
        <w:tab/>
      </w:r>
    </w:p>
    <w:p w:rsidR="006657B6" w:rsidRDefault="006657B6" w:rsidP="006657B6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okresy ochrony ubezpieczeniowej będą obejmowały </w:t>
      </w:r>
      <w:r>
        <w:rPr>
          <w:rFonts w:ascii="Arial" w:hAnsi="Arial" w:cs="Arial"/>
          <w:b/>
          <w:sz w:val="22"/>
          <w:szCs w:val="22"/>
        </w:rPr>
        <w:t>12 miesięczne</w:t>
      </w:r>
      <w:r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sukcesywnie w trakcie trwania umowy.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Ubezpieczenie autocasco</w:t>
      </w:r>
    </w:p>
    <w:p w:rsidR="006657B6" w:rsidRDefault="006657B6" w:rsidP="006657B6">
      <w:pPr>
        <w:spacing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:rsidR="006657B6" w:rsidRDefault="006657B6" w:rsidP="006657B6">
      <w:pPr>
        <w:numPr>
          <w:ilvl w:val="0"/>
          <w:numId w:val="5"/>
        </w:numPr>
        <w:tabs>
          <w:tab w:val="num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pojazdy wraz z wyposażeniem (podstawowym i dodatkowym) wymienione w</w:t>
      </w:r>
      <w:r>
        <w:rPr>
          <w:rFonts w:ascii="Arial" w:hAnsi="Arial" w:cs="Arial"/>
          <w:b/>
          <w:sz w:val="22"/>
          <w:szCs w:val="22"/>
        </w:rPr>
        <w:t xml:space="preserve"> 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</w:p>
    <w:p w:rsidR="006657B6" w:rsidRDefault="006657B6" w:rsidP="006657B6">
      <w:pPr>
        <w:numPr>
          <w:ilvl w:val="0"/>
          <w:numId w:val="5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Suma ubezpieczenia: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VAT – określana indywidualnie wg wartości rynkowych pojazdów, </w:t>
      </w:r>
      <w:r>
        <w:rPr>
          <w:rFonts w:ascii="Arial" w:hAnsi="Arial" w:cs="Arial"/>
          <w:bCs/>
          <w:sz w:val="22"/>
          <w:szCs w:val="22"/>
        </w:rPr>
        <w:t>na podstawie katalogu INFO-EKSPERT,</w:t>
      </w:r>
      <w:r>
        <w:rPr>
          <w:rFonts w:ascii="Arial" w:hAnsi="Arial" w:cs="Arial"/>
          <w:sz w:val="22"/>
          <w:szCs w:val="22"/>
        </w:rPr>
        <w:t xml:space="preserve"> podanych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>
        <w:rPr>
          <w:rFonts w:ascii="Arial" w:hAnsi="Arial" w:cs="Arial"/>
          <w:sz w:val="22"/>
          <w:szCs w:val="22"/>
        </w:rPr>
        <w:t>lub faktury zakupu dla pojazdów fabrycznie nowych. Suma ubezpieczenia obejmuje wartość wyposażenia podstawowego i dodatkowego.</w:t>
      </w:r>
    </w:p>
    <w:p w:rsidR="006657B6" w:rsidRDefault="006657B6" w:rsidP="006657B6">
      <w:pPr>
        <w:tabs>
          <w:tab w:val="left" w:pos="1985"/>
        </w:tabs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wystawieniem polisy, każdy pojazd będzie ponownie wyceniany, w celu aktualizacji sumy ubezpieczenia. Przy ustalaniu sumy ubezpieczenia Zamawiający będzie przyjmował daną wysokość SU posiłkując się wyceną na bazie </w:t>
      </w:r>
      <w:r>
        <w:rPr>
          <w:rFonts w:ascii="Arial" w:hAnsi="Arial" w:cs="Arial"/>
          <w:bCs/>
          <w:sz w:val="22"/>
          <w:szCs w:val="22"/>
        </w:rPr>
        <w:t>katalogu INFO-EKSPERT wykonaną przez Brokera</w:t>
      </w:r>
      <w:r>
        <w:rPr>
          <w:rFonts w:ascii="Arial" w:hAnsi="Arial" w:cs="Arial"/>
          <w:sz w:val="22"/>
          <w:szCs w:val="22"/>
        </w:rPr>
        <w:t xml:space="preserve">. Nastąpi ponowne naliczenie składki przy stawce procentowej zgodnej z ofertą. </w:t>
      </w:r>
      <w:r>
        <w:rPr>
          <w:rFonts w:ascii="Arial" w:hAnsi="Arial" w:cs="Arial"/>
          <w:bCs/>
          <w:sz w:val="22"/>
          <w:szCs w:val="22"/>
        </w:rPr>
        <w:t xml:space="preserve">W przypadku pojazdów nowych suma ubezpieczenia będzie określona na podstawie faktury zakupu, a składka za poszczególne pojazdy będzie określana z zastosowaniem wielkości % określonych w kolumnie „Składka [zł]* – </w:t>
      </w:r>
      <w:r>
        <w:rPr>
          <w:rFonts w:ascii="Arial" w:hAnsi="Arial" w:cs="Arial"/>
          <w:sz w:val="22"/>
          <w:szCs w:val="22"/>
        </w:rPr>
        <w:t>AC+KR % sumy ubezp.”</w:t>
      </w:r>
      <w:r>
        <w:rPr>
          <w:rFonts w:ascii="Arial" w:hAnsi="Arial" w:cs="Arial"/>
          <w:bCs/>
          <w:sz w:val="22"/>
          <w:szCs w:val="22"/>
        </w:rPr>
        <w:t xml:space="preserve">, z zastrzeżeniem, że ustalona składka nie może być wyższa niż określona w ofercie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</w:p>
    <w:p w:rsidR="006657B6" w:rsidRDefault="006657B6" w:rsidP="006657B6">
      <w:pPr>
        <w:numPr>
          <w:ilvl w:val="0"/>
          <w:numId w:val="5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terytorialny: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57B6" w:rsidRDefault="006657B6" w:rsidP="006657B6">
      <w:pPr>
        <w:spacing w:after="40"/>
        <w:ind w:left="709" w:right="2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Rzeczpospolita Polska (RP) + Europa - AC + KR, z tym, że dla pojazdów w pozycji nr 3, 5, 6, 8, 9, 10, 11, 13, 19, 22-24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>
        <w:rPr>
          <w:rFonts w:ascii="Arial" w:hAnsi="Arial" w:cs="Arial"/>
          <w:sz w:val="22"/>
          <w:szCs w:val="22"/>
        </w:rPr>
        <w:t>obowiązuje zakres RP.</w:t>
      </w:r>
    </w:p>
    <w:p w:rsidR="006657B6" w:rsidRDefault="006657B6" w:rsidP="006657B6">
      <w:pPr>
        <w:numPr>
          <w:ilvl w:val="0"/>
          <w:numId w:val="5"/>
        </w:numPr>
        <w:tabs>
          <w:tab w:val="left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ubezpieczenia: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57B6" w:rsidRDefault="006657B6" w:rsidP="006657B6">
      <w:pPr>
        <w:tabs>
          <w:tab w:val="left" w:pos="709"/>
        </w:tabs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okresy ochrony ubezpieczeniowej będą obejmowały </w:t>
      </w:r>
      <w:r>
        <w:rPr>
          <w:rFonts w:ascii="Arial" w:hAnsi="Arial" w:cs="Arial"/>
          <w:b/>
          <w:sz w:val="22"/>
          <w:szCs w:val="22"/>
        </w:rPr>
        <w:t>12 miesięczne</w:t>
      </w:r>
      <w:r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sukcesywnie w trakcie trwania umowy.</w:t>
      </w:r>
    </w:p>
    <w:p w:rsidR="006657B6" w:rsidRDefault="006657B6" w:rsidP="006657B6">
      <w:pPr>
        <w:numPr>
          <w:ilvl w:val="0"/>
          <w:numId w:val="5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pełny, w formule wszystkich ryzyk, ochroną ubezpieczeniową objęte są szkody powstałe w okresie ubezpieczenia w wyniku uszkodzenia pojazdu, zniszczenia </w:t>
      </w:r>
      <w:r>
        <w:rPr>
          <w:rFonts w:ascii="Arial" w:hAnsi="Arial" w:cs="Arial"/>
          <w:sz w:val="22"/>
          <w:szCs w:val="22"/>
        </w:rPr>
        <w:lastRenderedPageBreak/>
        <w:t>pojazdu (w tym całkowitego) oraz jego utraty (w tym kradzież z działaniem sprawcy zgodnie z art. 278, 279, 280, Kodeksu Karnego).</w:t>
      </w:r>
    </w:p>
    <w:p w:rsidR="006657B6" w:rsidRDefault="006657B6" w:rsidP="006657B6">
      <w:pPr>
        <w:numPr>
          <w:ilvl w:val="0"/>
          <w:numId w:val="5"/>
        </w:numPr>
        <w:tabs>
          <w:tab w:val="left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Dopuszczalne wyłączenia zakresu ubezpieczenia</w:t>
      </w:r>
    </w:p>
    <w:p w:rsidR="006657B6" w:rsidRDefault="006657B6" w:rsidP="006657B6">
      <w:pPr>
        <w:tabs>
          <w:tab w:val="left" w:pos="709"/>
        </w:tabs>
        <w:spacing w:after="40"/>
        <w:ind w:left="7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Ubezpieczyciel nie odpowiada za szkody: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utraty pojazdu w wyniku jego przywłaszczenia (art. 284 Kodeksu Karnego) lub kradzieży powstałej w okresie przywłaszczenia,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utraty pojazdu, jeżeli nie został on jak i dokumenty pojazdu kluczyki, sterowniki do pojazdu prawidłowo zabezpieczone po opuszczeniu pojazdu przez kierowcę – o 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utraty pojazdu, jeżeli nie posiadał on uruchomionych w chwili kradzieży zainstalowanych zabezpieczeń przeciwkradzieżowych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pojazdach: złożonych poza wytwórnią fabryczną (typu SAM), szynowych, rajdowych, wyścigowych, na zagranicznych tablicach rejestracyjnych, taksówkach i innych wykorzystywanych do zarobkowego przewozu osób, wynajmowanych zarobkowo, nauki jazdy,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umyślnie lub w wyniku rażącego niedbalstwa przez Ubezpieczonego lub osobę uprawnioną kierującą pojazdem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użyciem pojazdu jako narzędzia przestępstwa przez Ubezpieczonego lub osobę uprawnioną kierującą pojazdem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przez Ubezpieczonego lub osobę uprawnioną kierującą pojazdem będącą w stanie po użyciu alkoholu, w stanie nietrzeźwości, po użyciu środków psychotropowych, odurzających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przez Ubezpieczonego lub osobę uprawnioną kierującą pojazdem bez ważnych, wymaganym prawem kraju, uprawnień do kierowania pojazdem – o ile miało to wpływ na 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 pojeździe bez ważnych badań technicznych (jeżeli istnieje taki wymóg wobec ubezpieczonego pojazdu)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 pojeździe bez ważnego dowodu rejestracyjnego (jeżeli istnieje taki wymóg wobec ubezpieczonego pojazdu) –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działaniami wojennymi lub użyciem pojazdu zgodnie z przepisami prawa obowiązkowego świadczenia na rzecz wojska, policji lub innym podmiotów,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w trakcie trwania zamieszek, rozruchów, wewnętrznych niepokojów, strajków, akcji protestacyjnych, blokad dróg, aktów terroryzmu, aktów sabotażu,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eksploatacyjne, w płynach i materiałach eksploatacyjnych,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polegające na awarii,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wadami produkcyjnymi i konstrukcyjnymi,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błędnym montażem instalacji gazowej,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zassaniem wody przez pracujący, uruchamiany silnik,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w trakcie naprawy pojazdu, oraz będące następstwem nienależycie przeprowadzonej naprawy pojazdu - o ile miało to wpływ na 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wyłącznie w ogumieniu,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spowodowane używaniem pojazdu niezgodnie z jego przeznaczeniem – o ile miało to wpływ na 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przez załadowany lub przewożony bagaż lub ładunek – o ile miało to wpływ na zaistnienie lub rozmiar szkody,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podczas kierowania pojazdem niezarejestrowanym, jeżeli w odniesieniu do tego pojazdu obowiązuje wymóg rejestracji, a stan techniczny pojazdu miał wpływ na zajście wypadku ubezpieczeniowego,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sprzęcie lub urządzeniach multimedialnych, jeżeli po opuszczeniu pojazdu i pozostawieniu go bez bezpośredniego nadzoru ubezpieczonego lub osoby uprawnionej do korzystania z pojazdu, pozostawiono w pojeździe wyjmowany element lub panel tego sprzętu lub urządzenia, chyba że nie miało to wpływu na zajście wypadku ubezpieczeniowego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włamania do pojazdu, gdy nie dokonano zabezpieczenia pojazdu w sposób przewidziany w jego konstrukcji lub nie uruchomiono zabezpieczeń przeciwkradzieżowych, w które pojazd był wyposażony, chyba że niezabezpieczenie pojazdu lub nieuruchomienie zabezpieczeń przeciwkradzieżowych nie miało wpływu na zajście wypadku ubezpieczeniowego,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polegające na utracie pojazdu pochodzącego z kradzieży, jeżeli w dniu faktycznej utraty pojazdu nie upłynął wymagany przepisami prawa okres do nabycia własności tego pojazdu przez ubezpieczonego na zasadzie dobrej wiary,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 wyposażeniu pojazdu niewymienionym w umowie AC lub w wyposażeniu pojazdu zamontowanym po zawarciu umowy AC, o którym nie powiadomiono Ubezpieczyciela;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 elementów nieuszkodzonych, których wymiana wynika ze zmian konstrukcji pojazdu wprowadzonych przez producenta,</w:t>
      </w:r>
    </w:p>
    <w:p w:rsidR="006657B6" w:rsidRDefault="006657B6" w:rsidP="006657B6">
      <w:pPr>
        <w:numPr>
          <w:ilvl w:val="1"/>
          <w:numId w:val="5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nieprzekraczające kwoty </w:t>
      </w:r>
      <w:r>
        <w:rPr>
          <w:rFonts w:ascii="Arial" w:hAnsi="Arial" w:cs="Arial"/>
          <w:b/>
          <w:sz w:val="22"/>
          <w:szCs w:val="22"/>
        </w:rPr>
        <w:t>300 zł</w:t>
      </w:r>
      <w:r>
        <w:rPr>
          <w:rFonts w:ascii="Arial" w:hAnsi="Arial" w:cs="Arial"/>
          <w:sz w:val="22"/>
          <w:szCs w:val="22"/>
        </w:rPr>
        <w:t xml:space="preserve"> (franszyza integralna)</w:t>
      </w:r>
    </w:p>
    <w:p w:rsidR="006657B6" w:rsidRDefault="006657B6" w:rsidP="006657B6">
      <w:pPr>
        <w:spacing w:after="40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 w:bidi="hi-IN"/>
        </w:rPr>
        <w:t>Niektóre</w:t>
      </w:r>
      <w:r>
        <w:rPr>
          <w:rFonts w:ascii="Arial" w:hAnsi="Arial" w:cs="Arial"/>
          <w:sz w:val="22"/>
          <w:szCs w:val="22"/>
        </w:rPr>
        <w:t xml:space="preserve"> wyżej wymienione wyłączenia mogą zostać włączone do zakresu ubezpieczenia w warunkach fakultatywnych poprzez ich akceptację lub poprzez akceptację klauzul zawierających w treści wymienione ryzyka.</w:t>
      </w:r>
    </w:p>
    <w:p w:rsidR="006657B6" w:rsidRDefault="006657B6" w:rsidP="006657B6">
      <w:pPr>
        <w:numPr>
          <w:ilvl w:val="0"/>
          <w:numId w:val="5"/>
        </w:numPr>
        <w:tabs>
          <w:tab w:val="left" w:pos="709"/>
          <w:tab w:val="num" w:pos="851"/>
        </w:tabs>
        <w:spacing w:after="40"/>
        <w:ind w:left="680" w:hanging="2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szczególne mające zastosowanie:</w:t>
      </w:r>
      <w:r>
        <w:rPr>
          <w:rFonts w:ascii="Arial" w:hAnsi="Arial" w:cs="Arial"/>
          <w:b/>
          <w:sz w:val="22"/>
          <w:szCs w:val="22"/>
        </w:rPr>
        <w:tab/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autocasco obejmuje </w:t>
      </w:r>
      <w:r>
        <w:rPr>
          <w:rFonts w:ascii="Arial" w:hAnsi="Arial" w:cs="Arial"/>
          <w:b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dodatkowe po szkodzie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(nie dotyczy sytuacji, w której usługi możliwe są do zrealizowania z ubezpieczenia Assistance)</w:t>
      </w:r>
      <w:r>
        <w:rPr>
          <w:rFonts w:ascii="Arial" w:hAnsi="Arial" w:cs="Arial"/>
          <w:b/>
          <w:sz w:val="22"/>
          <w:szCs w:val="22"/>
        </w:rPr>
        <w:t>:</w:t>
      </w:r>
    </w:p>
    <w:p w:rsidR="006657B6" w:rsidRDefault="006657B6" w:rsidP="006657B6">
      <w:pPr>
        <w:widowControl w:val="0"/>
        <w:numPr>
          <w:ilvl w:val="3"/>
          <w:numId w:val="6"/>
        </w:numPr>
        <w:tabs>
          <w:tab w:val="num" w:pos="215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holowania lub transportu uszkodzonego pojazdu, na skutek wystąpieniu w pojeździe zdarzenia objętego zakresem ubezpieczenia, uniemożliwiającego kontynuowanie podróży lub powrót do siedziby Ubezpieczonego, z miejsca zdarzenia do </w:t>
      </w:r>
      <w:r>
        <w:rPr>
          <w:rFonts w:ascii="Arial" w:hAnsi="Arial" w:cs="Arial"/>
          <w:b/>
          <w:sz w:val="22"/>
          <w:szCs w:val="22"/>
        </w:rPr>
        <w:t>ASO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najdalej do siedziby Ubezpieczonego lub osoby uprawnionej do korzystania z pojazdu oraz uprzątnięcie pojazdu, jego pozostałości z miejsca zdarzenia – limit 10% sumy ubezpieczenia,</w:t>
      </w:r>
    </w:p>
    <w:p w:rsidR="006657B6" w:rsidRDefault="006657B6" w:rsidP="006657B6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dodatkowego badania technicznego pojazdu po jego naprawie zgodnie z art. 81 ust 11 pkt 1b Ustawy z dnia 20 czerwca 1997 r. Prawo o ruchu drogowym,</w:t>
      </w:r>
    </w:p>
    <w:p w:rsidR="006657B6" w:rsidRDefault="006657B6" w:rsidP="006657B6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parkowania i zabezpieczenia pojazdu do czasu wykonania oględzin przez zakład ubezpieczeń do limitu w wysokości 10% sumy ubezpieczenia danego pojazdu,</w:t>
      </w:r>
    </w:p>
    <w:p w:rsidR="006657B6" w:rsidRDefault="006657B6" w:rsidP="006657B6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zniesienie konsumpcji sumy ubezpieczenia po wypłacie odszkodowania,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niezmienność sumy ubezpieczenia (wartości pojazdu) w okresie ubezpieczenia (tzn. ubezpieczyciel będzie przyjmował za wartość rynkową pojazdu w dniu szkody sumę ubezpieczenia pojazdu przyjętą w dniu ubezpieczenia),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zastosowanie serwisowego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(bezgotówkowego) wariantu likwidacji szkody częściowej,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zastosowanie w naprawie pojazdu wyłącznie </w:t>
      </w:r>
      <w:r>
        <w:rPr>
          <w:rFonts w:ascii="Arial" w:hAnsi="Arial" w:cs="Arial"/>
          <w:b/>
          <w:sz w:val="22"/>
          <w:szCs w:val="22"/>
        </w:rPr>
        <w:t>Części O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. W uzasadnionych przypadkach będzie możliwe zastosowanie </w:t>
      </w:r>
      <w:r>
        <w:rPr>
          <w:rFonts w:ascii="Arial" w:hAnsi="Arial" w:cs="Arial"/>
          <w:b/>
          <w:sz w:val="22"/>
          <w:szCs w:val="22"/>
        </w:rPr>
        <w:t>Części Q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  <w:sz w:val="22"/>
          <w:szCs w:val="22"/>
        </w:rPr>
        <w:t>P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wyrażeniu zgody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Ubezpieczonego</w:t>
      </w:r>
      <w:r>
        <w:rPr>
          <w:rFonts w:ascii="Arial" w:hAnsi="Arial" w:cs="Arial"/>
          <w:strike/>
          <w:sz w:val="22"/>
          <w:szCs w:val="22"/>
        </w:rPr>
        <w:t>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uwzględnienie w kosztach naprawy stawki za 1 roboczogodzinę w oparciu o średnie ceny usług stosowane przez warsztaty porównywalnej kategorii do warsztatu wykonującego naprawę, działające na terenie województwa, w którym znajduje się ten warsztat.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zniesienie wszelkich franszyz redukcyjnych i udziałów własnych,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Style w:val="Odwoaniedokomentarz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zniesienie amortyzacji części bez względu na wiek pojazdu, z wyłączeniem elementów układu wydechowego i ogumienia,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1276"/>
        </w:tabs>
        <w:autoSpaceDE w:val="0"/>
        <w:autoSpaceDN w:val="0"/>
        <w:adjustRightInd w:val="0"/>
        <w:spacing w:after="40"/>
        <w:jc w:val="both"/>
      </w:pPr>
      <w:r>
        <w:rPr>
          <w:rFonts w:ascii="Arial" w:hAnsi="Arial" w:cs="Arial"/>
          <w:b/>
          <w:sz w:val="22"/>
          <w:szCs w:val="22"/>
        </w:rPr>
        <w:t>klauzula nie zawiadomienia w terminie o szkodzie</w:t>
      </w:r>
      <w:r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 odpowiednim terminie, mają zastosowanie tylko w sytuacji, kiedy nie zawiadomienie w terminie przyczyniło się do zwiększenia szkody lub uniemożliwiło Ubezpieczycielowi ustalenie okoliczności i skutków bądź rozmiaru szkody.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wypłaty odszkodowania z podatkiem VAT -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iCs/>
          <w:sz w:val="22"/>
          <w:szCs w:val="22"/>
        </w:rPr>
        <w:t xml:space="preserve"> zachowaniem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pozostałych nie zmienionych niniejszą klauzulą postanowień </w:t>
      </w:r>
      <w:r>
        <w:rPr>
          <w:rFonts w:ascii="Arial" w:hAnsi="Arial" w:cs="Arial"/>
          <w:color w:val="000000"/>
          <w:sz w:val="22"/>
          <w:szCs w:val="22"/>
        </w:rPr>
        <w:t>ogólnych warunków ubezpieczenia oraz innych postanowień umowy ubezpieczenia, ustala się, że wypłata odszkodowania będzie obejmowała podatek VAT, pod warunkiem:</w:t>
      </w:r>
    </w:p>
    <w:p w:rsidR="006657B6" w:rsidRDefault="006657B6" w:rsidP="006657B6">
      <w:pPr>
        <w:numPr>
          <w:ilvl w:val="0"/>
          <w:numId w:val="7"/>
        </w:numPr>
        <w:tabs>
          <w:tab w:val="left" w:pos="851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zawarcia umowy ubezpieczenia na wartość obejmującą podatek VAT,</w:t>
      </w:r>
    </w:p>
    <w:p w:rsidR="006657B6" w:rsidRDefault="006657B6" w:rsidP="006657B6">
      <w:pPr>
        <w:numPr>
          <w:ilvl w:val="0"/>
          <w:numId w:val="7"/>
        </w:numPr>
        <w:tabs>
          <w:tab w:val="left" w:pos="851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przesłania skanu faktury za naprawę pojazdu na adres poczty </w:t>
      </w:r>
      <w:r>
        <w:rPr>
          <w:rFonts w:ascii="Arial" w:hAnsi="Arial" w:cs="Arial"/>
          <w:sz w:val="22"/>
          <w:szCs w:val="22"/>
        </w:rPr>
        <w:t>elektronicznej likwidatora szkody,</w:t>
      </w:r>
    </w:p>
    <w:p w:rsidR="006657B6" w:rsidRDefault="006657B6" w:rsidP="006657B6">
      <w:pPr>
        <w:numPr>
          <w:ilvl w:val="0"/>
          <w:numId w:val="7"/>
        </w:numPr>
        <w:tabs>
          <w:tab w:val="left" w:pos="851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Ubezpieczony nie ma możliwości odliczenia (odpisu) tego podatku.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klauzula akceptacji istniejących zabezpieczeń - </w:t>
      </w:r>
      <w:r>
        <w:rPr>
          <w:rFonts w:ascii="Arial" w:hAnsi="Arial" w:cs="Arial"/>
          <w:bCs/>
          <w:color w:val="000000"/>
          <w:sz w:val="22"/>
          <w:szCs w:val="22"/>
        </w:rPr>
        <w:t>uzgadnia się, że Ubezpieczyciel uznaje stan zabezpieczeń przeciwkradzieżowych we wszystkich pojazdach, za wystarczający i nie będzie powoływał się na zapisy OWU dotyczące minimalnych wymogów odnośnie zabezpieczeń.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oględzin pojazdu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oględziny pojazdu i sporządzanie dokumentacji fotograficznej nie będzie wymagane w przypadku:</w:t>
      </w:r>
    </w:p>
    <w:p w:rsidR="006657B6" w:rsidRDefault="006657B6" w:rsidP="006657B6">
      <w:pPr>
        <w:tabs>
          <w:tab w:val="left" w:pos="851"/>
        </w:tabs>
        <w:spacing w:after="40"/>
        <w:ind w:left="12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- ubezpieczenia pojazdów fabrycznie nowych,</w:t>
      </w:r>
    </w:p>
    <w:p w:rsidR="006657B6" w:rsidRDefault="006657B6" w:rsidP="006657B6">
      <w:pPr>
        <w:tabs>
          <w:tab w:val="left" w:pos="851"/>
        </w:tabs>
        <w:spacing w:after="40"/>
        <w:ind w:left="12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- ubezpieczenia pojazdów używanych, które w momencie przyjmowania do ubezpieczenia posiadają ważną polisę autocasco.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lauzula odstąpienia od prawa do regresu - </w:t>
      </w:r>
      <w:r>
        <w:rPr>
          <w:rFonts w:ascii="Arial" w:hAnsi="Arial" w:cs="Arial"/>
          <w:sz w:val="22"/>
          <w:szCs w:val="22"/>
        </w:rPr>
        <w:t>Ubezpieczyciel zrzeka się prawa do regresu w stosunku do osób uprawnionych do korzystania z pojazdu, za szkody wyrządzone przez te osoby. Zrzeczenie się prawa do regresu nie ma zastosowania, gdy osoby te wyrządziły szkodę umyślnie lub w stanie po spożyciu alkoholu albo pod wpływem środków odurzających, substancji psychotropowych lub środków zastępczych w rozumieniu przepisów o przeciwdziałaniu narkomanii.</w:t>
      </w:r>
    </w:p>
    <w:p w:rsidR="006657B6" w:rsidRDefault="006657B6" w:rsidP="006657B6">
      <w:pPr>
        <w:widowControl w:val="0"/>
        <w:numPr>
          <w:ilvl w:val="2"/>
          <w:numId w:val="6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klauzula kluczyków</w:t>
      </w:r>
      <w:r>
        <w:rPr>
          <w:rFonts w:ascii="Arial" w:hAnsi="Arial" w:cs="Arial"/>
          <w:sz w:val="22"/>
          <w:szCs w:val="22"/>
        </w:rPr>
        <w:t xml:space="preserve"> - Ubezpieczyciel</w:t>
      </w:r>
      <w:r>
        <w:rPr>
          <w:rFonts w:ascii="Arial" w:hAnsi="Arial" w:cs="Arial"/>
          <w:bCs/>
          <w:iCs/>
          <w:sz w:val="22"/>
          <w:szCs w:val="22"/>
        </w:rPr>
        <w:t xml:space="preserve"> zwróci poniesione i udokumentowane koszty wymiany wkładek zamków oraz przekodowania modułów zabezpieczeń przeciwkradzieżowych, w przypadku utraty lub uszkodzenia kluczy i innych fabrycznych urządzeń służących do otwarcia pojazdu. Warunkiem uznania roszczenia w przypadku kradzieży jest przedłożenie zgłoszenia zdarzenia na Policję.</w:t>
      </w:r>
    </w:p>
    <w:p w:rsidR="006657B6" w:rsidRDefault="006657B6" w:rsidP="006657B6">
      <w:pPr>
        <w:spacing w:after="40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Wyżej wymienione warunki szczególne mogą zostać rozszerzone w warunkach fakultatywnych poprzez ich akceptację lub poprzez akceptację klauzul zawierających w treści wymienione ryzyka.</w:t>
      </w:r>
    </w:p>
    <w:p w:rsidR="006657B6" w:rsidRDefault="006657B6" w:rsidP="006657B6">
      <w:pPr>
        <w:spacing w:before="240"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fakultatywne</w:t>
      </w:r>
    </w:p>
    <w:p w:rsidR="006657B6" w:rsidRDefault="006657B6" w:rsidP="006657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Ochroną ubezpieczeniową obejmuje się szkody: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zaboru pojazdu w celu krótkotrwałego użycia (art. 289 Kodeksu Karnego),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kradzieży rozbójniczej (art. 281 Kodeksu Karnego),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wymuszenia rozbójniczego (art. 282 Kodeksu Karnego),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wskutek utraty pojazdu jeżeli:</w:t>
      </w:r>
    </w:p>
    <w:p w:rsidR="006657B6" w:rsidRDefault="006657B6" w:rsidP="006657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 on jak i dokumenty pojazdu, kluczyki, sterowniki do pojazdu prawidłowo zabezpieczone po opuszczeniu pojazdu przez kierowcę,</w:t>
      </w:r>
    </w:p>
    <w:p w:rsidR="006657B6" w:rsidRDefault="006657B6" w:rsidP="006657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posiadał on uruchomionych w chwili kradzieży zainstalowanych zabezpieczeń przeciwkradzieżowych,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umyślnie przez osobę uprawnioną kierującą pojazdem,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spowodowane w wyniku rażącego niedbalstwa przez osobę uprawnioną kierującą pojazdem, obejmującą jedno zdarzenie – do limitu </w:t>
      </w:r>
      <w:r>
        <w:rPr>
          <w:rFonts w:ascii="Arial" w:hAnsi="Arial" w:cs="Arial"/>
          <w:b/>
          <w:sz w:val="22"/>
          <w:szCs w:val="22"/>
        </w:rPr>
        <w:t>50 000 zł</w:t>
      </w:r>
      <w:r>
        <w:rPr>
          <w:rFonts w:ascii="Arial" w:hAnsi="Arial" w:cs="Arial"/>
          <w:sz w:val="22"/>
          <w:szCs w:val="22"/>
        </w:rPr>
        <w:t>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spowodowane przez osobę uprawnioną kierującą pojazdem po użyciu alkoholu, w stanie nietrzeźwości, po użyciu środków psychotropowych, odurzających - do limitu </w:t>
      </w:r>
      <w:r>
        <w:rPr>
          <w:rFonts w:ascii="Arial" w:hAnsi="Arial" w:cs="Arial"/>
          <w:b/>
          <w:sz w:val="22"/>
          <w:szCs w:val="22"/>
        </w:rPr>
        <w:t>50 000 zł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spowodowane w trakcie trwania: zamieszek, rozruchów, wewnętrznych niepokojów, strajków, akcji protestacyjnych, blokad dróg, aktów terroryzmu, aktów sabotażu,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spowodowane zassaniem wody przez pracujący, uruchamiany silnik - do limitu </w:t>
      </w:r>
      <w:r>
        <w:rPr>
          <w:rFonts w:ascii="Arial" w:hAnsi="Arial" w:cs="Arial"/>
          <w:b/>
          <w:sz w:val="22"/>
          <w:szCs w:val="22"/>
        </w:rPr>
        <w:t>50 000 zł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spowodowane w trakcie naprawy pojazdu oraz będące następstwem nienależycie przeprowadzonej naprawy pojazdu – do limitu </w:t>
      </w:r>
      <w:r>
        <w:rPr>
          <w:rFonts w:ascii="Arial" w:hAnsi="Arial" w:cs="Arial"/>
          <w:b/>
          <w:sz w:val="22"/>
          <w:szCs w:val="22"/>
        </w:rPr>
        <w:t>100 000 zł</w:t>
      </w:r>
      <w:r>
        <w:rPr>
          <w:rFonts w:ascii="Arial" w:hAnsi="Arial" w:cs="Arial"/>
          <w:sz w:val="22"/>
          <w:szCs w:val="22"/>
        </w:rPr>
        <w:t>,</w:t>
      </w:r>
    </w:p>
    <w:p w:rsidR="006657B6" w:rsidRDefault="006657B6" w:rsidP="006657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powstałe w samym ogumieniu,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Suma ubezpieczenia stanowi górny limit odpowiedzialności ubezpieczyciela z zastrzeżeniem kosztów dodatkowych do szkody, które stanowią niezależne odszkodowanie.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Zniesienie franszyzy integralnej.</w:t>
      </w:r>
    </w:p>
    <w:p w:rsidR="006657B6" w:rsidRDefault="006657B6" w:rsidP="006657B6">
      <w:pPr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Uwzględnienie w kosztach naprawy stawki za 1 roboczogodzinę zgodnie z cennikiem warsztatu naprawczego</w:t>
      </w:r>
      <w:r>
        <w:rPr>
          <w:rFonts w:ascii="Arial" w:hAnsi="Arial" w:cs="Arial"/>
          <w:sz w:val="22"/>
          <w:szCs w:val="22"/>
        </w:rPr>
        <w:t xml:space="preserve">, w którym dokonywana jest naprawa, jednak nie większej niż stawka za 1 roboczogodzinę stosowaną w </w:t>
      </w:r>
      <w:r>
        <w:rPr>
          <w:rFonts w:ascii="Arial" w:hAnsi="Arial" w:cs="Arial"/>
          <w:b/>
          <w:sz w:val="22"/>
          <w:szCs w:val="22"/>
        </w:rPr>
        <w:t>ASO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danej marki pojazdu, na terenie miejsca naprawy pojazdu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Klauzula definicji szkody całkowitej </w:t>
      </w:r>
      <w:r>
        <w:rPr>
          <w:rFonts w:ascii="Arial" w:hAnsi="Arial" w:cs="Arial"/>
          <w:bCs/>
          <w:sz w:val="22"/>
          <w:szCs w:val="22"/>
        </w:rPr>
        <w:t xml:space="preserve">– ustala się, że za szkodę całkowitą uznaje się uszkodzeniu pojazdu w takim stopniu, że koszt jego naprawy przekracza </w:t>
      </w:r>
      <w:r>
        <w:rPr>
          <w:rFonts w:ascii="Arial" w:hAnsi="Arial" w:cs="Arial"/>
          <w:b/>
          <w:bCs/>
          <w:sz w:val="22"/>
          <w:szCs w:val="22"/>
        </w:rPr>
        <w:t>80%</w:t>
      </w:r>
      <w:r>
        <w:rPr>
          <w:rFonts w:ascii="Arial" w:hAnsi="Arial" w:cs="Arial"/>
          <w:bCs/>
          <w:sz w:val="22"/>
          <w:szCs w:val="22"/>
        </w:rPr>
        <w:t xml:space="preserve"> wartości rynkowej pojazdu z dnia zaistnienia szkody ustalonej według katalogu INFO-EKSPERT.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procedury ustalania wartości pozostałości po szkodach całkowitych</w:t>
      </w:r>
      <w:r>
        <w:rPr>
          <w:rFonts w:ascii="Arial" w:hAnsi="Arial" w:cs="Arial"/>
          <w:sz w:val="22"/>
          <w:szCs w:val="22"/>
        </w:rPr>
        <w:t xml:space="preserve"> - ustalenie wartości pozostałości po szkodzie całkowitej następuje na podstawie </w:t>
      </w:r>
      <w:r>
        <w:rPr>
          <w:rFonts w:ascii="Arial" w:hAnsi="Arial" w:cs="Arial"/>
          <w:sz w:val="22"/>
          <w:szCs w:val="22"/>
        </w:rPr>
        <w:lastRenderedPageBreak/>
        <w:t>postępowania przetargowego przeprowadzonego przez Ubezpieczonego (ze względu na wewnętrzne urzędowe wymogi proceduralne Zamawiającego). Wartość najwyższej zaoferowanej ceny sprzedaży będzie przyjęta do rozliczenia szkody jako wartość rynkowa pozostałości.</w:t>
      </w:r>
    </w:p>
    <w:p w:rsidR="006657B6" w:rsidRDefault="006657B6" w:rsidP="006657B6">
      <w:pPr>
        <w:widowControl w:val="0"/>
        <w:autoSpaceDE w:val="0"/>
        <w:autoSpaceDN w:val="0"/>
        <w:adjustRightInd w:val="0"/>
        <w:spacing w:after="40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gdyby cena sprzedaży była niższa od ustalonej przez Ubezpieczyciela wartości danych pozostałości po szkodzie całkowitej, Ubezpieczyciel dopłaci występującą różnicę po otrzymaniu kopii dokumentu sprzedaży pozostałości od Ubezpieczonego.</w:t>
      </w:r>
    </w:p>
    <w:p w:rsidR="006657B6" w:rsidRDefault="006657B6" w:rsidP="006657B6">
      <w:pPr>
        <w:widowControl w:val="0"/>
        <w:autoSpaceDE w:val="0"/>
        <w:autoSpaceDN w:val="0"/>
        <w:adjustRightInd w:val="0"/>
        <w:spacing w:after="40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gdyby cena sprzedaży była wyższa od ustalonej przez Ubezpieczyciela wartości danych pozostałości po szkodzie całkowitej, Ubezpieczyciel ma prawo do wystąpienia o zwrot wypłaconej różnicy do Ubezpieczonego.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zużycia </w:t>
      </w:r>
      <w:r>
        <w:rPr>
          <w:rFonts w:ascii="Arial" w:hAnsi="Arial" w:cs="Arial"/>
          <w:sz w:val="22"/>
          <w:szCs w:val="22"/>
        </w:rPr>
        <w:t>- w przypadku naliczenia i wypłaty odszkodowania obejmującego takie elementy jak układ wydechowy, elementy cierne oraz elementy układu hamulcowego, akumulator nie uwzględnia się zużycia technicznego i odszkodowanie jest wypłacane do wysokości wartości elementów nowych.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zużycia ogumienia</w:t>
      </w:r>
      <w:r>
        <w:rPr>
          <w:rFonts w:ascii="Arial" w:hAnsi="Arial" w:cs="Arial"/>
          <w:sz w:val="22"/>
          <w:szCs w:val="22"/>
        </w:rPr>
        <w:t xml:space="preserve"> - w przypadku naliczenia i wypłaty odszkodowania za ogumienie nie uwzględnia się ich zużycia technicznego i odszkodowanie jest wypłacane do wysokości wartości elementów nowych.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mienia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zakres ubezpieczenia rozszerzono o szkody w bagażu kierowcy i pasażera powstałe podczas szkody w pojeździe.</w:t>
      </w:r>
    </w:p>
    <w:p w:rsidR="006657B6" w:rsidRDefault="006657B6" w:rsidP="006657B6">
      <w:pPr>
        <w:autoSpaceDE w:val="0"/>
        <w:autoSpaceDN w:val="0"/>
        <w:adjustRightInd w:val="0"/>
        <w:spacing w:after="40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 na wszystkie zdarzenia </w:t>
      </w:r>
      <w:r>
        <w:rPr>
          <w:rFonts w:ascii="Arial" w:hAnsi="Arial" w:cs="Arial"/>
          <w:b/>
          <w:sz w:val="22"/>
          <w:szCs w:val="22"/>
        </w:rPr>
        <w:t>2 000 zł</w:t>
      </w:r>
      <w:r>
        <w:rPr>
          <w:rFonts w:ascii="Arial" w:hAnsi="Arial" w:cs="Arial"/>
          <w:sz w:val="22"/>
          <w:szCs w:val="22"/>
        </w:rPr>
        <w:t xml:space="preserve"> na wszystkie pojazdy w ciągu okresu ubezpieczenia.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regresu</w:t>
      </w:r>
      <w:r>
        <w:rPr>
          <w:rFonts w:ascii="Arial" w:hAnsi="Arial" w:cs="Arial"/>
          <w:sz w:val="22"/>
          <w:szCs w:val="22"/>
        </w:rPr>
        <w:t xml:space="preserve"> - likwidacja szkody na wniosek Ubezpieczonego nastąpi z polisy AC, bez oczekiwania na pokrycie szkody w ramach procedury regresowej.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odzyskania rzeczy</w:t>
      </w:r>
      <w:r>
        <w:rPr>
          <w:rFonts w:ascii="Arial" w:hAnsi="Arial" w:cs="Arial"/>
          <w:sz w:val="22"/>
          <w:szCs w:val="22"/>
        </w:rPr>
        <w:t xml:space="preserve"> - w razie odzyskania utraconego ubezpieczonego pojazdu po wypłacie odszkodowania Ubezpieczony nie jest obowiązany do zwrotu otrzymanego odszkodowania.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prędkości</w:t>
      </w:r>
      <w:r>
        <w:rPr>
          <w:rFonts w:ascii="Arial" w:hAnsi="Arial" w:cs="Arial"/>
          <w:sz w:val="22"/>
          <w:szCs w:val="22"/>
        </w:rPr>
        <w:t xml:space="preserve"> - szkody powstałe w wyniku przekroczenia dozwolonej prędkości, niezachowania właściwej prędkości na drodze nie będą potraktowane jako rażące niedbalstwo kierującego.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naruszenia prawa ruchu drogowego – </w:t>
      </w:r>
      <w:r>
        <w:rPr>
          <w:rFonts w:ascii="Arial" w:hAnsi="Arial" w:cs="Arial"/>
          <w:sz w:val="22"/>
          <w:szCs w:val="22"/>
        </w:rPr>
        <w:t>Ubezpieczyciel nie będzie stosował jakichkolwiek redukcji odszkodowania w przypadku popełnienia przez kierującego pojazdem wykroczenia drogowego, takiego jak: wymuszenie pierwszeństwa przejazdu, wyprzedzanie w miejscu niedozwolonym, wjazd na skrzyżowaniu przy czerwonym/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żółtym świetle, przekroczenie dozwolonej prędkości, rozmowa kierującego w czasie jazdy przez telefon komórkowy, nieprzestrzeganie znaków drogowych STOP, zakaz ruchu, zakaz wjazdu, zakaz zatrzymywania się i postoju.</w:t>
      </w:r>
    </w:p>
    <w:p w:rsidR="006657B6" w:rsidRDefault="006657B6" w:rsidP="006657B6">
      <w:pPr>
        <w:numPr>
          <w:ilvl w:val="1"/>
          <w:numId w:val="6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złamania przepisów prawa ruchu drogowego – </w:t>
      </w:r>
      <w:r>
        <w:rPr>
          <w:rFonts w:ascii="Arial" w:hAnsi="Arial" w:cs="Arial"/>
          <w:sz w:val="22"/>
          <w:szCs w:val="22"/>
        </w:rPr>
        <w:t>Ubezpieczyciel nie będzie stosował jakichkolwiek redukcji odszkodowania w przypadku złamania przez kierującego przepisów prawa ruchu drogowego (nie dotyczy szkód po spożyciu alkoholu, w stanie nietrzeźwości, pod wpływem środków odurzających).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Ubezpieczenie NNW kierowcy i pasażerów</w:t>
      </w:r>
    </w:p>
    <w:p w:rsidR="006657B6" w:rsidRDefault="006657B6" w:rsidP="006657B6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:rsidR="006657B6" w:rsidRDefault="006657B6" w:rsidP="006657B6">
      <w:pPr>
        <w:numPr>
          <w:ilvl w:val="1"/>
          <w:numId w:val="1"/>
        </w:numPr>
        <w:spacing w:after="4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i zakres ubezpieczenia</w:t>
      </w:r>
      <w:r>
        <w:rPr>
          <w:rFonts w:ascii="Arial" w:hAnsi="Arial" w:cs="Arial"/>
          <w:sz w:val="22"/>
          <w:szCs w:val="22"/>
        </w:rPr>
        <w:t>:</w:t>
      </w:r>
    </w:p>
    <w:p w:rsidR="006657B6" w:rsidRDefault="006657B6" w:rsidP="006657B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ubezpieczenia jest trwałe uszkodzenie ciała, rozstrój zdrowia lub śmierć ubezpieczonego powstałe co najmniej w związku z ruchem pojazdów (wymienionych w 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– Załącznik nr 3</w:t>
      </w:r>
      <w:r>
        <w:rPr>
          <w:rFonts w:ascii="Arial" w:hAnsi="Arial" w:cs="Arial"/>
          <w:sz w:val="22"/>
          <w:szCs w:val="22"/>
        </w:rPr>
        <w:t>) lub podczas jego używania (również podczas zatrzymania i postoju), w tym podczas wsiadania i wysiadania z pojazdu, załadunku i rozładunku, naprawy pojazdu. Ubezpieczenie obejmuje co najmniej następujące świadczenia z tytułu:</w:t>
      </w:r>
    </w:p>
    <w:p w:rsidR="006657B6" w:rsidRDefault="006657B6" w:rsidP="006657B6">
      <w:pPr>
        <w:numPr>
          <w:ilvl w:val="6"/>
          <w:numId w:val="1"/>
        </w:numPr>
        <w:spacing w:after="4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trwałego uszczerbku na zdrowiu kierowcy i pasażerów do wysokości </w:t>
      </w:r>
      <w:r>
        <w:rPr>
          <w:rFonts w:ascii="Arial" w:hAnsi="Arial" w:cs="Arial"/>
          <w:b/>
          <w:sz w:val="22"/>
          <w:szCs w:val="22"/>
        </w:rPr>
        <w:t>100 %</w:t>
      </w:r>
      <w:r>
        <w:rPr>
          <w:rFonts w:ascii="Arial" w:hAnsi="Arial" w:cs="Arial"/>
          <w:sz w:val="22"/>
          <w:szCs w:val="22"/>
        </w:rPr>
        <w:t xml:space="preserve"> sumy ubezpieczenia (% sumy ubezpieczenia odpowiada % uszczerbku na zdrowiu)</w:t>
      </w:r>
    </w:p>
    <w:p w:rsidR="006657B6" w:rsidRDefault="006657B6" w:rsidP="006657B6">
      <w:pPr>
        <w:numPr>
          <w:ilvl w:val="6"/>
          <w:numId w:val="1"/>
        </w:numPr>
        <w:spacing w:after="4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śmierci kierowcy lub/i pasażerów do wysokości </w:t>
      </w:r>
      <w:r>
        <w:rPr>
          <w:rFonts w:ascii="Arial" w:hAnsi="Arial" w:cs="Arial"/>
          <w:b/>
          <w:sz w:val="22"/>
          <w:szCs w:val="22"/>
        </w:rPr>
        <w:t>100 %</w:t>
      </w:r>
      <w:r>
        <w:rPr>
          <w:rFonts w:ascii="Arial" w:hAnsi="Arial" w:cs="Arial"/>
          <w:sz w:val="22"/>
          <w:szCs w:val="22"/>
        </w:rPr>
        <w:t xml:space="preserve"> sumy ubezpieczenia</w:t>
      </w:r>
    </w:p>
    <w:p w:rsidR="006657B6" w:rsidRDefault="006657B6" w:rsidP="006657B6">
      <w:pPr>
        <w:numPr>
          <w:ilvl w:val="1"/>
          <w:numId w:val="1"/>
        </w:numPr>
        <w:spacing w:after="40"/>
        <w:ind w:left="1701" w:right="21" w:hanging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Zakres terytorialny: </w:t>
      </w:r>
    </w:p>
    <w:p w:rsidR="006657B6" w:rsidRDefault="006657B6" w:rsidP="006657B6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Rzeczpospolita Polska + Europa - z tym, że w przypadku pojazdów z pozycji nr  3, 5, 8, 10, 11, 13, 19, 22-24.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>
        <w:rPr>
          <w:rFonts w:ascii="Arial" w:hAnsi="Arial" w:cs="Arial"/>
          <w:sz w:val="22"/>
          <w:szCs w:val="22"/>
        </w:rPr>
        <w:t xml:space="preserve">obowiązuje zakres RP. </w:t>
      </w:r>
      <w:r>
        <w:rPr>
          <w:rFonts w:ascii="Arial" w:hAnsi="Arial" w:cs="Arial"/>
          <w:sz w:val="22"/>
          <w:szCs w:val="22"/>
          <w:lang w:eastAsia="en-US"/>
        </w:rPr>
        <w:t xml:space="preserve">Ubezpieczenie NNW nie dotyczy pojazdów w </w:t>
      </w:r>
      <w:r>
        <w:rPr>
          <w:rFonts w:ascii="Arial" w:hAnsi="Arial" w:cs="Arial"/>
          <w:sz w:val="22"/>
          <w:szCs w:val="22"/>
        </w:rPr>
        <w:t xml:space="preserve">pozycji nr 6, 9, i 32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</w:p>
    <w:p w:rsidR="006657B6" w:rsidRDefault="006657B6" w:rsidP="006657B6">
      <w:pPr>
        <w:numPr>
          <w:ilvl w:val="1"/>
          <w:numId w:val="1"/>
        </w:numPr>
        <w:tabs>
          <w:tab w:val="num" w:pos="1724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Suma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tabs>
          <w:tab w:val="num" w:pos="1724"/>
        </w:tabs>
        <w:spacing w:after="40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15.000,00 PLN</w:t>
      </w:r>
      <w:r>
        <w:rPr>
          <w:rFonts w:ascii="Arial" w:hAnsi="Arial" w:cs="Arial"/>
          <w:sz w:val="22"/>
          <w:szCs w:val="22"/>
        </w:rPr>
        <w:t xml:space="preserve"> na każde miejsce</w:t>
      </w:r>
    </w:p>
    <w:p w:rsidR="006657B6" w:rsidRDefault="006657B6" w:rsidP="006657B6">
      <w:pPr>
        <w:numPr>
          <w:ilvl w:val="1"/>
          <w:numId w:val="1"/>
        </w:numPr>
        <w:spacing w:after="40"/>
        <w:ind w:left="1701" w:right="21" w:hanging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 miesięczne</w:t>
      </w:r>
      <w:r>
        <w:rPr>
          <w:rFonts w:ascii="Arial" w:hAnsi="Arial" w:cs="Arial"/>
          <w:sz w:val="22"/>
          <w:szCs w:val="22"/>
        </w:rPr>
        <w:t xml:space="preserve"> okresy ubezpieczenia określone indywidualnie dla każdego pojazdu i wskazane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sukcesywnie w trakcie trwania umowy.</w:t>
      </w:r>
    </w:p>
    <w:p w:rsidR="006657B6" w:rsidRDefault="006657B6" w:rsidP="006657B6">
      <w:pPr>
        <w:numPr>
          <w:ilvl w:val="1"/>
          <w:numId w:val="1"/>
        </w:numPr>
        <w:tabs>
          <w:tab w:val="num" w:pos="1724"/>
        </w:tabs>
        <w:spacing w:after="40"/>
        <w:ind w:left="1701" w:hanging="1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szczególne mające zastosowanie:</w:t>
      </w:r>
      <w:r>
        <w:rPr>
          <w:rFonts w:ascii="Arial" w:hAnsi="Arial" w:cs="Arial"/>
          <w:b/>
          <w:sz w:val="22"/>
          <w:szCs w:val="22"/>
        </w:rPr>
        <w:tab/>
      </w:r>
    </w:p>
    <w:p w:rsidR="006657B6" w:rsidRDefault="006657B6" w:rsidP="006657B6">
      <w:pPr>
        <w:widowControl w:val="0"/>
        <w:numPr>
          <w:ilvl w:val="2"/>
          <w:numId w:val="1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nie zawiadomienia w terminie o szkodzie</w:t>
      </w:r>
      <w:r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 odpowiednim terminie, mają zastosowanie tylko w sytuacji, kiedy nie zawiadomienie w terminie przyczyniło się do zwiększenia szkody lub uniemożliwiło Ubezpieczycielowi ustalenie okoliczności i skutków bądź rozmiaru szkody.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Ubezpieczenie Assistance </w:t>
      </w:r>
    </w:p>
    <w:p w:rsidR="006657B6" w:rsidRDefault="006657B6" w:rsidP="006657B6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:rsidR="006657B6" w:rsidRDefault="006657B6" w:rsidP="006657B6">
      <w:pPr>
        <w:numPr>
          <w:ilvl w:val="1"/>
          <w:numId w:val="11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ubezpieczenia:</w:t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pojazdy wraz z wyposażeniem (podstawowym i dodatkowym) wymienione w</w:t>
      </w:r>
      <w:r>
        <w:rPr>
          <w:rFonts w:ascii="Arial" w:hAnsi="Arial" w:cs="Arial"/>
          <w:b/>
          <w:sz w:val="22"/>
          <w:szCs w:val="22"/>
        </w:rPr>
        <w:t xml:space="preserve"> 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</w:p>
    <w:p w:rsidR="006657B6" w:rsidRDefault="006657B6" w:rsidP="006657B6">
      <w:pPr>
        <w:numPr>
          <w:ilvl w:val="1"/>
          <w:numId w:val="11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terytorialny: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57B6" w:rsidRDefault="006657B6" w:rsidP="006657B6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Rzeczpospolita Polska (RP) + Europa z tym, że w przypadku pojazdów z pozycji nr 3, 5, 8, 9, 10, 11, 13, 19, 22-24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formularzu cenowym – Załącznik nr 3 </w:t>
      </w:r>
      <w:r>
        <w:rPr>
          <w:rFonts w:ascii="Arial" w:hAnsi="Arial" w:cs="Arial"/>
          <w:sz w:val="22"/>
          <w:szCs w:val="22"/>
        </w:rPr>
        <w:t xml:space="preserve">obowiązuje zakres RP. </w:t>
      </w:r>
      <w:r>
        <w:rPr>
          <w:rFonts w:ascii="Arial" w:hAnsi="Arial" w:cs="Arial"/>
          <w:sz w:val="22"/>
          <w:szCs w:val="22"/>
          <w:lang w:eastAsia="en-US"/>
        </w:rPr>
        <w:t>Ubezpieczenie Assistance nie dotyczy pojazdu w </w:t>
      </w:r>
      <w:r>
        <w:rPr>
          <w:rFonts w:ascii="Arial" w:hAnsi="Arial" w:cs="Arial"/>
          <w:sz w:val="22"/>
          <w:szCs w:val="22"/>
        </w:rPr>
        <w:t xml:space="preserve">pozycji nr 6 w 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3.</w:t>
      </w:r>
      <w:r>
        <w:rPr>
          <w:rFonts w:ascii="Arial" w:hAnsi="Arial" w:cs="Arial"/>
          <w:sz w:val="22"/>
          <w:szCs w:val="22"/>
          <w:lang w:eastAsia="en-US"/>
        </w:rPr>
        <w:t xml:space="preserve"> W razie szkody, jeśli Ubezpieczyciel nie może zagwarantować zorganizowania pomocy oraz świadczeń spełniających wymagania określone w rozdziale VII, możliwe jest odstępstwo poprzez przyjęcie fakultatywnej klauzuli świadczeń assistance.</w:t>
      </w:r>
    </w:p>
    <w:p w:rsidR="006657B6" w:rsidRDefault="006657B6" w:rsidP="006657B6">
      <w:pPr>
        <w:numPr>
          <w:ilvl w:val="1"/>
          <w:numId w:val="11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Okres ubezpieczenia: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57B6" w:rsidRDefault="006657B6" w:rsidP="006657B6">
      <w:pPr>
        <w:spacing w:after="40"/>
        <w:ind w:left="709" w:right="2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okresy ochrony ubezpieczeniowej będą obejmowały </w:t>
      </w:r>
      <w:r>
        <w:rPr>
          <w:rFonts w:ascii="Arial" w:hAnsi="Arial" w:cs="Arial"/>
          <w:b/>
          <w:sz w:val="22"/>
          <w:szCs w:val="22"/>
        </w:rPr>
        <w:t>12 miesięczne</w:t>
      </w:r>
      <w:r>
        <w:rPr>
          <w:rFonts w:ascii="Arial" w:hAnsi="Arial" w:cs="Arial"/>
          <w:sz w:val="22"/>
          <w:szCs w:val="22"/>
        </w:rPr>
        <w:t xml:space="preserve"> okresy ubezpieczenia określone indywidualnie dla każdego pojazdu i wskazane w </w:t>
      </w:r>
      <w:r>
        <w:rPr>
          <w:rFonts w:ascii="Arial" w:hAnsi="Arial" w:cs="Arial"/>
          <w:b/>
          <w:sz w:val="22"/>
          <w:szCs w:val="22"/>
        </w:rPr>
        <w:t>wykazie pojazdów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formularzu cenowym - Załącznik nr 3</w:t>
      </w:r>
      <w:r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sukcesywnie w trakcie trwania umowy.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657B6" w:rsidRDefault="006657B6" w:rsidP="006657B6">
      <w:pPr>
        <w:numPr>
          <w:ilvl w:val="1"/>
          <w:numId w:val="11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Zakres ubezpieczenia:</w:t>
      </w:r>
      <w:r>
        <w:rPr>
          <w:rFonts w:ascii="Arial" w:hAnsi="Arial" w:cs="Arial"/>
          <w:bCs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  <w:lang w:eastAsia="en-US"/>
        </w:rPr>
        <w:t>bejmuje co najmniej zdarzenia polegające na:</w:t>
      </w:r>
    </w:p>
    <w:p w:rsidR="006657B6" w:rsidRDefault="006657B6" w:rsidP="006657B6">
      <w:pPr>
        <w:numPr>
          <w:ilvl w:val="2"/>
          <w:numId w:val="11"/>
        </w:numPr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wystąpieniu w pojeździe zdarzenia objętego zakresem ubezpieczenia pojazdów mechanicznych od utraty, zniszczenia lub uszkodzenia (Autocasco),</w:t>
      </w:r>
      <w:r>
        <w:rPr>
          <w:rFonts w:ascii="Arial" w:hAnsi="Arial" w:cs="Arial"/>
          <w:sz w:val="22"/>
          <w:szCs w:val="22"/>
        </w:rPr>
        <w:t xml:space="preserve"> powodującego unieruchomienie pojazdu,</w:t>
      </w:r>
      <w:r>
        <w:rPr>
          <w:rFonts w:ascii="Arial" w:hAnsi="Arial" w:cs="Arial"/>
          <w:sz w:val="22"/>
          <w:szCs w:val="22"/>
          <w:lang w:eastAsia="en-US"/>
        </w:rPr>
        <w:t xml:space="preserve"> uniemożliwiającego kontynuowanie podróży lub powrót do siedziby Ubezpieczonego,</w:t>
      </w:r>
    </w:p>
    <w:p w:rsidR="006657B6" w:rsidRDefault="006657B6" w:rsidP="006657B6">
      <w:pPr>
        <w:numPr>
          <w:ilvl w:val="2"/>
          <w:numId w:val="11"/>
        </w:numPr>
        <w:spacing w:after="40"/>
        <w:ind w:right="2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wystąpieniu w pojeździe awarii uniemożliwiającej kontynuowanie podróży lub powrót do siedziby Ubezpieczonego,</w:t>
      </w:r>
    </w:p>
    <w:p w:rsidR="006657B6" w:rsidRDefault="006657B6" w:rsidP="006657B6">
      <w:pPr>
        <w:numPr>
          <w:ilvl w:val="2"/>
          <w:numId w:val="11"/>
        </w:numPr>
        <w:spacing w:after="40"/>
        <w:ind w:right="2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unieruchomieniu pojazdu na skutek rozładowania akumulatora, utraty lub uszkodzenia kluczy (fabrycznych urządzeń) służących do otwarcia i uruchomienia </w:t>
      </w: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pojazdu, przebicia opony, jak również braku lub niewłaściwego paliwa w zbiorniku pojazdu.</w:t>
      </w:r>
    </w:p>
    <w:p w:rsidR="006657B6" w:rsidRDefault="006657B6" w:rsidP="006657B6">
      <w:pPr>
        <w:spacing w:after="40"/>
        <w:ind w:left="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wystąpienia któregoś z powyższych zdarzeń, </w:t>
      </w:r>
      <w:r>
        <w:rPr>
          <w:rFonts w:ascii="Arial" w:hAnsi="Arial" w:cs="Arial"/>
          <w:b/>
          <w:color w:val="000000"/>
          <w:sz w:val="22"/>
          <w:szCs w:val="22"/>
        </w:rPr>
        <w:t>Ubezpieczyciel co najmniej:</w:t>
      </w:r>
    </w:p>
    <w:p w:rsidR="006657B6" w:rsidRDefault="006657B6" w:rsidP="006657B6">
      <w:pPr>
        <w:spacing w:after="40"/>
        <w:ind w:left="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Bez względu na odległość miejsca zdarzenia od siedziby firmy ubezpieczonego pojazdu: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organizuje i pokrywa koszty naprawy pojazdu w miejscu wystąpienia zdarzenia objętego ochroną ubezpieczeniową przez specjalistę uprawnionego do tego przez Ubezpieczyciela (z wyłączeniem kosztów paliwa i części zamiennych użytych do naprawy). Gdy dokonanie naprawy pojazdu nie jest możliwe w miejscu wystąpienia zdarzenia, Ubezpieczyciel organizuje holowanie pojazdu zgodnie z wyborem Ubezpieczonego do:</w:t>
      </w:r>
    </w:p>
    <w:p w:rsidR="006657B6" w:rsidRDefault="006657B6" w:rsidP="006657B6">
      <w:pPr>
        <w:numPr>
          <w:ilvl w:val="0"/>
          <w:numId w:val="13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najbliższego punktu obsługi (w przypadku wystąpienia zdarzenia z </w:t>
      </w:r>
      <w:r>
        <w:rPr>
          <w:rFonts w:ascii="Arial" w:hAnsi="Arial" w:cs="Arial"/>
          <w:b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 pkt 1, 2 i 3</w:t>
      </w:r>
      <w:r>
        <w:rPr>
          <w:rFonts w:ascii="Arial" w:hAnsi="Arial" w:cs="Arial"/>
          <w:sz w:val="22"/>
          <w:szCs w:val="22"/>
        </w:rPr>
        <w:t>),</w:t>
      </w:r>
    </w:p>
    <w:p w:rsidR="006657B6" w:rsidRDefault="006657B6" w:rsidP="006657B6">
      <w:pPr>
        <w:numPr>
          <w:ilvl w:val="0"/>
          <w:numId w:val="13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miejsca zamieszkania, lub siedziby firmy Ubezpieczonego (w przypadku wystąpienia zdarzenia z </w:t>
      </w:r>
      <w:r>
        <w:rPr>
          <w:rFonts w:ascii="Arial" w:hAnsi="Arial" w:cs="Arial"/>
          <w:b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 pkt 1 i 2</w:t>
      </w:r>
      <w:r>
        <w:rPr>
          <w:rFonts w:ascii="Arial" w:hAnsi="Arial" w:cs="Arial"/>
          <w:sz w:val="22"/>
          <w:szCs w:val="22"/>
        </w:rPr>
        <w:t>).</w:t>
      </w:r>
    </w:p>
    <w:p w:rsidR="006657B6" w:rsidRDefault="006657B6" w:rsidP="006657B6">
      <w:pPr>
        <w:pStyle w:val="Akapitzlist"/>
        <w:autoSpaceDE w:val="0"/>
        <w:autoSpaceDN w:val="0"/>
        <w:adjustRightInd w:val="0"/>
        <w:spacing w:after="40"/>
        <w:ind w:left="1080"/>
        <w:jc w:val="both"/>
        <w:rPr>
          <w:rFonts w:ascii="Arial" w:hAnsi="Arial" w:cs="Arial"/>
        </w:rPr>
      </w:pPr>
      <w:r>
        <w:rPr>
          <w:rFonts w:ascii="Arial" w:eastAsia="NimbusSanLCE-Reg" w:hAnsi="Arial" w:cs="Arial"/>
        </w:rPr>
        <w:t xml:space="preserve">Limit odległości dla usługi holowania nie może być mniejszy niż </w:t>
      </w:r>
      <w:r>
        <w:rPr>
          <w:rFonts w:ascii="Arial" w:eastAsia="NimbusSanLCE-Reg" w:hAnsi="Arial" w:cs="Arial"/>
          <w:b/>
        </w:rPr>
        <w:t>400 km</w:t>
      </w:r>
      <w:r>
        <w:rPr>
          <w:rFonts w:ascii="Arial" w:eastAsia="NimbusSanLCE-Reg" w:hAnsi="Arial" w:cs="Arial"/>
        </w:rPr>
        <w:t xml:space="preserve"> </w:t>
      </w:r>
      <w:r>
        <w:rPr>
          <w:rFonts w:ascii="Arial" w:eastAsia="NimbusSanLCE-Reg" w:hAnsi="Arial" w:cs="Arial"/>
          <w:b/>
          <w:u w:val="single"/>
        </w:rPr>
        <w:t>na terenie RP</w:t>
      </w:r>
      <w:r>
        <w:rPr>
          <w:rFonts w:ascii="Arial" w:eastAsia="NimbusSanLCE-Reg" w:hAnsi="Arial" w:cs="Arial"/>
        </w:rPr>
        <w:t xml:space="preserve"> </w:t>
      </w:r>
      <w:r>
        <w:rPr>
          <w:rFonts w:ascii="Arial" w:hAnsi="Arial" w:cs="Arial"/>
        </w:rPr>
        <w:t xml:space="preserve">dla pojazdów z pozycji nr </w:t>
      </w:r>
      <w:r>
        <w:rPr>
          <w:rFonts w:ascii="Arial" w:hAnsi="Arial" w:cs="Arial"/>
          <w:b/>
        </w:rPr>
        <w:t>1-5, 7-</w:t>
      </w:r>
      <w:r w:rsidR="000E2198" w:rsidRPr="000E2198">
        <w:rPr>
          <w:rFonts w:ascii="Arial" w:hAnsi="Arial" w:cs="Arial"/>
          <w:b/>
          <w:color w:val="0000FF"/>
        </w:rPr>
        <w:t>38</w:t>
      </w:r>
      <w:r w:rsidR="000E2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wykazie pojazdów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formularzu cenowym – Załącznik nr 3, </w:t>
      </w:r>
      <w:r>
        <w:rPr>
          <w:rFonts w:ascii="Arial" w:hAnsi="Arial" w:cs="Arial"/>
        </w:rPr>
        <w:t xml:space="preserve">w przypadku wystąpienia zdarzenia z </w:t>
      </w:r>
      <w:r>
        <w:rPr>
          <w:rFonts w:ascii="Arial" w:hAnsi="Arial" w:cs="Arial"/>
          <w:b/>
        </w:rPr>
        <w:t>ust.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1.4 pkt 1 i 2</w:t>
      </w:r>
      <w:r>
        <w:rPr>
          <w:rFonts w:ascii="Arial" w:hAnsi="Arial" w:cs="Arial"/>
        </w:rPr>
        <w:t>,</w:t>
      </w:r>
    </w:p>
    <w:p w:rsidR="006657B6" w:rsidRDefault="006657B6" w:rsidP="006657B6">
      <w:pPr>
        <w:pStyle w:val="Akapitzlist"/>
        <w:autoSpaceDE w:val="0"/>
        <w:autoSpaceDN w:val="0"/>
        <w:adjustRightInd w:val="0"/>
        <w:spacing w:after="4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Limit odległości dla usługi holowania nie może być mniejszy niż </w:t>
      </w:r>
      <w:r>
        <w:rPr>
          <w:rFonts w:ascii="Arial" w:hAnsi="Arial" w:cs="Arial"/>
          <w:b/>
        </w:rPr>
        <w:t>1000 km</w:t>
      </w:r>
      <w:r>
        <w:rPr>
          <w:rFonts w:ascii="Arial" w:hAnsi="Arial" w:cs="Arial"/>
        </w:rPr>
        <w:t xml:space="preserve"> </w:t>
      </w:r>
      <w:r>
        <w:rPr>
          <w:rFonts w:ascii="Arial" w:eastAsia="NimbusSanLCE-Reg" w:hAnsi="Arial" w:cs="Arial"/>
          <w:b/>
          <w:u w:val="single"/>
        </w:rPr>
        <w:t>na terenie Europy</w:t>
      </w:r>
      <w:r>
        <w:rPr>
          <w:rFonts w:ascii="Arial" w:eastAsia="NimbusSanLCE-Reg" w:hAnsi="Arial" w:cs="Arial"/>
        </w:rPr>
        <w:t>:</w:t>
      </w:r>
      <w:r>
        <w:rPr>
          <w:rFonts w:ascii="Arial" w:hAnsi="Arial" w:cs="Arial"/>
        </w:rPr>
        <w:t xml:space="preserve"> dla pojazdów z pozycji nr </w:t>
      </w:r>
      <w:r>
        <w:rPr>
          <w:rFonts w:ascii="Arial" w:hAnsi="Arial" w:cs="Arial"/>
          <w:b/>
        </w:rPr>
        <w:t xml:space="preserve"> 1, 2, 4, 7, 12, 14-18, 20-21, 25-</w:t>
      </w:r>
      <w:r w:rsidR="000E2198" w:rsidRPr="000E2198">
        <w:rPr>
          <w:rFonts w:ascii="Arial" w:hAnsi="Arial" w:cs="Arial"/>
          <w:b/>
          <w:color w:val="0000FF"/>
        </w:rPr>
        <w:t>38</w:t>
      </w:r>
      <w:r w:rsidR="000E21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wykazie pojazdów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formularzu cenowym – Załącznik nr 3, </w:t>
      </w:r>
      <w:r>
        <w:rPr>
          <w:rFonts w:ascii="Arial" w:hAnsi="Arial" w:cs="Arial"/>
        </w:rPr>
        <w:t xml:space="preserve">w przypadku wystąpienia zdarzenia z </w:t>
      </w:r>
      <w:r>
        <w:rPr>
          <w:rFonts w:ascii="Arial" w:hAnsi="Arial" w:cs="Arial"/>
          <w:b/>
        </w:rPr>
        <w:t>ust.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pkt 1 i 2</w:t>
      </w:r>
      <w:r>
        <w:rPr>
          <w:rFonts w:ascii="Arial" w:hAnsi="Arial" w:cs="Arial"/>
        </w:rPr>
        <w:t>,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  <w:tab w:val="num" w:pos="993"/>
        </w:tabs>
        <w:autoSpaceDE w:val="0"/>
        <w:autoSpaceDN w:val="0"/>
        <w:adjustRightInd w:val="0"/>
        <w:spacing w:after="40"/>
        <w:ind w:left="963"/>
        <w:jc w:val="both"/>
        <w:rPr>
          <w:rFonts w:ascii="Arial" w:eastAsia="NimbusSanLCE-Reg" w:hAnsi="Arial" w:cs="Arial"/>
          <w:sz w:val="22"/>
          <w:szCs w:val="22"/>
        </w:rPr>
      </w:pPr>
      <w:r>
        <w:rPr>
          <w:rFonts w:ascii="Arial" w:eastAsia="NimbusSanLCE-Reg" w:hAnsi="Arial" w:cs="Arial"/>
          <w:sz w:val="22"/>
          <w:szCs w:val="22"/>
        </w:rPr>
        <w:t xml:space="preserve">organizuje i pokrywa koszty parkingu strzeżonego </w:t>
      </w:r>
      <w:r>
        <w:rPr>
          <w:rFonts w:ascii="Arial" w:eastAsia="NimbusSanLCE-Reg" w:hAnsi="Arial" w:cs="Arial"/>
          <w:b/>
          <w:sz w:val="22"/>
          <w:szCs w:val="22"/>
        </w:rPr>
        <w:t>w przypadku wystąpienia zdarzeń z ust. 4 pkt 1 i 2</w:t>
      </w:r>
      <w:r>
        <w:rPr>
          <w:rFonts w:ascii="Arial" w:hAnsi="Arial" w:cs="Arial"/>
          <w:sz w:val="22"/>
          <w:szCs w:val="22"/>
        </w:rPr>
        <w:t xml:space="preserve"> poza godzinami pracy warsztatu (np. w porze nocnej lub w dni wolne od pracy),</w:t>
      </w:r>
    </w:p>
    <w:p w:rsidR="006657B6" w:rsidRDefault="006657B6" w:rsidP="006657B6">
      <w:pPr>
        <w:spacing w:before="120" w:after="40"/>
        <w:ind w:left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Dodatkowo w</w:t>
      </w:r>
      <w:r>
        <w:rPr>
          <w:rFonts w:ascii="Arial" w:hAnsi="Arial" w:cs="Arial"/>
          <w:b/>
          <w:sz w:val="22"/>
          <w:szCs w:val="22"/>
        </w:rPr>
        <w:t xml:space="preserve"> przypadku, gdy punkt naprawy lub miejsca zdarzenia jest położony w odległości nie mniejszej niż 50 km w linii prostej od siedziby firmy ubezpieczonego pojazdu: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organizuje zakwaterowanie i pokrywa koszty zakwaterowania Ubezpieczonego oraz pasażerów pojazdu (w liczbie ograniczonej do liczby miejsc wpisanej w dowodzie rejestracyjnym pojazdu) w najbliższym hotelu średniej kategorii (dwu- lub trzygwiazdkowym) na okres naprawy pojazdu, jednak nie dłuższy niż 3 doby hotelowe, do łącznej kwoty w złotych odpowiadającej równowartości 100 EURO za osobę na dobę; niniejsza usługa nie łączy się z usługą przewozu w ppkt. d),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>
        <w:rPr>
          <w:rFonts w:ascii="Arial" w:eastAsia="NimbusSanLCE-Reg" w:hAnsi="Arial" w:cs="Arial"/>
          <w:sz w:val="22"/>
          <w:szCs w:val="22"/>
        </w:rPr>
        <w:t>organizuje przejazd i pokrywa (w formie dokonania zakupu i dostarczenia Ubezpieczonemu biletu kolejowego pierwszej klasy lub biletu autobusowego) koszty przejazdu Ubezpieczonego oraz pasażerów pojazdu (w liczbie ograniczonej do liczby miejsc wpisanej w dowodzie rejestracyjnym pojazdu) do miejsca docelowego podroży lub siedziby firmy Ubezpieczonego, z zastrzeżeniem postanowień ppkt. c</w:t>
      </w:r>
      <w:r>
        <w:rPr>
          <w:rFonts w:ascii="Arial" w:hAnsi="Arial" w:cs="Arial"/>
          <w:sz w:val="22"/>
          <w:szCs w:val="22"/>
        </w:rPr>
        <w:t xml:space="preserve"> i e),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>
        <w:rPr>
          <w:rFonts w:ascii="Arial" w:eastAsia="NimbusSanLCE-Reg" w:hAnsi="Arial" w:cs="Arial"/>
          <w:sz w:val="22"/>
          <w:szCs w:val="22"/>
        </w:rPr>
        <w:t xml:space="preserve">zapewnia Ubezpieczonemu samochód zastępczy oraz pokrywa koszty jego wynajęcia </w:t>
      </w:r>
      <w:r>
        <w:rPr>
          <w:rFonts w:ascii="Arial" w:hAnsi="Arial" w:cs="Arial"/>
          <w:sz w:val="22"/>
          <w:szCs w:val="22"/>
        </w:rPr>
        <w:t>na okres nie krótszy niż 3 dni -</w:t>
      </w:r>
      <w:r>
        <w:rPr>
          <w:rFonts w:ascii="Arial" w:eastAsia="NimbusSanLCE-Reg" w:hAnsi="Arial" w:cs="Arial"/>
          <w:b/>
          <w:sz w:val="22"/>
          <w:szCs w:val="22"/>
        </w:rPr>
        <w:t>w przypadku wystąpienia zdarzenia z ust. 4 pkt 1 i 2;</w:t>
      </w:r>
    </w:p>
    <w:p w:rsidR="006657B6" w:rsidRDefault="006657B6" w:rsidP="006657B6">
      <w:pPr>
        <w:autoSpaceDE w:val="0"/>
        <w:autoSpaceDN w:val="0"/>
        <w:adjustRightInd w:val="0"/>
        <w:spacing w:after="40"/>
        <w:ind w:left="964"/>
        <w:contextualSpacing/>
        <w:jc w:val="both"/>
        <w:rPr>
          <w:rFonts w:ascii="Arial" w:eastAsia="NimbusSanLCE-Reg" w:hAnsi="Arial" w:cs="Arial"/>
          <w:sz w:val="22"/>
          <w:szCs w:val="22"/>
        </w:rPr>
      </w:pPr>
      <w:r>
        <w:rPr>
          <w:rFonts w:ascii="Arial" w:eastAsia="NimbusSanLCE-Reg" w:hAnsi="Arial" w:cs="Arial"/>
          <w:sz w:val="22"/>
          <w:szCs w:val="22"/>
        </w:rPr>
        <w:t xml:space="preserve">niniejsza usługa </w:t>
      </w:r>
      <w:r>
        <w:rPr>
          <w:rFonts w:ascii="Arial" w:hAnsi="Arial" w:cs="Arial"/>
          <w:sz w:val="22"/>
          <w:szCs w:val="22"/>
        </w:rPr>
        <w:t>nie łączy się z usługą przewozu w ppkt. d),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>
        <w:rPr>
          <w:rFonts w:ascii="Arial" w:eastAsia="NimbusSanLCE-Reg" w:hAnsi="Arial" w:cs="Arial"/>
          <w:sz w:val="22"/>
          <w:szCs w:val="22"/>
        </w:rPr>
        <w:t xml:space="preserve">organizuje i pokrywa koszty odbioru naprawionego pojazdu i dostarczenia go do miejsca docelowego podroży lub miejsca zamieszkania lub siedziby firmy Ubezpieczonego lub organizuje i pokrywa koszty przejazdu jednej osoby po odbiór </w:t>
      </w:r>
      <w:r>
        <w:rPr>
          <w:rFonts w:ascii="Arial" w:hAnsi="Arial" w:cs="Arial"/>
          <w:sz w:val="22"/>
          <w:szCs w:val="22"/>
        </w:rPr>
        <w:t xml:space="preserve">naprawionego pojazdu w związku z wypadkiem, awarią pojazdu lub po odbiór pojazdu </w:t>
      </w:r>
      <w:r>
        <w:rPr>
          <w:rFonts w:ascii="Arial" w:eastAsia="NimbusSanLCE-Reg" w:hAnsi="Arial" w:cs="Arial"/>
          <w:sz w:val="22"/>
          <w:szCs w:val="22"/>
        </w:rPr>
        <w:t>odzyskanego po kradzieży,</w:t>
      </w:r>
    </w:p>
    <w:p w:rsidR="006657B6" w:rsidRDefault="006657B6" w:rsidP="006657B6">
      <w:pPr>
        <w:numPr>
          <w:ilvl w:val="0"/>
          <w:numId w:val="12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NimbusSanLCE-Reg" w:hAnsi="Arial" w:cs="Arial"/>
          <w:color w:val="000000"/>
          <w:sz w:val="22"/>
          <w:szCs w:val="22"/>
        </w:rPr>
        <w:lastRenderedPageBreak/>
        <w:t>w razie wystąpienia szkody całkowitej, Ubezpieczyciel na wniosek Ubezpieczonego organizuje i pokrywa koszty legalnego złomowania pojazdu o ile pozostałości nie przedstawiają wartości rynkowej.</w:t>
      </w:r>
    </w:p>
    <w:p w:rsidR="006657B6" w:rsidRDefault="006657B6" w:rsidP="006657B6">
      <w:pPr>
        <w:numPr>
          <w:ilvl w:val="1"/>
          <w:numId w:val="11"/>
        </w:numPr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Warunki szczególne mające zastosowanie:</w:t>
      </w:r>
      <w:r>
        <w:rPr>
          <w:rFonts w:ascii="Arial" w:hAnsi="Arial" w:cs="Arial"/>
          <w:b/>
          <w:sz w:val="22"/>
          <w:szCs w:val="22"/>
        </w:rPr>
        <w:tab/>
      </w:r>
    </w:p>
    <w:p w:rsidR="006657B6" w:rsidRDefault="006657B6" w:rsidP="006657B6">
      <w:pPr>
        <w:numPr>
          <w:ilvl w:val="2"/>
          <w:numId w:val="11"/>
        </w:numPr>
        <w:tabs>
          <w:tab w:val="left" w:pos="709"/>
        </w:tabs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klauzula nie zawiadomienia w terminie o szkodzie</w:t>
      </w:r>
      <w:r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 odpowiednim terminie, mają zastosowanie tylko w sytuacji, kiedy nie zawiadomienie w terminie przyczyniło się do zwiększenia szkody lub uniemożliwiło Ubezpieczycielowi ustalenie okoliczności i skutków bądź rozmiaru szkody</w:t>
      </w:r>
    </w:p>
    <w:p w:rsidR="006657B6" w:rsidRDefault="006657B6" w:rsidP="006657B6">
      <w:pPr>
        <w:widowControl w:val="0"/>
        <w:numPr>
          <w:ilvl w:val="2"/>
          <w:numId w:val="11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lauzula odstąpienia od prawa do regresu - </w:t>
      </w:r>
      <w:r>
        <w:rPr>
          <w:rFonts w:ascii="Arial" w:hAnsi="Arial" w:cs="Arial"/>
          <w:sz w:val="22"/>
          <w:szCs w:val="22"/>
        </w:rPr>
        <w:t>Ubezpieczyciel zrzeka się prawa do regresu stosunku do osób uprawnionych do korzystania z pojazdu, za szkody wyrządzone przez te osoby. Zrzeczenie się prawa do regresu nie ma zastosowania, gdy osoby te wyrządziły szkodę umyślnie lub w stanie po spożyciu alkoholu albo pod wpływem środków odurzających, substancji psychotropowych lub środków zastępczych w rozumieniu przepisów o przeciwdziałaniu narkomanii.</w:t>
      </w:r>
    </w:p>
    <w:p w:rsidR="006657B6" w:rsidRDefault="006657B6" w:rsidP="006657B6">
      <w:pPr>
        <w:spacing w:before="240" w:after="12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Warunki ubezpieczenia fakultatywne</w:t>
      </w:r>
    </w:p>
    <w:p w:rsidR="006657B6" w:rsidRDefault="006657B6" w:rsidP="006657B6">
      <w:pPr>
        <w:pStyle w:val="WW-Tekstpodstawowywcity2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świadczeń assistance</w:t>
      </w:r>
      <w:r>
        <w:rPr>
          <w:rFonts w:ascii="Arial" w:hAnsi="Arial" w:cs="Arial"/>
          <w:sz w:val="22"/>
          <w:szCs w:val="22"/>
        </w:rPr>
        <w:t xml:space="preserve"> - jeżeli Wykonawca nie jest w stanie zorganizować pomocy oraz świadczeń określonych w rozdziale VII, wówczas pokryje koszty poniesione przez Zamawiającego, który zorganizuje je we własnym zakresie. Odpowiedzialność na podstawie niniejszej klauzuli ograniczona jest do limitu 5 000,00 zł na każdy pojazd. W przypadku korzystania z powyższego limitu Zamawiającego nie będą ograniczały inne limity określone w niniejszym załączniku oraz OWU Wykonawcy.</w:t>
      </w:r>
    </w:p>
    <w:p w:rsidR="006657B6" w:rsidRDefault="006657B6" w:rsidP="006657B6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Informacje dodatkowe:</w:t>
      </w:r>
    </w:p>
    <w:p w:rsidR="006657B6" w:rsidRDefault="006657B6" w:rsidP="006657B6">
      <w:pPr>
        <w:numPr>
          <w:ilvl w:val="0"/>
          <w:numId w:val="15"/>
        </w:numPr>
        <w:tabs>
          <w:tab w:val="left" w:pos="1800"/>
        </w:tabs>
        <w:spacing w:before="120" w:after="40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szkodowości wg załączonych zaświadczeń od Ubezpieczycieli zgodnie z załącznikiem 1b.1.</w:t>
      </w:r>
    </w:p>
    <w:p w:rsidR="00851C88" w:rsidRDefault="00851C88"/>
    <w:sectPr w:rsidR="00851C88" w:rsidSect="00476700">
      <w:footerReference w:type="default" r:id="rId8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CE" w:rsidRDefault="00834CCE" w:rsidP="006657B6">
      <w:r>
        <w:separator/>
      </w:r>
    </w:p>
  </w:endnote>
  <w:endnote w:type="continuationSeparator" w:id="0">
    <w:p w:rsidR="00834CCE" w:rsidRDefault="00834CCE" w:rsidP="0066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25264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76700" w:rsidRPr="00476700" w:rsidRDefault="00476700">
            <w:pPr>
              <w:pStyle w:val="Stopka"/>
              <w:jc w:val="center"/>
              <w:rPr>
                <w:sz w:val="20"/>
              </w:rPr>
            </w:pPr>
            <w:r w:rsidRPr="00476700">
              <w:rPr>
                <w:b/>
                <w:sz w:val="20"/>
              </w:rPr>
              <w:fldChar w:fldCharType="begin"/>
            </w:r>
            <w:r w:rsidRPr="00476700">
              <w:rPr>
                <w:b/>
                <w:sz w:val="20"/>
              </w:rPr>
              <w:instrText>PAGE</w:instrText>
            </w:r>
            <w:r w:rsidRPr="00476700">
              <w:rPr>
                <w:b/>
                <w:sz w:val="20"/>
              </w:rPr>
              <w:fldChar w:fldCharType="separate"/>
            </w:r>
            <w:r w:rsidR="000F27AF">
              <w:rPr>
                <w:b/>
                <w:noProof/>
                <w:sz w:val="20"/>
              </w:rPr>
              <w:t>2</w:t>
            </w:r>
            <w:r w:rsidRPr="00476700">
              <w:rPr>
                <w:b/>
                <w:sz w:val="20"/>
              </w:rPr>
              <w:fldChar w:fldCharType="end"/>
            </w:r>
            <w:r w:rsidRPr="00476700">
              <w:rPr>
                <w:sz w:val="20"/>
              </w:rPr>
              <w:t xml:space="preserve"> z </w:t>
            </w:r>
            <w:r w:rsidRPr="00476700">
              <w:rPr>
                <w:b/>
                <w:sz w:val="20"/>
              </w:rPr>
              <w:fldChar w:fldCharType="begin"/>
            </w:r>
            <w:r w:rsidRPr="00476700">
              <w:rPr>
                <w:b/>
                <w:sz w:val="20"/>
              </w:rPr>
              <w:instrText>NUMPAGES</w:instrText>
            </w:r>
            <w:r w:rsidRPr="00476700">
              <w:rPr>
                <w:b/>
                <w:sz w:val="20"/>
              </w:rPr>
              <w:fldChar w:fldCharType="separate"/>
            </w:r>
            <w:r w:rsidR="000F27AF">
              <w:rPr>
                <w:b/>
                <w:noProof/>
                <w:sz w:val="20"/>
              </w:rPr>
              <w:t>11</w:t>
            </w:r>
            <w:r w:rsidRPr="00476700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CE" w:rsidRDefault="00834CCE" w:rsidP="006657B6">
      <w:r>
        <w:separator/>
      </w:r>
    </w:p>
  </w:footnote>
  <w:footnote w:type="continuationSeparator" w:id="0">
    <w:p w:rsidR="00834CCE" w:rsidRDefault="00834CCE" w:rsidP="006657B6">
      <w:r>
        <w:continuationSeparator/>
      </w:r>
    </w:p>
  </w:footnote>
  <w:footnote w:id="1">
    <w:p w:rsidR="006657B6" w:rsidRDefault="006657B6" w:rsidP="006657B6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  <w:rFonts w:ascii="Palatino Linotype" w:hAnsi="Palatino Linotype"/>
          <w:b/>
          <w:szCs w:val="18"/>
        </w:rPr>
        <w:footnoteRef/>
      </w:r>
      <w:r>
        <w:rPr>
          <w:rFonts w:ascii="Palatino Linotype" w:hAnsi="Palatino Linotype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 xml:space="preserve">ASO </w:t>
      </w:r>
      <w:r>
        <w:rPr>
          <w:rFonts w:ascii="Palatino Linotype" w:hAnsi="Palatino Linotype"/>
          <w:sz w:val="18"/>
          <w:szCs w:val="18"/>
        </w:rPr>
        <w:t>– autoryzowana stacja obsługi pojazdów - serwis naprawy pojazdów posiadający autoryzację producenta lub importera pojazdu.</w:t>
      </w:r>
    </w:p>
  </w:footnote>
  <w:footnote w:id="2">
    <w:p w:rsidR="006657B6" w:rsidRDefault="006657B6" w:rsidP="006657B6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  <w:rFonts w:ascii="Palatino Linotype" w:hAnsi="Palatino Linotype"/>
          <w:b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 xml:space="preserve">Metoda serwisowa </w:t>
      </w:r>
      <w:r>
        <w:rPr>
          <w:rFonts w:ascii="Palatino Linotype" w:hAnsi="Palatino Linotype"/>
          <w:sz w:val="18"/>
          <w:szCs w:val="18"/>
        </w:rPr>
        <w:t>– metoda ustalania wysokości świadczenia z tytułu szkody w pojeździe, oparta o fakturę albo rachunek wystawiony przez warsztat naprawczy, który dokonał naprawy uszkodzonego pojazdu.</w:t>
      </w:r>
    </w:p>
  </w:footnote>
  <w:footnote w:id="3">
    <w:p w:rsidR="006657B6" w:rsidRDefault="006657B6" w:rsidP="006657B6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  <w:rFonts w:ascii="Palatino Linotype" w:hAnsi="Palatino Linotype"/>
          <w:b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 xml:space="preserve">Części O </w:t>
      </w:r>
      <w:r>
        <w:rPr>
          <w:rFonts w:ascii="Palatino Linotype" w:hAnsi="Palatino Linotype"/>
          <w:sz w:val="18"/>
          <w:szCs w:val="18"/>
        </w:rPr>
        <w:t>– części zamienne nowe, oryginalne, bezpośrednio pochodzące od producenta pojazdu.</w:t>
      </w:r>
    </w:p>
  </w:footnote>
  <w:footnote w:id="4">
    <w:p w:rsidR="006657B6" w:rsidRDefault="006657B6" w:rsidP="006657B6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b/>
          <w:sz w:val="18"/>
          <w:szCs w:val="18"/>
        </w:rPr>
      </w:pPr>
      <w:r>
        <w:rPr>
          <w:rStyle w:val="Odwoanieprzypisudolnego"/>
          <w:rFonts w:ascii="Palatino Linotype" w:hAnsi="Palatino Linotype"/>
          <w:b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 xml:space="preserve">Części Q </w:t>
      </w:r>
      <w:r>
        <w:rPr>
          <w:rFonts w:ascii="Palatino Linotype" w:hAnsi="Palatino Linotype"/>
          <w:sz w:val="18"/>
          <w:szCs w:val="18"/>
        </w:rPr>
        <w:t>– części zamienne nowe, tej samej jakości co części bezpośrednio pochodzące od producenta pojazdu (produkowane zgodnie ze specyfikacjami i standardami produkcyjnymi, ustalonymi przez producenta pojazdu), wyprodukowane przez tego samego producenta, który dostarcza producentowi pojazdu części do montażu pojazdów lub części zamienne (zwane również częściami równoważnymi oryginalnym).</w:t>
      </w:r>
    </w:p>
  </w:footnote>
  <w:footnote w:id="5">
    <w:p w:rsidR="006657B6" w:rsidRDefault="006657B6" w:rsidP="006657B6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  <w:rFonts w:ascii="Palatino Linotype" w:hAnsi="Palatino Linotype"/>
          <w:b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 xml:space="preserve">Części P </w:t>
      </w:r>
      <w:r>
        <w:rPr>
          <w:rFonts w:ascii="Palatino Linotype" w:hAnsi="Palatino Linotype"/>
          <w:sz w:val="18"/>
          <w:szCs w:val="18"/>
        </w:rPr>
        <w:t>– części zamienne nowe, nieoryginalne, o porównywalnej jakości, objęte gwarancją ich producenta, który jednocześnie zaświadcza, że są one tej samej jakości co komponenty, które są lub były stosowane do montażu danych pojazdów.</w:t>
      </w:r>
    </w:p>
  </w:footnote>
  <w:footnote w:id="6">
    <w:p w:rsidR="006657B6" w:rsidRDefault="006657B6" w:rsidP="006657B6">
      <w:pPr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  <w:b/>
          <w:szCs w:val="18"/>
        </w:rPr>
        <w:footnoteRef/>
      </w:r>
      <w:r>
        <w:rPr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ASO </w:t>
      </w:r>
      <w:r>
        <w:rPr>
          <w:sz w:val="18"/>
          <w:szCs w:val="18"/>
        </w:rPr>
        <w:t>– autoryzowana stacja obsługi pojazdów - serwis naprawy pojazdów posiadający autoryzację producenta lub importera pojazdu.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7CB"/>
    <w:multiLevelType w:val="multilevel"/>
    <w:tmpl w:val="B868030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1" w15:restartNumberingAfterBreak="0">
    <w:nsid w:val="04236EB0"/>
    <w:multiLevelType w:val="hybridMultilevel"/>
    <w:tmpl w:val="DCB4980E"/>
    <w:lvl w:ilvl="0" w:tplc="04150017">
      <w:start w:val="1"/>
      <w:numFmt w:val="lowerLetter"/>
      <w:lvlText w:val="%1)"/>
      <w:lvlJc w:val="left"/>
      <w:pPr>
        <w:tabs>
          <w:tab w:val="num" w:pos="170"/>
        </w:tabs>
        <w:ind w:left="737" w:hanging="283"/>
      </w:pPr>
    </w:lvl>
    <w:lvl w:ilvl="1" w:tplc="04150019">
      <w:start w:val="1"/>
      <w:numFmt w:val="lowerLetter"/>
      <w:lvlText w:val="%2."/>
      <w:lvlJc w:val="left"/>
      <w:pPr>
        <w:ind w:left="994" w:hanging="360"/>
      </w:pPr>
    </w:lvl>
    <w:lvl w:ilvl="2" w:tplc="0415001B">
      <w:start w:val="1"/>
      <w:numFmt w:val="lowerRoman"/>
      <w:lvlText w:val="%3."/>
      <w:lvlJc w:val="right"/>
      <w:pPr>
        <w:ind w:left="1714" w:hanging="180"/>
      </w:pPr>
    </w:lvl>
    <w:lvl w:ilvl="3" w:tplc="0415000F">
      <w:start w:val="1"/>
      <w:numFmt w:val="decimal"/>
      <w:lvlText w:val="%4."/>
      <w:lvlJc w:val="left"/>
      <w:pPr>
        <w:ind w:left="2434" w:hanging="360"/>
      </w:pPr>
    </w:lvl>
    <w:lvl w:ilvl="4" w:tplc="04150019">
      <w:start w:val="1"/>
      <w:numFmt w:val="lowerLetter"/>
      <w:lvlText w:val="%5."/>
      <w:lvlJc w:val="left"/>
      <w:pPr>
        <w:ind w:left="3154" w:hanging="360"/>
      </w:pPr>
    </w:lvl>
    <w:lvl w:ilvl="5" w:tplc="0415001B">
      <w:start w:val="1"/>
      <w:numFmt w:val="lowerRoman"/>
      <w:lvlText w:val="%6."/>
      <w:lvlJc w:val="right"/>
      <w:pPr>
        <w:ind w:left="3874" w:hanging="180"/>
      </w:pPr>
    </w:lvl>
    <w:lvl w:ilvl="6" w:tplc="0415000F">
      <w:start w:val="1"/>
      <w:numFmt w:val="decimal"/>
      <w:lvlText w:val="%7."/>
      <w:lvlJc w:val="left"/>
      <w:pPr>
        <w:ind w:left="4594" w:hanging="360"/>
      </w:pPr>
    </w:lvl>
    <w:lvl w:ilvl="7" w:tplc="04150019">
      <w:start w:val="1"/>
      <w:numFmt w:val="lowerLetter"/>
      <w:lvlText w:val="%8."/>
      <w:lvlJc w:val="left"/>
      <w:pPr>
        <w:ind w:left="5314" w:hanging="360"/>
      </w:pPr>
    </w:lvl>
    <w:lvl w:ilvl="8" w:tplc="0415001B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06214B64"/>
    <w:multiLevelType w:val="multilevel"/>
    <w:tmpl w:val="6066A94E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3" w15:restartNumberingAfterBreak="0">
    <w:nsid w:val="19272315"/>
    <w:multiLevelType w:val="hybridMultilevel"/>
    <w:tmpl w:val="18E6B306"/>
    <w:lvl w:ilvl="0" w:tplc="2E1660D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44878"/>
    <w:multiLevelType w:val="multilevel"/>
    <w:tmpl w:val="644C480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964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bullet"/>
      <w:lvlText w:val=""/>
      <w:lvlJc w:val="left"/>
      <w:pPr>
        <w:tabs>
          <w:tab w:val="num" w:pos="1720"/>
        </w:tabs>
        <w:ind w:left="170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5" w15:restartNumberingAfterBreak="0">
    <w:nsid w:val="1DE33EB9"/>
    <w:multiLevelType w:val="hybridMultilevel"/>
    <w:tmpl w:val="73FABF6E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E2349"/>
    <w:multiLevelType w:val="hybridMultilevel"/>
    <w:tmpl w:val="BD32CD36"/>
    <w:lvl w:ilvl="0" w:tplc="2D081098">
      <w:start w:val="1"/>
      <w:numFmt w:val="decimal"/>
      <w:lvlText w:val="%1."/>
      <w:lvlJc w:val="left"/>
      <w:pPr>
        <w:ind w:left="7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23FF2A62"/>
    <w:multiLevelType w:val="hybridMultilevel"/>
    <w:tmpl w:val="796A5CEC"/>
    <w:lvl w:ilvl="0" w:tplc="C3E8403E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271A59D3"/>
    <w:multiLevelType w:val="hybridMultilevel"/>
    <w:tmpl w:val="1902CCBE"/>
    <w:lvl w:ilvl="0" w:tplc="F80A30D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9" w15:restartNumberingAfterBreak="0">
    <w:nsid w:val="3B1A0155"/>
    <w:multiLevelType w:val="multilevel"/>
    <w:tmpl w:val="65C6C25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lowerLetter"/>
      <w:lvlText w:val="%7)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10" w15:restartNumberingAfterBreak="0">
    <w:nsid w:val="4BD20760"/>
    <w:multiLevelType w:val="multilevel"/>
    <w:tmpl w:val="12F6C8A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11" w15:restartNumberingAfterBreak="0">
    <w:nsid w:val="59CA65EA"/>
    <w:multiLevelType w:val="hybridMultilevel"/>
    <w:tmpl w:val="18689A0A"/>
    <w:lvl w:ilvl="0" w:tplc="8F0C4B96">
      <w:start w:val="1"/>
      <w:numFmt w:val="bullet"/>
      <w:lvlText w:val="­"/>
      <w:lvlJc w:val="left"/>
      <w:pPr>
        <w:ind w:left="141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5E4555CD"/>
    <w:multiLevelType w:val="hybridMultilevel"/>
    <w:tmpl w:val="DB2CEB4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13" w15:restartNumberingAfterBreak="0">
    <w:nsid w:val="638650C9"/>
    <w:multiLevelType w:val="multilevel"/>
    <w:tmpl w:val="D4904B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Palatino Linotype" w:eastAsia="Times New Roman" w:hAnsi="Palatino Linotype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</w:lvl>
  </w:abstractNum>
  <w:abstractNum w:abstractNumId="14" w15:restartNumberingAfterBreak="0">
    <w:nsid w:val="77426768"/>
    <w:multiLevelType w:val="hybridMultilevel"/>
    <w:tmpl w:val="E3F4BFBC"/>
    <w:lvl w:ilvl="0" w:tplc="82E88306">
      <w:start w:val="1"/>
      <w:numFmt w:val="decimal"/>
      <w:lvlText w:val="%1."/>
      <w:lvlJc w:val="left"/>
      <w:pPr>
        <w:tabs>
          <w:tab w:val="num" w:pos="1984"/>
        </w:tabs>
        <w:ind w:left="1984" w:hanging="510"/>
      </w:pPr>
      <w:rPr>
        <w:b w:val="0"/>
        <w:color w:val="auto"/>
      </w:rPr>
    </w:lvl>
    <w:lvl w:ilvl="1" w:tplc="C3E8403E">
      <w:start w:val="1"/>
      <w:numFmt w:val="decimal"/>
      <w:lvlText w:val="%2)"/>
      <w:lvlJc w:val="left"/>
      <w:pPr>
        <w:tabs>
          <w:tab w:val="num" w:pos="1133"/>
        </w:tabs>
        <w:ind w:left="1133" w:hanging="396"/>
      </w:pPr>
    </w:lvl>
    <w:lvl w:ilvl="2" w:tplc="04150001">
      <w:start w:val="1"/>
      <w:numFmt w:val="bullet"/>
      <w:lvlText w:val=""/>
      <w:lvlJc w:val="left"/>
      <w:pPr>
        <w:tabs>
          <w:tab w:val="num" w:pos="3634"/>
        </w:tabs>
        <w:ind w:left="3634" w:hanging="180"/>
      </w:pPr>
      <w:rPr>
        <w:rFonts w:ascii="Symbol" w:hAnsi="Symbol" w:hint="default"/>
      </w:rPr>
    </w:lvl>
    <w:lvl w:ilvl="3" w:tplc="B1E2E2C8">
      <w:start w:val="1"/>
      <w:numFmt w:val="decimal"/>
      <w:lvlText w:val="%4)"/>
      <w:lvlJc w:val="left"/>
      <w:pPr>
        <w:tabs>
          <w:tab w:val="num" w:pos="2268"/>
        </w:tabs>
        <w:ind w:left="2268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6"/>
    <w:rsid w:val="00025CF6"/>
    <w:rsid w:val="000E2198"/>
    <w:rsid w:val="000F27AF"/>
    <w:rsid w:val="001A0A37"/>
    <w:rsid w:val="0024612D"/>
    <w:rsid w:val="00285AD9"/>
    <w:rsid w:val="00303382"/>
    <w:rsid w:val="00455EB8"/>
    <w:rsid w:val="00476700"/>
    <w:rsid w:val="005F5074"/>
    <w:rsid w:val="006657B6"/>
    <w:rsid w:val="007F385B"/>
    <w:rsid w:val="00834CCE"/>
    <w:rsid w:val="00851C88"/>
    <w:rsid w:val="00955DEF"/>
    <w:rsid w:val="00B5523C"/>
    <w:rsid w:val="00BC43F8"/>
    <w:rsid w:val="00C105BC"/>
    <w:rsid w:val="00C81E8F"/>
    <w:rsid w:val="00EB7009"/>
    <w:rsid w:val="00EF7593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A788-91E6-4376-B9A8-F627C26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657B6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B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57B6"/>
    <w:pPr>
      <w:ind w:left="720"/>
      <w:contextualSpacing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6657B6"/>
    <w:pPr>
      <w:suppressAutoHyphens/>
      <w:ind w:left="284" w:firstLine="1"/>
      <w:jc w:val="both"/>
    </w:pPr>
    <w:rPr>
      <w:rFonts w:ascii="Arial Narrow" w:hAnsi="Arial Narrow"/>
      <w:szCs w:val="20"/>
    </w:rPr>
  </w:style>
  <w:style w:type="character" w:styleId="Odwoanieprzypisudolnego">
    <w:name w:val="footnote reference"/>
    <w:uiPriority w:val="99"/>
    <w:semiHidden/>
    <w:unhideWhenUsed/>
    <w:rsid w:val="006657B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657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6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7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5F33-46AB-4A35-A72B-582F2548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4492</Words>
  <Characters>26957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Sądej</dc:creator>
  <cp:lastModifiedBy>Katarzyna Sądej</cp:lastModifiedBy>
  <cp:revision>2</cp:revision>
  <dcterms:created xsi:type="dcterms:W3CDTF">2022-12-20T07:29:00Z</dcterms:created>
  <dcterms:modified xsi:type="dcterms:W3CDTF">2022-12-20T07:29:00Z</dcterms:modified>
</cp:coreProperties>
</file>