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99B7" w14:textId="31140BDA" w:rsidR="00732BC2" w:rsidRPr="00F84A0B" w:rsidRDefault="00390169" w:rsidP="00F84A0B">
      <w:pPr>
        <w:jc w:val="right"/>
      </w:pPr>
      <w:r>
        <w:t>z</w:t>
      </w:r>
      <w:r w:rsidR="00EF1876" w:rsidRPr="00F84A0B">
        <w:t>ałącznik nr 1 – opis przedmiotu zamówienia</w:t>
      </w:r>
    </w:p>
    <w:p w14:paraId="043F73AA" w14:textId="01CF4DC0" w:rsidR="00782A0C" w:rsidRDefault="004B53A3">
      <w:pPr>
        <w:rPr>
          <w:b/>
          <w:bCs/>
        </w:rPr>
      </w:pPr>
      <w:r w:rsidRPr="004B53A3">
        <w:rPr>
          <w:b/>
          <w:bCs/>
        </w:rPr>
        <w:t xml:space="preserve">OPIS PRZEDMIOTU ZAMÓWINIA NA USŁUGI KONSERWACJI I SERWISU INSTALACJI SANITARNYCH W DWORKU MILUSIN </w:t>
      </w:r>
    </w:p>
    <w:p w14:paraId="3422E185" w14:textId="151B9840" w:rsidR="004B53A3" w:rsidRDefault="004B53A3" w:rsidP="004B53A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 ogólny budynku</w:t>
      </w:r>
    </w:p>
    <w:p w14:paraId="6D84F84D" w14:textId="56904606" w:rsidR="004B53A3" w:rsidRDefault="00641BF0" w:rsidP="008368B7">
      <w:pPr>
        <w:jc w:val="both"/>
      </w:pPr>
      <w:r>
        <w:t xml:space="preserve">Przedmiotem zamówienia jest usługa </w:t>
      </w:r>
      <w:r w:rsidR="004B53A3">
        <w:t>konserwacji i serwisu dla urządzeń sanitarnych zamontowanych w budynku Dworek Milusin, który jest częścią</w:t>
      </w:r>
      <w:r w:rsidR="004B53A3" w:rsidRPr="004B53A3">
        <w:t xml:space="preserve"> zabytkowego </w:t>
      </w:r>
      <w:r w:rsidR="004B53A3">
        <w:t>kompleksu Muzeum Józefa Piłsudskiego w Sulejówku.</w:t>
      </w:r>
    </w:p>
    <w:p w14:paraId="344C513C" w14:textId="3E2BFC20" w:rsidR="004B53A3" w:rsidRDefault="008368B7" w:rsidP="008368B7">
      <w:pPr>
        <w:jc w:val="both"/>
      </w:pPr>
      <w:r>
        <w:t>Czynności serwisowe przewidziane są dla następujących instalacji sanitarnych</w:t>
      </w:r>
      <w:r w:rsidR="004B53A3">
        <w:t>:</w:t>
      </w:r>
    </w:p>
    <w:p w14:paraId="6ED52E74" w14:textId="77777777" w:rsidR="004B53A3" w:rsidRDefault="004B53A3" w:rsidP="008368B7">
      <w:pPr>
        <w:jc w:val="both"/>
      </w:pPr>
      <w:r>
        <w:t>- instalacja wodna</w:t>
      </w:r>
    </w:p>
    <w:p w14:paraId="0364192C" w14:textId="5E76AF3E" w:rsidR="004B53A3" w:rsidRDefault="004B53A3" w:rsidP="008368B7">
      <w:pPr>
        <w:jc w:val="both"/>
      </w:pPr>
      <w:r>
        <w:t xml:space="preserve">- </w:t>
      </w:r>
      <w:r w:rsidR="008368B7">
        <w:t xml:space="preserve">wewnętrzna instalacja </w:t>
      </w:r>
      <w:r>
        <w:t xml:space="preserve">gazu </w:t>
      </w:r>
    </w:p>
    <w:p w14:paraId="3226585E" w14:textId="77777777" w:rsidR="004B53A3" w:rsidRDefault="004B53A3" w:rsidP="008368B7">
      <w:pPr>
        <w:jc w:val="both"/>
      </w:pPr>
      <w:r>
        <w:t>- kanalizacja sanitarna</w:t>
      </w:r>
    </w:p>
    <w:p w14:paraId="0418EE83" w14:textId="0A2DB3FF" w:rsidR="004B53A3" w:rsidRDefault="004B53A3" w:rsidP="008368B7">
      <w:pPr>
        <w:jc w:val="both"/>
      </w:pPr>
      <w:r>
        <w:t>- studnie chłonne na wody opadowe</w:t>
      </w:r>
    </w:p>
    <w:p w14:paraId="165EE248" w14:textId="10F6BA0C" w:rsidR="008368B7" w:rsidRDefault="008368B7" w:rsidP="008368B7">
      <w:pPr>
        <w:jc w:val="both"/>
      </w:pPr>
      <w:r>
        <w:t>- instalacja wentylacji mechanicznej</w:t>
      </w:r>
    </w:p>
    <w:p w14:paraId="43430C2B" w14:textId="644C1E0C" w:rsidR="008368B7" w:rsidRDefault="008368B7" w:rsidP="008368B7">
      <w:pPr>
        <w:jc w:val="both"/>
      </w:pPr>
      <w:r>
        <w:t>- instalacja CO i CT w zakresie działania instalacji budynkowej</w:t>
      </w:r>
    </w:p>
    <w:p w14:paraId="5B90C1F3" w14:textId="77777777" w:rsidR="00B854DB" w:rsidRDefault="008368B7" w:rsidP="008368B7">
      <w:pPr>
        <w:jc w:val="both"/>
      </w:pPr>
      <w:r w:rsidRPr="008368B7">
        <w:t xml:space="preserve">Budynek pełni funkcję muzealną. Parter </w:t>
      </w:r>
      <w:r>
        <w:t>budynku jest</w:t>
      </w:r>
      <w:r w:rsidRPr="008368B7">
        <w:t xml:space="preserve"> udostępniony dla zwiedzających. Poddasze użytkowe ma charakter wewnętrzny i przeznaczon</w:t>
      </w:r>
      <w:r>
        <w:t>y</w:t>
      </w:r>
      <w:r w:rsidRPr="008368B7">
        <w:t xml:space="preserve"> </w:t>
      </w:r>
      <w:r>
        <w:t>jest</w:t>
      </w:r>
      <w:r w:rsidRPr="008368B7">
        <w:t xml:space="preserve"> dla użytku pracowników Muzeum. </w:t>
      </w:r>
    </w:p>
    <w:p w14:paraId="57299B55" w14:textId="731701C9" w:rsidR="008368B7" w:rsidRDefault="00B854DB" w:rsidP="008368B7">
      <w:pPr>
        <w:jc w:val="both"/>
      </w:pPr>
      <w:r>
        <w:t xml:space="preserve">Poddasze nieużytkowe stanowi zaplecze techniczne dla centrali wentylacyjnej obsługującej budynek. </w:t>
      </w:r>
      <w:r w:rsidR="008368B7" w:rsidRPr="008368B7">
        <w:t xml:space="preserve">Projekt przebudowy i remontu </w:t>
      </w:r>
      <w:r w:rsidR="008368B7">
        <w:t>prac</w:t>
      </w:r>
      <w:r w:rsidR="008368B7" w:rsidRPr="008368B7">
        <w:t xml:space="preserve"> konserwatorskich oraz prac związanych z instalacjami sanitarnymi</w:t>
      </w:r>
      <w:r w:rsidR="008368B7">
        <w:t xml:space="preserve"> zakładał wybudowanie nowych instalacji sanitarnych służących potrzebom budynku muzealnego.</w:t>
      </w:r>
    </w:p>
    <w:p w14:paraId="3F82FB3E" w14:textId="31D5352B" w:rsidR="008368B7" w:rsidRDefault="0006069A" w:rsidP="008368B7">
      <w:pPr>
        <w:jc w:val="both"/>
      </w:pPr>
      <w:r>
        <w:t>W piwnicy znajduje się główny węzeł cieplny, dostarczający ciepło do Dwork</w:t>
      </w:r>
      <w:r w:rsidR="00B854DB">
        <w:t>u</w:t>
      </w:r>
      <w:r>
        <w:t xml:space="preserve"> Milusin. </w:t>
      </w:r>
      <w:r w:rsidR="00B854DB">
        <w:t>Na potrzeby cieplne budynku zamontowany został kocioł gazowy kondensacyjny firmy DeDetrich. Ponadto w</w:t>
      </w:r>
      <w:r w:rsidR="00971B2F">
        <w:t> </w:t>
      </w:r>
      <w:r w:rsidR="00B854DB">
        <w:t xml:space="preserve">pomieszczeniu kotłowni budynkowej zainstalowano stację </w:t>
      </w:r>
      <w:r w:rsidR="00A929E1">
        <w:t>uzdatniania</w:t>
      </w:r>
      <w:r w:rsidR="00B854DB">
        <w:t xml:space="preserve"> wody dla potrzeb nawilżacza centrali wentylacyjnej. Piwnica budynku ogrzewana jest przez wężownicę wodną zatopioną w</w:t>
      </w:r>
      <w:r w:rsidR="00971B2F">
        <w:t> </w:t>
      </w:r>
      <w:r w:rsidR="00B854DB">
        <w:t>posadzce betonowej, służącej jako ogrzewanie podłogowe</w:t>
      </w:r>
      <w:r w:rsidR="00A929E1">
        <w:t>.</w:t>
      </w:r>
    </w:p>
    <w:p w14:paraId="71774F8C" w14:textId="5B659334" w:rsidR="00A929E1" w:rsidRDefault="00A929E1" w:rsidP="008368B7">
      <w:pPr>
        <w:jc w:val="both"/>
      </w:pPr>
      <w:r>
        <w:t>Ogrzewanie parteru realizowane jest poprzez układ grzejnikowy z wykorzystaniem typowych grzejników płaszczyznowych typu CV oraz w pomieszczeniach kluczowych tj. Salonu i wiatrołapu zamontowane zostały Klima konwektory wentylatorowe firmy PURMO. Łazienka na parterze nie pełni funkcji użytkowych i zamontowane zostały w niej jedynie urządzenia wystawowe.</w:t>
      </w:r>
    </w:p>
    <w:p w14:paraId="08595551" w14:textId="700E2DAE" w:rsidR="00A929E1" w:rsidRDefault="00A929E1" w:rsidP="008368B7">
      <w:pPr>
        <w:jc w:val="both"/>
      </w:pPr>
      <w:r>
        <w:t xml:space="preserve"> We wszystkich pomieszczeniach zamontowane zostały grzejniki płytowe typu CV. Łazienka </w:t>
      </w:r>
      <w:r w:rsidR="00B80840">
        <w:t xml:space="preserve">i kuchnia </w:t>
      </w:r>
      <w:r>
        <w:t>znajdują</w:t>
      </w:r>
      <w:r w:rsidR="00B80840">
        <w:t>ce</w:t>
      </w:r>
      <w:r>
        <w:t xml:space="preserve"> się na poziomie poddasza </w:t>
      </w:r>
      <w:r w:rsidR="00B80840">
        <w:t xml:space="preserve">pełnią funkcję </w:t>
      </w:r>
      <w:r>
        <w:t xml:space="preserve">użytkową. </w:t>
      </w:r>
    </w:p>
    <w:p w14:paraId="44669EF8" w14:textId="56EEA635" w:rsidR="00B80840" w:rsidRDefault="00B80840" w:rsidP="008368B7">
      <w:pPr>
        <w:jc w:val="both"/>
      </w:pPr>
      <w:r>
        <w:t>Poddasze techniczne – pełni funkcję maszynowni wentylacyjnej. Na poddaszu zamontowana jest centrala wentylacyjna firmy Komfovent wraz z nawilżaczem powietrza, dla potrzeb obsługi centrali wentylacyjnej.</w:t>
      </w:r>
    </w:p>
    <w:p w14:paraId="58DDFF33" w14:textId="6AFB5C27" w:rsidR="00A929E1" w:rsidRDefault="004474C6" w:rsidP="008368B7">
      <w:pPr>
        <w:jc w:val="both"/>
      </w:pPr>
      <w:r>
        <w:t xml:space="preserve">Teren zewnętrzny – na zewnątrz zamontowane są instalacje kanalizacji odwodnienia budynku ze studniami drenażowymi odprowadzającymi odciek wodny do trzech studni zbiorczych znajdujących się za pasieką  w okolicy </w:t>
      </w:r>
      <w:r w:rsidR="00BA671D">
        <w:t>ul</w:t>
      </w:r>
      <w:r>
        <w:t>. Oleandrów.</w:t>
      </w:r>
    </w:p>
    <w:p w14:paraId="73FAE675" w14:textId="77777777" w:rsidR="004474C6" w:rsidRDefault="004474C6" w:rsidP="008368B7">
      <w:pPr>
        <w:jc w:val="both"/>
      </w:pPr>
    </w:p>
    <w:p w14:paraId="28A8CF15" w14:textId="2D642848" w:rsidR="004474C6" w:rsidRDefault="004474C6" w:rsidP="004474C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474C6">
        <w:rPr>
          <w:b/>
          <w:bCs/>
        </w:rPr>
        <w:lastRenderedPageBreak/>
        <w:t>Instalacja wentylacji mechanicznej</w:t>
      </w:r>
    </w:p>
    <w:p w14:paraId="766A2207" w14:textId="5A51836F" w:rsidR="004474C6" w:rsidRDefault="004474C6" w:rsidP="004474C6">
      <w:pPr>
        <w:jc w:val="both"/>
      </w:pPr>
      <w:r>
        <w:t>Na poddaszu nieużytkowym zamontowana została jedna centrala wentylacyjna VERSO-RHP-1300-9.2/7.6-UV-E-R1-F7/M5-C5.1-L/AZ. Wydatek powietrza nawiewanego i wywiewanego przez centralę wentylacyjną wynosi 1140 m3/h</w:t>
      </w:r>
      <w:r w:rsidR="0028408F">
        <w:t>.</w:t>
      </w:r>
    </w:p>
    <w:p w14:paraId="042C212E" w14:textId="14A59D93" w:rsidR="0028408F" w:rsidRDefault="0028408F" w:rsidP="004474C6">
      <w:pPr>
        <w:jc w:val="both"/>
      </w:pPr>
      <w:r>
        <w:t>Centrala wentylacyjna nawiewno-wywiewna została wyposażona w:</w:t>
      </w:r>
    </w:p>
    <w:p w14:paraId="309AD710" w14:textId="24B28F87" w:rsidR="0028408F" w:rsidRDefault="0028408F" w:rsidP="004474C6">
      <w:pPr>
        <w:jc w:val="both"/>
      </w:pPr>
      <w:r>
        <w:t>- obrotowy wymiennik ciepła,</w:t>
      </w:r>
    </w:p>
    <w:p w14:paraId="7138EACF" w14:textId="488858C2" w:rsidR="0028408F" w:rsidRDefault="0028408F" w:rsidP="004474C6">
      <w:pPr>
        <w:jc w:val="both"/>
      </w:pPr>
      <w:r>
        <w:t>- wentylatory powietrza,</w:t>
      </w:r>
    </w:p>
    <w:p w14:paraId="31C1F720" w14:textId="421DC193" w:rsidR="0028408F" w:rsidRDefault="0028408F" w:rsidP="004474C6">
      <w:pPr>
        <w:jc w:val="both"/>
      </w:pPr>
      <w:r>
        <w:t>- filtry kieszeniowe,</w:t>
      </w:r>
    </w:p>
    <w:p w14:paraId="0A97F973" w14:textId="5F782BFD" w:rsidR="0028408F" w:rsidRDefault="0028408F" w:rsidP="004474C6">
      <w:pPr>
        <w:jc w:val="both"/>
      </w:pPr>
      <w:r>
        <w:t>- nagrzewnicę elektryczną powietrza o mocy grzewczej 2 kW,</w:t>
      </w:r>
    </w:p>
    <w:p w14:paraId="203C7E8D" w14:textId="160F882A" w:rsidR="0028408F" w:rsidRDefault="0028408F" w:rsidP="004474C6">
      <w:pPr>
        <w:jc w:val="both"/>
      </w:pPr>
      <w:r>
        <w:t>- automatykę obejmującą regulację obrotów wentylatora i ilości powietrza wentylacyjnego.</w:t>
      </w:r>
    </w:p>
    <w:p w14:paraId="42BE0DF4" w14:textId="3E06E153" w:rsidR="00F311F1" w:rsidRDefault="00B50E80" w:rsidP="00E218CD">
      <w:pPr>
        <w:jc w:val="both"/>
      </w:pPr>
      <w:r>
        <w:t xml:space="preserve">Podłączenie centrali wentylacyjnej zrealizowane zostało poprzez </w:t>
      </w:r>
      <w:r w:rsidR="005D07B7">
        <w:t>sieć kanałów wentylacyjnych wykonanych z blachy ocynkowanej</w:t>
      </w:r>
      <w:r w:rsidR="008F63A5">
        <w:t xml:space="preserve"> jako kanały spiro i prostokątne</w:t>
      </w:r>
      <w:r w:rsidR="008105DB">
        <w:t>. Na kanałach nawiewnych i</w:t>
      </w:r>
      <w:r w:rsidR="00994D9B">
        <w:t> </w:t>
      </w:r>
      <w:r w:rsidR="008105DB">
        <w:t>wyciągowych zamontowano tłumiki akustyczne D250.</w:t>
      </w:r>
      <w:r w:rsidR="00A24411">
        <w:t xml:space="preserve"> Wyrzut i czerpnia powietrza wentylacyjnego </w:t>
      </w:r>
      <w:r w:rsidR="00C36B3B">
        <w:t xml:space="preserve">odbywa się poprzez układ kominowy. </w:t>
      </w:r>
      <w:r w:rsidR="004D2FFC">
        <w:t xml:space="preserve">Sieć kanałów wentylacyjnych dostarcza i wyciąga powietrze wentylacyjne z kluczowych pomieszczeń budynku poprzez układ kominowy </w:t>
      </w:r>
      <w:r w:rsidR="009527F9">
        <w:t>doszczelniony rękawem z</w:t>
      </w:r>
      <w:r w:rsidR="00994D9B">
        <w:t> </w:t>
      </w:r>
      <w:r w:rsidR="004D2FFC">
        <w:t>foli</w:t>
      </w:r>
      <w:r w:rsidR="009527F9">
        <w:t>i</w:t>
      </w:r>
      <w:r w:rsidR="004D2FFC">
        <w:t xml:space="preserve"> aluminiow</w:t>
      </w:r>
      <w:r w:rsidR="009527F9">
        <w:t>ej.</w:t>
      </w:r>
    </w:p>
    <w:p w14:paraId="40B31D05" w14:textId="50DFC99C" w:rsidR="00E218CD" w:rsidRDefault="00F311F1" w:rsidP="00E218CD">
      <w:pPr>
        <w:jc w:val="both"/>
      </w:pPr>
      <w:r>
        <w:t xml:space="preserve">Regulacja powietrza wyciąganego i </w:t>
      </w:r>
      <w:r w:rsidR="001C124D">
        <w:t>nawie</w:t>
      </w:r>
      <w:r>
        <w:t xml:space="preserve">wanego wykonywana jest miejscowo poprzez układ </w:t>
      </w:r>
      <w:r w:rsidR="00943547">
        <w:t>kratek wentylacyjnych z przepustnicami.</w:t>
      </w:r>
      <w:r w:rsidR="005D07B7">
        <w:t xml:space="preserve"> </w:t>
      </w:r>
    </w:p>
    <w:p w14:paraId="34464BBA" w14:textId="2093C1FB" w:rsidR="00E31391" w:rsidRDefault="00E31391" w:rsidP="00E218CD">
      <w:pPr>
        <w:jc w:val="both"/>
      </w:pPr>
      <w:r>
        <w:t xml:space="preserve">Z centralą wentylacyjną współpracuje nawilżacz parowy </w:t>
      </w:r>
      <w:r w:rsidR="00D0080F">
        <w:t xml:space="preserve">firmy Condair </w:t>
      </w:r>
      <w:r w:rsidR="004C5B38">
        <w:t xml:space="preserve">EL </w:t>
      </w:r>
      <w:r w:rsidR="008C692F">
        <w:t>50.</w:t>
      </w:r>
    </w:p>
    <w:p w14:paraId="5F8582F0" w14:textId="111CBBBE" w:rsidR="004B787D" w:rsidRDefault="00904226" w:rsidP="00E218CD">
      <w:pPr>
        <w:jc w:val="both"/>
      </w:pPr>
      <w:r>
        <w:t xml:space="preserve">Czynności konserwacyjne instalacji wentylacji polegają na wykonaniu okresowych </w:t>
      </w:r>
      <w:r w:rsidR="000F27C8">
        <w:t>przeglądów</w:t>
      </w:r>
      <w:r>
        <w:t xml:space="preserve"> </w:t>
      </w:r>
      <w:r w:rsidR="000F27C8">
        <w:t xml:space="preserve">gwarancyjnych centrali wentylacyjnej minimum 2 razy w roku oraz </w:t>
      </w:r>
      <w:r w:rsidR="006F6A9E">
        <w:t>dwukrotnym przeglądzie nawilżacza parowego i wentylatorów kanałowych odciągających powietrze wentylacyjne z pomieszczeń brudnych (kuchnia i</w:t>
      </w:r>
      <w:r w:rsidR="005F32C7">
        <w:t xml:space="preserve"> </w:t>
      </w:r>
      <w:r w:rsidR="006F6A9E">
        <w:t>łazienka)</w:t>
      </w:r>
      <w:r w:rsidR="005F32C7">
        <w:t>.</w:t>
      </w:r>
      <w:r w:rsidR="000E46C4">
        <w:t xml:space="preserve"> W razie </w:t>
      </w:r>
      <w:r w:rsidR="009D040C">
        <w:t>zabrudzenia</w:t>
      </w:r>
      <w:r w:rsidR="000E46C4">
        <w:t xml:space="preserve"> </w:t>
      </w:r>
      <w:r w:rsidR="009D040C">
        <w:t xml:space="preserve">przy kontroli i przeglądzie centrali wentylacyjnej należy wymienić wszystkie filtry centrali. </w:t>
      </w:r>
    </w:p>
    <w:p w14:paraId="7A025E57" w14:textId="1C9C3483" w:rsidR="009A2E9C" w:rsidRDefault="009A2E9C" w:rsidP="00E218CD">
      <w:pPr>
        <w:jc w:val="both"/>
      </w:pPr>
      <w:r>
        <w:t>Wyrzutni</w:t>
      </w:r>
      <w:r w:rsidR="00D81C90">
        <w:t>a</w:t>
      </w:r>
      <w:r>
        <w:t xml:space="preserve"> i czerpni</w:t>
      </w:r>
      <w:r w:rsidR="00D81C90">
        <w:t>a</w:t>
      </w:r>
      <w:r>
        <w:t xml:space="preserve"> dachow</w:t>
      </w:r>
      <w:r w:rsidR="00D81C90">
        <w:t xml:space="preserve">a podlega </w:t>
      </w:r>
      <w:r w:rsidR="00BD74D0">
        <w:t>prze</w:t>
      </w:r>
      <w:r w:rsidR="00D81C90">
        <w:t xml:space="preserve">glądowi </w:t>
      </w:r>
      <w:r w:rsidR="00761C65">
        <w:t>i</w:t>
      </w:r>
      <w:r>
        <w:t xml:space="preserve"> należy okresowo oczyścić </w:t>
      </w:r>
      <w:r w:rsidR="00761C65">
        <w:t xml:space="preserve">ją </w:t>
      </w:r>
      <w:r>
        <w:t>z zanieczyszczeń jednak nie rzadziej niż raz do roku po sezonie wiosennym tj. po okresie największego pylenia roślin.</w:t>
      </w:r>
    </w:p>
    <w:p w14:paraId="70300A37" w14:textId="0D308272" w:rsidR="00885CBA" w:rsidRDefault="000E46C4" w:rsidP="00E218CD">
      <w:pPr>
        <w:jc w:val="both"/>
      </w:pPr>
      <w:r>
        <w:t xml:space="preserve">Rodzaj i wymiary </w:t>
      </w:r>
      <w:r w:rsidR="00885CBA">
        <w:t>filtrów</w:t>
      </w:r>
      <w:r w:rsidR="005A7934">
        <w:t xml:space="preserve"> (zamówienie obejmuje również dostawę filtrów oraz odbiór i utylizację </w:t>
      </w:r>
      <w:r w:rsidR="00B35CFE">
        <w:t xml:space="preserve">filtrów </w:t>
      </w:r>
      <w:r w:rsidR="005A7934">
        <w:t>zużytych</w:t>
      </w:r>
      <w:r w:rsidR="00B35CFE">
        <w:t>)</w:t>
      </w:r>
      <w:r w:rsidR="00885CBA">
        <w:t>:</w:t>
      </w:r>
    </w:p>
    <w:p w14:paraId="30045366" w14:textId="036484BE" w:rsidR="00885CBA" w:rsidRDefault="00E6685E" w:rsidP="00E6685E">
      <w:pPr>
        <w:pStyle w:val="Akapitzlist"/>
        <w:numPr>
          <w:ilvl w:val="0"/>
          <w:numId w:val="3"/>
        </w:numPr>
        <w:jc w:val="both"/>
      </w:pPr>
      <w:r>
        <w:t xml:space="preserve">Nawiew </w:t>
      </w:r>
    </w:p>
    <w:p w14:paraId="4245164F" w14:textId="29D27061" w:rsidR="00E6685E" w:rsidRDefault="00E6685E" w:rsidP="00E6685E">
      <w:pPr>
        <w:pStyle w:val="Akapitzlist"/>
        <w:jc w:val="both"/>
      </w:pPr>
      <w:r>
        <w:t>Klasa filtra F7</w:t>
      </w:r>
      <w:r w:rsidR="001740E1">
        <w:t> </w:t>
      </w:r>
    </w:p>
    <w:p w14:paraId="6645933D" w14:textId="35445B32" w:rsidR="00AB3AFE" w:rsidRDefault="00AB3AFE" w:rsidP="00E6685E">
      <w:pPr>
        <w:pStyle w:val="Akapitzlist"/>
        <w:jc w:val="both"/>
      </w:pPr>
      <w:r>
        <w:t>Wymiar 750x400x46</w:t>
      </w:r>
    </w:p>
    <w:p w14:paraId="1A6B5B04" w14:textId="25DC7F75" w:rsidR="00A66C15" w:rsidRDefault="00A66C15" w:rsidP="00E6685E">
      <w:pPr>
        <w:pStyle w:val="Akapitzlist"/>
        <w:jc w:val="both"/>
      </w:pPr>
      <w:r>
        <w:t>Ilość 1 szt</w:t>
      </w:r>
    </w:p>
    <w:p w14:paraId="17127815" w14:textId="3AC67052" w:rsidR="00A66C15" w:rsidRDefault="00A66C15" w:rsidP="00A66C15">
      <w:pPr>
        <w:pStyle w:val="Akapitzlist"/>
        <w:numPr>
          <w:ilvl w:val="0"/>
          <w:numId w:val="3"/>
        </w:numPr>
        <w:jc w:val="both"/>
      </w:pPr>
      <w:r>
        <w:t xml:space="preserve">Wywiew </w:t>
      </w:r>
    </w:p>
    <w:p w14:paraId="69CFCC0F" w14:textId="2BFCC732" w:rsidR="00A66C15" w:rsidRDefault="00A66C15" w:rsidP="00A66C15">
      <w:pPr>
        <w:pStyle w:val="Akapitzlist"/>
        <w:jc w:val="both"/>
      </w:pPr>
      <w:r>
        <w:t xml:space="preserve">Klasa filtra </w:t>
      </w:r>
      <w:r w:rsidR="001740E1">
        <w:t>M5</w:t>
      </w:r>
    </w:p>
    <w:p w14:paraId="1B728B07" w14:textId="645449C2" w:rsidR="001740E1" w:rsidRDefault="001740E1" w:rsidP="00A66C15">
      <w:pPr>
        <w:pStyle w:val="Akapitzlist"/>
        <w:jc w:val="both"/>
      </w:pPr>
      <w:r>
        <w:t>Wymiar 750x400x46</w:t>
      </w:r>
    </w:p>
    <w:p w14:paraId="109E8E17" w14:textId="351B72CB" w:rsidR="001740E1" w:rsidRDefault="001740E1" w:rsidP="00A66C15">
      <w:pPr>
        <w:pStyle w:val="Akapitzlist"/>
        <w:jc w:val="both"/>
      </w:pPr>
      <w:r>
        <w:t>Ilość 1 szt</w:t>
      </w:r>
      <w:r w:rsidR="000E46C4">
        <w:t>.</w:t>
      </w:r>
    </w:p>
    <w:p w14:paraId="790FA132" w14:textId="0CA66D05" w:rsidR="00F12DDD" w:rsidRDefault="00831E21" w:rsidP="00F12DDD">
      <w:pPr>
        <w:jc w:val="both"/>
      </w:pPr>
      <w:r>
        <w:t xml:space="preserve">Ponadto okresowemu </w:t>
      </w:r>
      <w:r w:rsidR="008F2896">
        <w:t>przeglądowi gwarancyjnem</w:t>
      </w:r>
      <w:r w:rsidR="00D92EDF">
        <w:t xml:space="preserve">u </w:t>
      </w:r>
      <w:r w:rsidR="00ED5392">
        <w:t>co najmniej 1 raz w roku</w:t>
      </w:r>
      <w:r w:rsidR="000207AC">
        <w:t xml:space="preserve"> </w:t>
      </w:r>
      <w:r>
        <w:t xml:space="preserve">podlegają klapy </w:t>
      </w:r>
      <w:r w:rsidR="00F501CC">
        <w:t xml:space="preserve">zwrotne </w:t>
      </w:r>
      <w:r w:rsidR="00ED5392">
        <w:t xml:space="preserve">i </w:t>
      </w:r>
      <w:r w:rsidR="00D92EDF">
        <w:t xml:space="preserve">klapy </w:t>
      </w:r>
      <w:r w:rsidR="00ED5392">
        <w:t>ppoż.</w:t>
      </w:r>
      <w:r w:rsidR="00D92EDF">
        <w:t xml:space="preserve"> Zamontowane </w:t>
      </w:r>
      <w:r w:rsidR="00017421">
        <w:t>w budynku.</w:t>
      </w:r>
    </w:p>
    <w:p w14:paraId="67B12012" w14:textId="63F26DFF" w:rsidR="00017421" w:rsidRDefault="00017421" w:rsidP="00F12DDD">
      <w:pPr>
        <w:jc w:val="both"/>
      </w:pPr>
      <w:r>
        <w:t>Wykaz klap podlegających okresowemu przeglądowi:</w:t>
      </w:r>
    </w:p>
    <w:p w14:paraId="6672B3D0" w14:textId="61A6145C" w:rsidR="006017BE" w:rsidRDefault="006017BE" w:rsidP="006017BE">
      <w:pPr>
        <w:pStyle w:val="Akapitzlist"/>
        <w:numPr>
          <w:ilvl w:val="0"/>
          <w:numId w:val="5"/>
        </w:numPr>
        <w:jc w:val="both"/>
      </w:pPr>
      <w:r>
        <w:lastRenderedPageBreak/>
        <w:t>Klapy ppoż</w:t>
      </w:r>
      <w:r w:rsidR="00244CEE">
        <w:t>:</w:t>
      </w:r>
    </w:p>
    <w:p w14:paraId="050634E5" w14:textId="40B0D62D" w:rsidR="00E725C5" w:rsidRDefault="00E725C5" w:rsidP="00E725C5">
      <w:pPr>
        <w:pStyle w:val="Akapitzlist"/>
        <w:jc w:val="both"/>
      </w:pPr>
      <w:r>
        <w:t xml:space="preserve">Klapa ppoż. okrągła </w:t>
      </w:r>
      <w:r w:rsidR="000B05B4">
        <w:t xml:space="preserve">o odporności </w:t>
      </w:r>
      <w:r w:rsidR="00244CEE">
        <w:t>ogniowej</w:t>
      </w:r>
      <w:r w:rsidR="000B05B4">
        <w:t xml:space="preserve"> EIS 120 z ręcznie otwieraną i </w:t>
      </w:r>
      <w:r w:rsidR="00244CEE">
        <w:t xml:space="preserve">samoczynnie zamykaną przegrodą odcinającą </w:t>
      </w:r>
      <w:r w:rsidR="00DA0022">
        <w:t xml:space="preserve">oraz mechanicznym wyzwalaczem termicznym </w:t>
      </w:r>
      <w:r w:rsidR="00655BB1">
        <w:t>opartym na lutowanym elemencie</w:t>
      </w:r>
      <w:r w:rsidR="00655BB1">
        <w:tab/>
      </w:r>
      <w:r w:rsidR="006A68E0">
        <w:tab/>
      </w:r>
      <w:r w:rsidR="00655BB1">
        <w:t>- 2 szt.</w:t>
      </w:r>
    </w:p>
    <w:p w14:paraId="1A48DA02" w14:textId="452BC84A" w:rsidR="00A11624" w:rsidRDefault="00A11624" w:rsidP="00A11624">
      <w:pPr>
        <w:pStyle w:val="Akapitzlist"/>
        <w:numPr>
          <w:ilvl w:val="0"/>
          <w:numId w:val="5"/>
        </w:numPr>
        <w:jc w:val="both"/>
      </w:pPr>
      <w:r>
        <w:t>Klapy zwrotne:</w:t>
      </w:r>
    </w:p>
    <w:p w14:paraId="3BAF9C3E" w14:textId="1589A9CA" w:rsidR="00A11624" w:rsidRDefault="00A11624" w:rsidP="00A11624">
      <w:pPr>
        <w:pStyle w:val="Akapitzlist"/>
        <w:jc w:val="both"/>
      </w:pPr>
      <w:r>
        <w:t xml:space="preserve">Klapa zwrotna okrągła </w:t>
      </w:r>
      <w:r w:rsidR="0008127B">
        <w:t xml:space="preserve">d 125 </w:t>
      </w:r>
      <w:r w:rsidR="006A68E0">
        <w:tab/>
        <w:t>-</w:t>
      </w:r>
      <w:r w:rsidR="0008127B">
        <w:t xml:space="preserve"> 5 szt,</w:t>
      </w:r>
    </w:p>
    <w:p w14:paraId="54CD5D75" w14:textId="198CE0F7" w:rsidR="0008127B" w:rsidRDefault="0008127B" w:rsidP="00A11624">
      <w:pPr>
        <w:pStyle w:val="Akapitzlist"/>
        <w:jc w:val="both"/>
      </w:pPr>
      <w:r>
        <w:t>Klapa zwrotna okrągła d 160</w:t>
      </w:r>
      <w:r w:rsidR="006A68E0">
        <w:tab/>
      </w:r>
      <w:r w:rsidR="00D4152C">
        <w:t xml:space="preserve">- </w:t>
      </w:r>
      <w:r w:rsidR="008C0E64">
        <w:t>1 szt.</w:t>
      </w:r>
    </w:p>
    <w:p w14:paraId="1181A2F3" w14:textId="71754ADF" w:rsidR="0022090B" w:rsidRDefault="0022090B" w:rsidP="0022090B">
      <w:pPr>
        <w:jc w:val="both"/>
      </w:pPr>
      <w:r>
        <w:t>Dane wentylatora kanałowego zlokalizowanego w przestrzeni poddasza nieużytkowego</w:t>
      </w:r>
      <w:r w:rsidR="009440B9">
        <w:t xml:space="preserve"> z wyłącznikiem serwisowym</w:t>
      </w:r>
      <w:r w:rsidR="007623A4">
        <w:t xml:space="preserve"> typ </w:t>
      </w:r>
      <w:r w:rsidR="0087641B">
        <w:t>ML 160/550 f-my Harmann</w:t>
      </w:r>
      <w:r>
        <w:t>:</w:t>
      </w:r>
    </w:p>
    <w:p w14:paraId="1805DFD2" w14:textId="18C8882A" w:rsidR="009440B9" w:rsidRDefault="009440B9" w:rsidP="0022090B">
      <w:pPr>
        <w:jc w:val="both"/>
      </w:pPr>
      <w:r>
        <w:t>Wydajność</w:t>
      </w:r>
      <w:r>
        <w:tab/>
      </w:r>
      <w:r w:rsidR="009933BA">
        <w:tab/>
      </w:r>
      <w:r>
        <w:t>- 170 m3/h</w:t>
      </w:r>
    </w:p>
    <w:p w14:paraId="075C64BD" w14:textId="601C84C7" w:rsidR="009440B9" w:rsidRDefault="007623A4" w:rsidP="0022090B">
      <w:pPr>
        <w:jc w:val="both"/>
      </w:pPr>
      <w:r>
        <w:t xml:space="preserve">Spręż </w:t>
      </w:r>
      <w:r>
        <w:tab/>
      </w:r>
      <w:r>
        <w:tab/>
      </w:r>
      <w:r w:rsidR="009933BA">
        <w:tab/>
      </w:r>
      <w:r>
        <w:t>- 100 Pa,</w:t>
      </w:r>
    </w:p>
    <w:p w14:paraId="408A545E" w14:textId="2CFC41EF" w:rsidR="0087641B" w:rsidRDefault="0087641B" w:rsidP="0022090B">
      <w:pPr>
        <w:jc w:val="both"/>
      </w:pPr>
      <w:r>
        <w:t>Max. Pobór mocy</w:t>
      </w:r>
      <w:r>
        <w:tab/>
        <w:t xml:space="preserve">- </w:t>
      </w:r>
      <w:r w:rsidR="005F7900">
        <w:t>0,045 kW,</w:t>
      </w:r>
    </w:p>
    <w:p w14:paraId="647A3D19" w14:textId="53DCF580" w:rsidR="005F7900" w:rsidRDefault="005F7900" w:rsidP="0022090B">
      <w:pPr>
        <w:jc w:val="both"/>
      </w:pPr>
      <w:r>
        <w:t>Natężenie zasilania</w:t>
      </w:r>
      <w:r>
        <w:tab/>
        <w:t>- 0,19 A,</w:t>
      </w:r>
    </w:p>
    <w:p w14:paraId="5EC31E2B" w14:textId="4599D8C3" w:rsidR="005F7900" w:rsidRDefault="005F7900" w:rsidP="0022090B">
      <w:pPr>
        <w:jc w:val="both"/>
      </w:pPr>
      <w:r>
        <w:t xml:space="preserve">Napięcie </w:t>
      </w:r>
      <w:r w:rsidR="00643509">
        <w:tab/>
      </w:r>
      <w:r w:rsidR="00643509">
        <w:tab/>
        <w:t>- 230 V 50 Hz.</w:t>
      </w:r>
    </w:p>
    <w:p w14:paraId="3A1D946C" w14:textId="4CAD4AF7" w:rsidR="00F8758B" w:rsidRPr="003C67E7" w:rsidRDefault="00F8758B" w:rsidP="0022090B">
      <w:pPr>
        <w:jc w:val="both"/>
        <w:rPr>
          <w:b/>
          <w:bCs/>
        </w:rPr>
      </w:pPr>
      <w:bookmarkStart w:id="0" w:name="_Hlk93910900"/>
      <w:r w:rsidRPr="003C67E7">
        <w:rPr>
          <w:b/>
          <w:bCs/>
        </w:rPr>
        <w:t xml:space="preserve">Nawilżacz powietrza typ </w:t>
      </w:r>
      <w:r w:rsidR="009E67AB" w:rsidRPr="003C67E7">
        <w:rPr>
          <w:b/>
          <w:bCs/>
        </w:rPr>
        <w:t>CONDAIR</w:t>
      </w:r>
    </w:p>
    <w:bookmarkEnd w:id="0"/>
    <w:p w14:paraId="2F21C2A5" w14:textId="5758ED37" w:rsidR="003C67E7" w:rsidRDefault="003C67E7" w:rsidP="003C67E7">
      <w:pPr>
        <w:jc w:val="both"/>
      </w:pPr>
      <w:r>
        <w:t>W celu zapewnienia bezpiecznego, właściwego i ekonomicznego działania nawilżacza parowego Condair EL, należy przestrzegać i postępować zgodnie z wszystkimi informacjami i instrukcjami dotyczącymi bezpieczeństwa zawartymi w dokumentacji, jak również w oddzielnej dokumentacji dotyczącej podzespołów zainstalowanych w instalacji nawilżania.</w:t>
      </w:r>
    </w:p>
    <w:p w14:paraId="09913206" w14:textId="28FEF29D" w:rsidR="006A3462" w:rsidRDefault="006A3462" w:rsidP="006A3462">
      <w:pPr>
        <w:jc w:val="both"/>
      </w:pPr>
      <w:r>
        <w:t xml:space="preserve">Wszystkie czynności </w:t>
      </w:r>
      <w:r w:rsidR="001911DA">
        <w:t xml:space="preserve">serwisowe </w:t>
      </w:r>
      <w:r>
        <w:t xml:space="preserve">mogą być wykonywane przez odpowiednio przeszkolony i wykwalifikowany personel, </w:t>
      </w:r>
      <w:r w:rsidR="00CA24A1">
        <w:t>wyznaczony przez Wykonawcę</w:t>
      </w:r>
      <w:r>
        <w:t>.</w:t>
      </w:r>
      <w:r w:rsidR="001911DA">
        <w:t xml:space="preserve"> Ponadto, </w:t>
      </w:r>
      <w:r w:rsidR="00701674">
        <w:t>uwzględniając czynniki</w:t>
      </w:r>
      <w:r>
        <w:t xml:space="preserve"> bezpieczeństwa jak również z uwagi na utrzymanie gwarancji urządzenia, każda czynność wybiegająca charakterem poza opisane w </w:t>
      </w:r>
      <w:r w:rsidR="00701674">
        <w:t>i</w:t>
      </w:r>
      <w:r>
        <w:t>nstrukcji obsługi może być podjęta jedynie przez wykwalifikowany personel autoryzowany przez producenta</w:t>
      </w:r>
      <w:r w:rsidR="00701674">
        <w:t xml:space="preserve"> urządzenia.</w:t>
      </w:r>
    </w:p>
    <w:p w14:paraId="1755E069" w14:textId="4085AFCE" w:rsidR="00F05AEC" w:rsidRDefault="007E32B7" w:rsidP="00F05AEC">
      <w:pPr>
        <w:jc w:val="both"/>
      </w:pPr>
      <w:r>
        <w:t>W czasie prac konserwacyjnych n</w:t>
      </w:r>
      <w:r w:rsidRPr="007E32B7">
        <w:t>ależy przestrzegać wszelkich instrukcji i szczegółów dotyczących konserwacji</w:t>
      </w:r>
      <w:r>
        <w:t xml:space="preserve"> zawartych w instrukcji obsługi i konserwacji.</w:t>
      </w:r>
      <w:r w:rsidR="00F05AEC" w:rsidRPr="00F05AEC">
        <w:t xml:space="preserve"> </w:t>
      </w:r>
      <w:r w:rsidR="00F05AEC">
        <w:t xml:space="preserve">Przeglądy okresowe należy wykonywać co najmniej raz do roku. Jeśli podczas przeglądu </w:t>
      </w:r>
      <w:r w:rsidR="00050D73">
        <w:t>stwierdzone</w:t>
      </w:r>
      <w:r w:rsidR="00F05AEC">
        <w:t xml:space="preserve"> zostanie silne zanieczyszczenie częstotliwość przeglądów należy odpowiednio zwiększyć. </w:t>
      </w:r>
    </w:p>
    <w:p w14:paraId="3E11AA52" w14:textId="7B35F3E0" w:rsidR="007E32B7" w:rsidRDefault="00F05AEC" w:rsidP="00F05AEC">
      <w:pPr>
        <w:jc w:val="both"/>
      </w:pPr>
      <w:r>
        <w:t>Poniżej czynności do wykonania podczas przeglądu okresowego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F6193" w14:paraId="41ADC279" w14:textId="77777777" w:rsidTr="00646241">
        <w:trPr>
          <w:trHeight w:val="454"/>
          <w:jc w:val="center"/>
        </w:trPr>
        <w:tc>
          <w:tcPr>
            <w:tcW w:w="4531" w:type="dxa"/>
            <w:vAlign w:val="center"/>
          </w:tcPr>
          <w:p w14:paraId="4F725920" w14:textId="02DFE0A5" w:rsidR="007F6193" w:rsidRPr="00646241" w:rsidRDefault="000139A3" w:rsidP="00F05AEC">
            <w:pPr>
              <w:jc w:val="both"/>
              <w:rPr>
                <w:b/>
                <w:bCs/>
                <w:sz w:val="24"/>
                <w:szCs w:val="24"/>
              </w:rPr>
            </w:pPr>
            <w:r w:rsidRPr="00646241">
              <w:rPr>
                <w:b/>
                <w:bCs/>
                <w:sz w:val="24"/>
                <w:szCs w:val="24"/>
              </w:rPr>
              <w:t xml:space="preserve">Komponent </w:t>
            </w:r>
          </w:p>
        </w:tc>
        <w:tc>
          <w:tcPr>
            <w:tcW w:w="4531" w:type="dxa"/>
            <w:vAlign w:val="center"/>
          </w:tcPr>
          <w:p w14:paraId="70D1F4EB" w14:textId="381D1D64" w:rsidR="007F6193" w:rsidRPr="00646241" w:rsidRDefault="000139A3" w:rsidP="00F05AEC">
            <w:pPr>
              <w:jc w:val="both"/>
              <w:rPr>
                <w:b/>
                <w:bCs/>
                <w:sz w:val="24"/>
                <w:szCs w:val="24"/>
              </w:rPr>
            </w:pPr>
            <w:r w:rsidRPr="00646241">
              <w:rPr>
                <w:b/>
                <w:bCs/>
                <w:sz w:val="24"/>
                <w:szCs w:val="24"/>
              </w:rPr>
              <w:t>Czynność</w:t>
            </w:r>
          </w:p>
        </w:tc>
      </w:tr>
      <w:tr w:rsidR="007F6193" w14:paraId="7F69698A" w14:textId="77777777" w:rsidTr="00646241">
        <w:trPr>
          <w:jc w:val="center"/>
        </w:trPr>
        <w:tc>
          <w:tcPr>
            <w:tcW w:w="4531" w:type="dxa"/>
            <w:vAlign w:val="center"/>
          </w:tcPr>
          <w:p w14:paraId="420A7366" w14:textId="3DC236DB" w:rsidR="007F6193" w:rsidRDefault="00F565C6" w:rsidP="00F05AEC">
            <w:pPr>
              <w:jc w:val="both"/>
            </w:pPr>
            <w:r w:rsidRPr="00F565C6">
              <w:t>Pompa spustowa</w:t>
            </w:r>
          </w:p>
        </w:tc>
        <w:tc>
          <w:tcPr>
            <w:tcW w:w="4531" w:type="dxa"/>
            <w:vAlign w:val="center"/>
          </w:tcPr>
          <w:p w14:paraId="25F9E8EC" w14:textId="20A44A8C" w:rsidR="007F6193" w:rsidRDefault="00E17502" w:rsidP="00F05AEC">
            <w:pPr>
              <w:jc w:val="both"/>
            </w:pPr>
            <w:r w:rsidRPr="00E17502">
              <w:t>Wyjąć, rozmontować, w razie potrzeby wymienić</w:t>
            </w:r>
          </w:p>
        </w:tc>
      </w:tr>
      <w:tr w:rsidR="007F6193" w14:paraId="7F6C75DB" w14:textId="77777777" w:rsidTr="00646241">
        <w:trPr>
          <w:jc w:val="center"/>
        </w:trPr>
        <w:tc>
          <w:tcPr>
            <w:tcW w:w="4531" w:type="dxa"/>
            <w:vAlign w:val="center"/>
          </w:tcPr>
          <w:p w14:paraId="0A02E219" w14:textId="170DF7ED" w:rsidR="007F6193" w:rsidRDefault="00F565C6" w:rsidP="00F05AEC">
            <w:pPr>
              <w:jc w:val="both"/>
            </w:pPr>
            <w:r w:rsidRPr="00F565C6">
              <w:t>Gniazdo cylindra pary</w:t>
            </w:r>
          </w:p>
        </w:tc>
        <w:tc>
          <w:tcPr>
            <w:tcW w:w="4531" w:type="dxa"/>
            <w:vAlign w:val="center"/>
          </w:tcPr>
          <w:p w14:paraId="2BA8A270" w14:textId="24311CD3" w:rsidR="007F6193" w:rsidRDefault="00E17502" w:rsidP="00F05AEC">
            <w:pPr>
              <w:jc w:val="both"/>
            </w:pPr>
            <w:r w:rsidRPr="00E17502">
              <w:t>Sprawdzić, w razie potrzeby oczyścić.</w:t>
            </w:r>
          </w:p>
        </w:tc>
      </w:tr>
      <w:tr w:rsidR="007F6193" w14:paraId="66552022" w14:textId="77777777" w:rsidTr="00646241">
        <w:trPr>
          <w:jc w:val="center"/>
        </w:trPr>
        <w:tc>
          <w:tcPr>
            <w:tcW w:w="4531" w:type="dxa"/>
            <w:vAlign w:val="center"/>
          </w:tcPr>
          <w:p w14:paraId="7EF24439" w14:textId="4FCF0C86" w:rsidR="007F6193" w:rsidRDefault="00951703" w:rsidP="00F05AEC">
            <w:pPr>
              <w:jc w:val="both"/>
            </w:pPr>
            <w:r w:rsidRPr="00951703">
              <w:t>Zawór wlotowy</w:t>
            </w:r>
          </w:p>
        </w:tc>
        <w:tc>
          <w:tcPr>
            <w:tcW w:w="4531" w:type="dxa"/>
            <w:vAlign w:val="center"/>
          </w:tcPr>
          <w:p w14:paraId="2F302DAD" w14:textId="08031051" w:rsidR="007F6193" w:rsidRDefault="001E59A6" w:rsidP="00F05AEC">
            <w:pPr>
              <w:jc w:val="both"/>
            </w:pPr>
            <w:r w:rsidRPr="001E59A6">
              <w:t>Wyjąć i oczyścić wkład filtra, w razie potrzeby wymienić</w:t>
            </w:r>
          </w:p>
        </w:tc>
      </w:tr>
      <w:tr w:rsidR="007F6193" w14:paraId="48723B41" w14:textId="77777777" w:rsidTr="00646241">
        <w:trPr>
          <w:jc w:val="center"/>
        </w:trPr>
        <w:tc>
          <w:tcPr>
            <w:tcW w:w="4531" w:type="dxa"/>
            <w:vAlign w:val="center"/>
          </w:tcPr>
          <w:p w14:paraId="6ABEB3D5" w14:textId="23BD2007" w:rsidR="007F6193" w:rsidRDefault="00951703" w:rsidP="00F05AEC">
            <w:pPr>
              <w:jc w:val="both"/>
            </w:pPr>
            <w:r w:rsidRPr="00951703">
              <w:t>Przelewowy zbiornik napełniający</w:t>
            </w:r>
          </w:p>
        </w:tc>
        <w:tc>
          <w:tcPr>
            <w:tcW w:w="4531" w:type="dxa"/>
            <w:vAlign w:val="center"/>
          </w:tcPr>
          <w:p w14:paraId="3105D968" w14:textId="41F43991" w:rsidR="007F6193" w:rsidRDefault="001E59A6" w:rsidP="00F05AEC">
            <w:pPr>
              <w:jc w:val="both"/>
            </w:pPr>
            <w:r w:rsidRPr="001E59A6">
              <w:t>W razie potrzeby wyjąc i wyczyścić.</w:t>
            </w:r>
          </w:p>
        </w:tc>
      </w:tr>
      <w:tr w:rsidR="007F6193" w14:paraId="6CCEA15B" w14:textId="77777777" w:rsidTr="00646241">
        <w:trPr>
          <w:jc w:val="center"/>
        </w:trPr>
        <w:tc>
          <w:tcPr>
            <w:tcW w:w="4531" w:type="dxa"/>
            <w:vAlign w:val="center"/>
          </w:tcPr>
          <w:p w14:paraId="61580999" w14:textId="6E6E87B6" w:rsidR="007F6193" w:rsidRDefault="009B40BB" w:rsidP="00F05AEC">
            <w:pPr>
              <w:jc w:val="both"/>
            </w:pPr>
            <w:r w:rsidRPr="009B40BB">
              <w:t>Zbiornik spustowy</w:t>
            </w:r>
          </w:p>
        </w:tc>
        <w:tc>
          <w:tcPr>
            <w:tcW w:w="4531" w:type="dxa"/>
            <w:vAlign w:val="center"/>
          </w:tcPr>
          <w:p w14:paraId="09751C62" w14:textId="3F606DBE" w:rsidR="007F6193" w:rsidRDefault="001E59A6" w:rsidP="00F05AEC">
            <w:pPr>
              <w:jc w:val="both"/>
            </w:pPr>
            <w:r w:rsidRPr="001E59A6">
              <w:t>W razie potrzeby wyjąc i wyczyścić.</w:t>
            </w:r>
          </w:p>
        </w:tc>
      </w:tr>
      <w:tr w:rsidR="007F6193" w14:paraId="583BD835" w14:textId="77777777" w:rsidTr="00646241">
        <w:trPr>
          <w:jc w:val="center"/>
        </w:trPr>
        <w:tc>
          <w:tcPr>
            <w:tcW w:w="4531" w:type="dxa"/>
            <w:vAlign w:val="center"/>
          </w:tcPr>
          <w:p w14:paraId="4E112462" w14:textId="4AAB4B99" w:rsidR="007F6193" w:rsidRDefault="009B40BB" w:rsidP="00F05AEC">
            <w:pPr>
              <w:jc w:val="both"/>
            </w:pPr>
            <w:r w:rsidRPr="009B40BB">
              <w:t>Rurka spustowa i syfon</w:t>
            </w:r>
          </w:p>
        </w:tc>
        <w:tc>
          <w:tcPr>
            <w:tcW w:w="4531" w:type="dxa"/>
            <w:vAlign w:val="center"/>
          </w:tcPr>
          <w:p w14:paraId="02AD950D" w14:textId="353095CF" w:rsidR="007F6193" w:rsidRDefault="00E65B5F" w:rsidP="00F05AEC">
            <w:pPr>
              <w:jc w:val="both"/>
            </w:pPr>
            <w:r w:rsidRPr="00E65B5F">
              <w:t>Sprawdzić, w razie potrzeby oczyścić (odkamienić i przepłukać).</w:t>
            </w:r>
          </w:p>
        </w:tc>
      </w:tr>
      <w:tr w:rsidR="007F6193" w14:paraId="461E8DEC" w14:textId="77777777" w:rsidTr="00646241">
        <w:trPr>
          <w:jc w:val="center"/>
        </w:trPr>
        <w:tc>
          <w:tcPr>
            <w:tcW w:w="4531" w:type="dxa"/>
            <w:vAlign w:val="center"/>
          </w:tcPr>
          <w:p w14:paraId="0AE243D9" w14:textId="5D7152E0" w:rsidR="007F6193" w:rsidRDefault="009B40BB" w:rsidP="00F05AEC">
            <w:pPr>
              <w:jc w:val="both"/>
            </w:pPr>
            <w:r w:rsidRPr="009B40BB">
              <w:t>Instalacja parowa</w:t>
            </w:r>
          </w:p>
        </w:tc>
        <w:tc>
          <w:tcPr>
            <w:tcW w:w="4531" w:type="dxa"/>
            <w:vAlign w:val="center"/>
          </w:tcPr>
          <w:p w14:paraId="2B3AD6C4" w14:textId="77777777" w:rsidR="00E65B5F" w:rsidRDefault="00E65B5F" w:rsidP="00E65B5F">
            <w:pPr>
              <w:jc w:val="both"/>
            </w:pPr>
            <w:r>
              <w:t xml:space="preserve">Węże pary i kondensatu sprawdzić na ewentualne pęknięcia i </w:t>
            </w:r>
          </w:p>
          <w:p w14:paraId="2551971A" w14:textId="0B4DF7DF" w:rsidR="007F6193" w:rsidRDefault="00E65B5F" w:rsidP="00E65B5F">
            <w:pPr>
              <w:jc w:val="both"/>
            </w:pPr>
            <w:r>
              <w:lastRenderedPageBreak/>
              <w:t>odpowiednie zamocowanie; wadliwe węże wymienić.</w:t>
            </w:r>
          </w:p>
        </w:tc>
      </w:tr>
      <w:tr w:rsidR="007F6193" w14:paraId="134A9593" w14:textId="77777777" w:rsidTr="00646241">
        <w:trPr>
          <w:jc w:val="center"/>
        </w:trPr>
        <w:tc>
          <w:tcPr>
            <w:tcW w:w="4531" w:type="dxa"/>
            <w:vAlign w:val="center"/>
          </w:tcPr>
          <w:p w14:paraId="1D376988" w14:textId="71375124" w:rsidR="007F6193" w:rsidRDefault="00817901" w:rsidP="00F05AEC">
            <w:pPr>
              <w:jc w:val="both"/>
            </w:pPr>
            <w:r w:rsidRPr="00817901">
              <w:lastRenderedPageBreak/>
              <w:t>Instalacja wodna</w:t>
            </w:r>
          </w:p>
        </w:tc>
        <w:tc>
          <w:tcPr>
            <w:tcW w:w="4531" w:type="dxa"/>
            <w:vAlign w:val="center"/>
          </w:tcPr>
          <w:p w14:paraId="39CB4590" w14:textId="77777777" w:rsidR="00646241" w:rsidRDefault="00646241" w:rsidP="00646241">
            <w:pPr>
              <w:jc w:val="both"/>
            </w:pPr>
            <w:r>
              <w:t xml:space="preserve">Węże wody sprawdzić na ewentualne pęknięcia i odpowiednie </w:t>
            </w:r>
          </w:p>
          <w:p w14:paraId="463868AC" w14:textId="77777777" w:rsidR="00646241" w:rsidRDefault="00646241" w:rsidP="00646241">
            <w:pPr>
              <w:jc w:val="both"/>
            </w:pPr>
            <w:r>
              <w:t>zamocowanie; wadliwe węże wymienić.</w:t>
            </w:r>
          </w:p>
          <w:p w14:paraId="7D1473A2" w14:textId="77777777" w:rsidR="00646241" w:rsidRDefault="00646241" w:rsidP="00646241">
            <w:pPr>
              <w:jc w:val="both"/>
            </w:pPr>
            <w:r>
              <w:t xml:space="preserve">Sprawdzić szczelność przewodu dostarczającego wodę; w razie </w:t>
            </w:r>
          </w:p>
          <w:p w14:paraId="71D8553A" w14:textId="14A5164D" w:rsidR="007F6193" w:rsidRDefault="00646241" w:rsidP="00646241">
            <w:pPr>
              <w:jc w:val="both"/>
            </w:pPr>
            <w:r>
              <w:t>potrzeby dokręcić. Wyczyścić filtr wody (jeśli jest).</w:t>
            </w:r>
          </w:p>
        </w:tc>
      </w:tr>
      <w:tr w:rsidR="007F6193" w14:paraId="4FFEF9C7" w14:textId="77777777" w:rsidTr="00646241">
        <w:trPr>
          <w:jc w:val="center"/>
        </w:trPr>
        <w:tc>
          <w:tcPr>
            <w:tcW w:w="4531" w:type="dxa"/>
            <w:vAlign w:val="center"/>
          </w:tcPr>
          <w:p w14:paraId="2F58D37D" w14:textId="108BB54A" w:rsidR="007F6193" w:rsidRDefault="00817901" w:rsidP="00F05AEC">
            <w:pPr>
              <w:jc w:val="both"/>
            </w:pPr>
            <w:r w:rsidRPr="00817901">
              <w:t>Instalacja elektryczna</w:t>
            </w:r>
          </w:p>
        </w:tc>
        <w:tc>
          <w:tcPr>
            <w:tcW w:w="4531" w:type="dxa"/>
            <w:vAlign w:val="center"/>
          </w:tcPr>
          <w:p w14:paraId="7DB626E4" w14:textId="058CD5FE" w:rsidR="007F6193" w:rsidRDefault="00646241" w:rsidP="00F05AEC">
            <w:pPr>
              <w:jc w:val="both"/>
            </w:pPr>
            <w:r w:rsidRPr="00646241">
              <w:t>Sprawdzić stan zamocowania wszystkich kabli oraz stan izolacji.</w:t>
            </w:r>
          </w:p>
        </w:tc>
      </w:tr>
    </w:tbl>
    <w:p w14:paraId="4415C03D" w14:textId="3ECE1CF4" w:rsidR="007F6193" w:rsidRDefault="007F6193" w:rsidP="00F05AEC">
      <w:pPr>
        <w:jc w:val="both"/>
      </w:pPr>
    </w:p>
    <w:p w14:paraId="043994AF" w14:textId="43080235" w:rsidR="00C01F4F" w:rsidRPr="00BB77A1" w:rsidRDefault="00B71D02" w:rsidP="00B71D0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B77A1">
        <w:rPr>
          <w:b/>
          <w:bCs/>
        </w:rPr>
        <w:t>Instalacja wod-kan</w:t>
      </w:r>
    </w:p>
    <w:p w14:paraId="547234D8" w14:textId="7E7CFD7A" w:rsidR="00F015B3" w:rsidRDefault="00F015B3" w:rsidP="005039B1">
      <w:pPr>
        <w:jc w:val="both"/>
      </w:pPr>
      <w:r w:rsidRPr="00F015B3">
        <w:t>Do budynku doprowadzon</w:t>
      </w:r>
      <w:r w:rsidR="00C1421B">
        <w:t>e</w:t>
      </w:r>
      <w:r w:rsidRPr="00F015B3">
        <w:t xml:space="preserve"> jest przyłącz</w:t>
      </w:r>
      <w:r>
        <w:t>e</w:t>
      </w:r>
      <w:r w:rsidRPr="00F015B3">
        <w:t xml:space="preserve"> wody </w:t>
      </w:r>
      <w:r>
        <w:t>z rur</w:t>
      </w:r>
      <w:r w:rsidR="00CA6D5F">
        <w:t>ą</w:t>
      </w:r>
      <w:r>
        <w:t xml:space="preserve"> </w:t>
      </w:r>
      <w:r w:rsidRPr="00F015B3">
        <w:t>Dn40</w:t>
      </w:r>
      <w:r w:rsidR="00CA6D5F">
        <w:t>.</w:t>
      </w:r>
      <w:r w:rsidR="00E24DCA" w:rsidRPr="00E24DCA">
        <w:t xml:space="preserve"> Pomiar wody</w:t>
      </w:r>
      <w:r w:rsidR="00E24DCA">
        <w:t xml:space="preserve"> odbywa się </w:t>
      </w:r>
      <w:r w:rsidR="00E24DCA" w:rsidRPr="00E24DCA">
        <w:t>wodomierzem DN20</w:t>
      </w:r>
      <w:r w:rsidR="00E24DCA">
        <w:t xml:space="preserve"> umieszczonym</w:t>
      </w:r>
      <w:r w:rsidR="00E24DCA" w:rsidRPr="00E24DCA">
        <w:t xml:space="preserve"> w piwnicy budynku</w:t>
      </w:r>
      <w:r w:rsidR="00C45025">
        <w:t>.</w:t>
      </w:r>
    </w:p>
    <w:p w14:paraId="68876D41" w14:textId="3A3A2ADA" w:rsidR="00AE3773" w:rsidRPr="0001529C" w:rsidRDefault="0001529C" w:rsidP="005039B1">
      <w:pPr>
        <w:jc w:val="both"/>
        <w:rPr>
          <w:b/>
          <w:bCs/>
        </w:rPr>
      </w:pPr>
      <w:r w:rsidRPr="0001529C">
        <w:rPr>
          <w:b/>
          <w:bCs/>
        </w:rPr>
        <w:t>CWU</w:t>
      </w:r>
    </w:p>
    <w:p w14:paraId="48E46977" w14:textId="4761417D" w:rsidR="005039B1" w:rsidRDefault="005039B1" w:rsidP="005039B1">
      <w:pPr>
        <w:jc w:val="both"/>
      </w:pPr>
      <w:r>
        <w:t>Ciepła woda przygotowywana jest w podgrzewaczu pojemnościowy</w:t>
      </w:r>
      <w:r w:rsidR="00AE3773">
        <w:t>m</w:t>
      </w:r>
      <w:r>
        <w:t xml:space="preserve"> V=1</w:t>
      </w:r>
      <w:r w:rsidR="00686D9E">
        <w:t>4</w:t>
      </w:r>
      <w:r>
        <w:t>0l zasilanym z kotła gazowego. Główne poziomy wody zimnej, ciepłej i cyrkulacji do pionu prowadzone są w piwnicy budynku. Podejścia do przyborów sanitarnych wykonane są od dołu.</w:t>
      </w:r>
    </w:p>
    <w:p w14:paraId="3A365F20" w14:textId="55D7D15D" w:rsidR="0001529C" w:rsidRDefault="00B968E0" w:rsidP="005039B1">
      <w:pPr>
        <w:jc w:val="both"/>
      </w:pPr>
      <w:r>
        <w:t xml:space="preserve">Instalacja wyposażona jest </w:t>
      </w:r>
      <w:r w:rsidR="003B4351">
        <w:t xml:space="preserve">w zasobnik CWU posiadający wężownicę o pojemności 140 </w:t>
      </w:r>
      <w:r w:rsidR="002527B4">
        <w:t>l</w:t>
      </w:r>
      <w:r w:rsidR="003B4351">
        <w:t xml:space="preserve">. </w:t>
      </w:r>
      <w:r w:rsidR="0057400F">
        <w:t>Maksymalne ciśnienie wody określone zostało na wartość 0,6 MPa</w:t>
      </w:r>
      <w:r w:rsidR="00315586">
        <w:t xml:space="preserve">. Podgrzewacz współpracuje z gazowym kotłem kondensacyjnym </w:t>
      </w:r>
    </w:p>
    <w:p w14:paraId="7A926C15" w14:textId="121065C8" w:rsidR="000A1040" w:rsidRDefault="002527B4" w:rsidP="005039B1">
      <w:pPr>
        <w:jc w:val="both"/>
      </w:pPr>
      <w:r>
        <w:t>Serwis polega na co najmnie</w:t>
      </w:r>
      <w:r w:rsidR="00890EC1">
        <w:t>j</w:t>
      </w:r>
      <w:r>
        <w:t xml:space="preserve"> dwukrotnym </w:t>
      </w:r>
      <w:r w:rsidR="009F458F">
        <w:t>sprawdzeniu w ciągu roku szczelności połączeń oraz sprawdzeniu poprawnego działania zaworu bezpieczeństwa zbiornika. W przypadku nieprawidłowego działania zaworu należy wymienić go na nowy</w:t>
      </w:r>
      <w:r w:rsidR="00890EC1">
        <w:t>.</w:t>
      </w:r>
    </w:p>
    <w:p w14:paraId="5263BF36" w14:textId="3E47338B" w:rsidR="00B47689" w:rsidRPr="000A1040" w:rsidRDefault="00B47689" w:rsidP="005039B1">
      <w:pPr>
        <w:jc w:val="both"/>
        <w:rPr>
          <w:b/>
          <w:bCs/>
        </w:rPr>
      </w:pPr>
      <w:bookmarkStart w:id="1" w:name="_Hlk93910939"/>
      <w:r w:rsidRPr="000A1040">
        <w:rPr>
          <w:b/>
          <w:bCs/>
        </w:rPr>
        <w:t xml:space="preserve">Zmiękczacz wody Clack z głowicą sterującą </w:t>
      </w:r>
      <w:r w:rsidR="000A1040" w:rsidRPr="000A1040">
        <w:rPr>
          <w:b/>
          <w:bCs/>
        </w:rPr>
        <w:t>Pallas IA</w:t>
      </w:r>
    </w:p>
    <w:bookmarkEnd w:id="1"/>
    <w:p w14:paraId="4660482E" w14:textId="2F650B00" w:rsidR="00EA13DC" w:rsidRDefault="00EA13DC" w:rsidP="005039B1">
      <w:pPr>
        <w:jc w:val="both"/>
      </w:pPr>
      <w:r>
        <w:t>Dla zapewnienia odpowiedniej jakości wody, do nawilżacza powietrza doprowadzona jest oddzielna instalacja rurowa</w:t>
      </w:r>
      <w:r w:rsidR="004D0370">
        <w:t>. Woda dla potrzeb nawilżacza przygotowywana jest przy użyciu zmiękczacza wody Clack z głowicą sterującą Pallas</w:t>
      </w:r>
      <w:r w:rsidR="00B24B92">
        <w:t xml:space="preserve"> IA.</w:t>
      </w:r>
    </w:p>
    <w:p w14:paraId="410CFE5C" w14:textId="11D784E9" w:rsidR="00C25359" w:rsidRDefault="00C25359" w:rsidP="005039B1">
      <w:pPr>
        <w:jc w:val="both"/>
      </w:pPr>
      <w:r>
        <w:t xml:space="preserve">Urządzenie działa poprawnie, </w:t>
      </w:r>
      <w:r w:rsidR="00AB0CBF">
        <w:t>jeżeli</w:t>
      </w:r>
      <w:r w:rsidR="00975482" w:rsidRPr="00975482">
        <w:t xml:space="preserve"> wod</w:t>
      </w:r>
      <w:r w:rsidR="00AB0CBF">
        <w:t>a</w:t>
      </w:r>
      <w:r w:rsidR="00975482" w:rsidRPr="00975482">
        <w:t xml:space="preserve"> ma niższe lub równe parametry od podanych poniżej:</w:t>
      </w:r>
    </w:p>
    <w:p w14:paraId="166A2D19" w14:textId="14129605" w:rsidR="00C25359" w:rsidRDefault="00975482" w:rsidP="005039B1">
      <w:pPr>
        <w:jc w:val="both"/>
      </w:pPr>
      <w:r w:rsidRPr="00975482">
        <w:t>Poziom pH: 5,0 - 10,0</w:t>
      </w:r>
      <w:r w:rsidR="00AB0CBF">
        <w:t>;</w:t>
      </w:r>
    </w:p>
    <w:p w14:paraId="732D6122" w14:textId="2811FA36" w:rsidR="00C25359" w:rsidRDefault="00975482" w:rsidP="005039B1">
      <w:pPr>
        <w:jc w:val="both"/>
      </w:pPr>
      <w:r w:rsidRPr="00975482">
        <w:t>Żelazo: poniżej 1 mg/l (1000 μg/l)</w:t>
      </w:r>
      <w:r w:rsidR="00AB0CBF">
        <w:t>;</w:t>
      </w:r>
    </w:p>
    <w:p w14:paraId="6B9D72A0" w14:textId="54B8AC87" w:rsidR="00C25359" w:rsidRDefault="00975482" w:rsidP="005039B1">
      <w:pPr>
        <w:jc w:val="both"/>
      </w:pPr>
      <w:r w:rsidRPr="00975482">
        <w:t>Mangan: poniżej 0,1 mg/l (100 μg/l)</w:t>
      </w:r>
      <w:r w:rsidR="00AB0CBF">
        <w:t>;</w:t>
      </w:r>
    </w:p>
    <w:p w14:paraId="3B5BFFA5" w14:textId="0A31231C" w:rsidR="00C25359" w:rsidRDefault="00975482" w:rsidP="005039B1">
      <w:pPr>
        <w:jc w:val="both"/>
      </w:pPr>
      <w:r w:rsidRPr="00975482">
        <w:t>Zawartość węglanu wapnia: max 1500 mg/l (87,7 °dH)</w:t>
      </w:r>
      <w:r w:rsidR="00AB0CBF">
        <w:t>.</w:t>
      </w:r>
    </w:p>
    <w:p w14:paraId="1A1C8DBD" w14:textId="74AEA1E6" w:rsidR="002344FE" w:rsidRDefault="002344FE" w:rsidP="005039B1">
      <w:pPr>
        <w:jc w:val="both"/>
      </w:pPr>
      <w:r>
        <w:t xml:space="preserve">Serwis </w:t>
      </w:r>
      <w:r w:rsidR="00A26016">
        <w:t xml:space="preserve">zmiękczacza wody polega na co najmniej dwukrotnym w ciągu roku przeglądzie i obserwacji pracy urządzenia </w:t>
      </w:r>
      <w:r w:rsidR="003A7D68">
        <w:t>zmiękczacza wody.</w:t>
      </w:r>
    </w:p>
    <w:p w14:paraId="7B6AF0B6" w14:textId="646972F3" w:rsidR="00581E0A" w:rsidRDefault="00581E0A" w:rsidP="00581E0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81E0A">
        <w:rPr>
          <w:b/>
          <w:bCs/>
        </w:rPr>
        <w:t>Instalacja CO i CT</w:t>
      </w:r>
    </w:p>
    <w:p w14:paraId="053E37B3" w14:textId="1371C95C" w:rsidR="00222FBA" w:rsidRPr="00222FBA" w:rsidRDefault="00222FBA" w:rsidP="005A0F5D">
      <w:pPr>
        <w:rPr>
          <w:b/>
          <w:bCs/>
        </w:rPr>
      </w:pPr>
      <w:r w:rsidRPr="00222FBA">
        <w:rPr>
          <w:b/>
          <w:bCs/>
        </w:rPr>
        <w:t>Instalacja CO</w:t>
      </w:r>
      <w:r w:rsidR="009438F6">
        <w:rPr>
          <w:b/>
          <w:bCs/>
        </w:rPr>
        <w:t xml:space="preserve"> i CT</w:t>
      </w:r>
    </w:p>
    <w:p w14:paraId="3C6BB71C" w14:textId="75515CD2" w:rsidR="00581E0A" w:rsidRDefault="00A15E36" w:rsidP="005A0F5D">
      <w:r w:rsidRPr="00A15E36">
        <w:lastRenderedPageBreak/>
        <w:t xml:space="preserve">Bezpośrednim źródłem ciepła </w:t>
      </w:r>
      <w:r w:rsidR="009438F6">
        <w:t>jest</w:t>
      </w:r>
      <w:r w:rsidRPr="00A15E36">
        <w:t xml:space="preserve"> kotłownia gazowa dla celów </w:t>
      </w:r>
      <w:r w:rsidR="009438F6">
        <w:t>CO</w:t>
      </w:r>
      <w:r w:rsidRPr="00A15E36">
        <w:t xml:space="preserve">, </w:t>
      </w:r>
      <w:r w:rsidR="009438F6">
        <w:t>CT i CWU</w:t>
      </w:r>
      <w:r w:rsidRPr="00A15E36">
        <w:t xml:space="preserve"> zlokalizowana w</w:t>
      </w:r>
      <w:r w:rsidR="005A0F5D">
        <w:t xml:space="preserve"> </w:t>
      </w:r>
      <w:r w:rsidRPr="00A15E36">
        <w:t>piwnicy budynku</w:t>
      </w:r>
      <w:r>
        <w:t xml:space="preserve">. </w:t>
      </w:r>
      <w:r w:rsidRPr="00A15E36">
        <w:t>Zapotrzebowanie ciepła dla celów centralnego ogrzewania</w:t>
      </w:r>
      <w:r>
        <w:t xml:space="preserve"> wynosi </w:t>
      </w:r>
      <w:r w:rsidRPr="00A15E36">
        <w:t>Qc.o. =29,28 kW</w:t>
      </w:r>
      <w:r w:rsidR="005A0F5D">
        <w:t>.</w:t>
      </w:r>
    </w:p>
    <w:p w14:paraId="30592F80" w14:textId="142635A6" w:rsidR="005A0F5D" w:rsidRDefault="00765C95" w:rsidP="00765C95">
      <w:pPr>
        <w:jc w:val="both"/>
      </w:pPr>
      <w:r>
        <w:t xml:space="preserve">W pomieszczeniach na parterze i </w:t>
      </w:r>
      <w:r w:rsidR="00C61F2F">
        <w:t xml:space="preserve">na </w:t>
      </w:r>
      <w:r>
        <w:t>1 piętrze zamontowane są grzejniki stalowe panelowe oraz grzejniki kanałowe</w:t>
      </w:r>
      <w:r w:rsidR="00C61F2F">
        <w:t xml:space="preserve"> </w:t>
      </w:r>
      <w:r>
        <w:t>z wentylatorem</w:t>
      </w:r>
      <w:r w:rsidR="00C61F2F">
        <w:t xml:space="preserve"> </w:t>
      </w:r>
      <w:r w:rsidR="00C61F2F" w:rsidRPr="00C61F2F">
        <w:t>(salon wystawy i wiatrołap)</w:t>
      </w:r>
      <w:r>
        <w:t xml:space="preserve">. W łazienkach </w:t>
      </w:r>
      <w:r w:rsidR="00C61F2F">
        <w:t xml:space="preserve">znajdują się </w:t>
      </w:r>
      <w:r>
        <w:t>grzejniki łazienkowe. W pomieszczeniach technicznych na poziomie piwnic wykonane jest ogrzewanie podłogowe.</w:t>
      </w:r>
    </w:p>
    <w:p w14:paraId="39A4DEBB" w14:textId="47DD37A2" w:rsidR="006163C6" w:rsidRDefault="006163C6" w:rsidP="006163C6">
      <w:pPr>
        <w:jc w:val="both"/>
      </w:pPr>
      <w:r>
        <w:t xml:space="preserve">instalacja centralnego ogrzewania do grzejników wykonana jest </w:t>
      </w:r>
      <w:r w:rsidR="00204435">
        <w:t>jako</w:t>
      </w:r>
      <w:r>
        <w:t xml:space="preserve"> dwururow</w:t>
      </w:r>
      <w:r w:rsidR="00204435">
        <w:t>a</w:t>
      </w:r>
      <w:r>
        <w:t xml:space="preserve"> z rozdziałem dolnym trójnikowym na parametry zmienne 70/50°C. Przewody rozprowadzające, piony c.o. oraz gałązki do grzejników należy wykon</w:t>
      </w:r>
      <w:r w:rsidR="00204435">
        <w:t>ane są z rur</w:t>
      </w:r>
      <w:r>
        <w:t xml:space="preserve"> z rur PE</w:t>
      </w:r>
      <w:r w:rsidR="00204435">
        <w:t xml:space="preserve"> i rur </w:t>
      </w:r>
      <w:r w:rsidR="00AF3FB9">
        <w:t xml:space="preserve">wielowarstwowych </w:t>
      </w:r>
      <w:r w:rsidR="00204435">
        <w:t xml:space="preserve">typu </w:t>
      </w:r>
      <w:r w:rsidR="007C5776" w:rsidRPr="007C5776">
        <w:t xml:space="preserve"> PEX/AL/PE</w:t>
      </w:r>
      <w:r w:rsidR="007C5776">
        <w:t xml:space="preserve"> AluPex</w:t>
      </w:r>
      <w:r w:rsidR="009B2546">
        <w:t>.</w:t>
      </w:r>
    </w:p>
    <w:p w14:paraId="0CAC1A58" w14:textId="5751CAFC" w:rsidR="007E04B5" w:rsidRPr="00A15E36" w:rsidRDefault="007E04B5" w:rsidP="007E04B5">
      <w:pPr>
        <w:jc w:val="both"/>
      </w:pPr>
      <w:r>
        <w:t>Instalacja ogrzewania podłogowego zasilana jest z szafki rozdzielacza z pod mieszaniem pompowym.</w:t>
      </w:r>
    </w:p>
    <w:p w14:paraId="6CE779EA" w14:textId="2FED4535" w:rsidR="00C578EB" w:rsidRDefault="00E24C91" w:rsidP="00765C95">
      <w:pPr>
        <w:jc w:val="both"/>
      </w:pPr>
      <w:r>
        <w:t>Serwis urządzeń grzewczych polega na oględzinach szczelności instalacji CO</w:t>
      </w:r>
      <w:r w:rsidR="00BF31E9">
        <w:t xml:space="preserve"> </w:t>
      </w:r>
      <w:r w:rsidR="004C2168">
        <w:t>co najmniej 1 raz w roku.</w:t>
      </w:r>
    </w:p>
    <w:p w14:paraId="2C768A55" w14:textId="46F56CA0" w:rsidR="00E24C91" w:rsidRDefault="00E24C91" w:rsidP="00765C95">
      <w:pPr>
        <w:jc w:val="both"/>
      </w:pPr>
      <w:r>
        <w:t xml:space="preserve">Ponadto w przypadku grzejników kanałowych </w:t>
      </w:r>
      <w:r w:rsidR="006C0CCF">
        <w:t xml:space="preserve">z wentylatorem </w:t>
      </w:r>
      <w:r w:rsidR="00CF1525">
        <w:t>4 szt typ PURMO</w:t>
      </w:r>
      <w:r w:rsidR="006C0CCF">
        <w:t>:</w:t>
      </w:r>
      <w:r w:rsidR="00AC3F6F">
        <w:t xml:space="preserve"> 2szt.</w:t>
      </w:r>
      <w:r w:rsidR="00DF32BB">
        <w:t xml:space="preserve"> długoś</w:t>
      </w:r>
      <w:r w:rsidR="006C0CCF">
        <w:t>ć</w:t>
      </w:r>
      <w:r w:rsidR="00DF32BB">
        <w:t xml:space="preserve"> 1250 mm w salonie wystawowym i </w:t>
      </w:r>
      <w:r w:rsidR="00AC3F6F">
        <w:t xml:space="preserve">2 szt. </w:t>
      </w:r>
      <w:r w:rsidR="00DF32BB">
        <w:t>o długo</w:t>
      </w:r>
      <w:r w:rsidR="006A1B75">
        <w:t xml:space="preserve">ści </w:t>
      </w:r>
      <w:r w:rsidR="006C0CCF">
        <w:t>950 mm</w:t>
      </w:r>
      <w:r w:rsidR="00D52890" w:rsidRPr="00D52890">
        <w:t xml:space="preserve"> w wiatrołapie wejściowym</w:t>
      </w:r>
      <w:r w:rsidR="006C0CCF">
        <w:t>.</w:t>
      </w:r>
    </w:p>
    <w:p w14:paraId="50550FF7" w14:textId="29772F73" w:rsidR="009572CF" w:rsidRDefault="009572CF" w:rsidP="00765C95">
      <w:pPr>
        <w:jc w:val="both"/>
      </w:pPr>
      <w:r>
        <w:t>Serwis grzejników kanałowych powinien się odbyć co najmniej 2 razy w roku</w:t>
      </w:r>
      <w:r w:rsidR="00222FBA">
        <w:t>.</w:t>
      </w:r>
    </w:p>
    <w:p w14:paraId="2039E078" w14:textId="642A41E1" w:rsidR="004474C6" w:rsidRDefault="008436FA" w:rsidP="00765C95">
      <w:pPr>
        <w:jc w:val="both"/>
      </w:pPr>
      <w:r w:rsidRPr="008436FA">
        <w:t>W przypadku instalacji CT należy sprawdzić szczelność połączeń co najmniej 1 raz w roku.</w:t>
      </w:r>
    </w:p>
    <w:p w14:paraId="442E4CEC" w14:textId="6873C9F3" w:rsidR="003E24F4" w:rsidRPr="006927E7" w:rsidRDefault="006927E7" w:rsidP="00765C95">
      <w:pPr>
        <w:jc w:val="both"/>
        <w:rPr>
          <w:b/>
          <w:bCs/>
        </w:rPr>
      </w:pPr>
      <w:r w:rsidRPr="006927E7">
        <w:rPr>
          <w:b/>
          <w:bCs/>
        </w:rPr>
        <w:t>Kotłownia gazowa</w:t>
      </w:r>
    </w:p>
    <w:p w14:paraId="3D65B47E" w14:textId="53EF5F17" w:rsidR="00B854DB" w:rsidRDefault="006927E7" w:rsidP="006927E7">
      <w:pPr>
        <w:jc w:val="both"/>
      </w:pPr>
      <w:r>
        <w:t xml:space="preserve">Kotłownia zlokalizowana została na poziomie piwnic. Kotłownia pracuje dla potrzeb wewnętrznej instalacji centralnego ogrzewania oraz przygotowania ciepłej wody użytkowej. Jako zabezpieczenie kotła zastosowane są membranowy zawór bezpieczeństwa, który jest zabudowany w kotle. Dodatkowo </w:t>
      </w:r>
      <w:r w:rsidR="00657C47">
        <w:t>instalacja zabezpieczona została w</w:t>
      </w:r>
      <w:r>
        <w:t xml:space="preserve"> naczynie wzbiorcze przeponowe zabudowane w kotle.</w:t>
      </w:r>
    </w:p>
    <w:p w14:paraId="211FDC29" w14:textId="3F36D58A" w:rsidR="009A1744" w:rsidRDefault="009A1744" w:rsidP="006927E7">
      <w:pPr>
        <w:jc w:val="both"/>
      </w:pPr>
      <w:r>
        <w:t>Na układzie CWU znajduje się grupa bezpieczeństwa wyposażona w zawór bezpieczeństwa o wartości 0,6 MPa i naczynie przeponowe wzbiorcze.</w:t>
      </w:r>
    </w:p>
    <w:p w14:paraId="35AADAF6" w14:textId="67D6CF44" w:rsidR="00426502" w:rsidRDefault="00426502" w:rsidP="006927E7">
      <w:pPr>
        <w:jc w:val="both"/>
      </w:pPr>
      <w:r w:rsidRPr="00142CF6">
        <w:t xml:space="preserve">Zamontowano </w:t>
      </w:r>
      <w:r w:rsidR="00142CF6" w:rsidRPr="00142CF6">
        <w:t xml:space="preserve">kondensacyjny </w:t>
      </w:r>
      <w:r w:rsidRPr="00142CF6">
        <w:t>kocioł gazowy</w:t>
      </w:r>
      <w:r w:rsidR="004043D5" w:rsidRPr="00142CF6">
        <w:t xml:space="preserve"> </w:t>
      </w:r>
      <w:r w:rsidR="00BB76A4">
        <w:t xml:space="preserve">firmy </w:t>
      </w:r>
      <w:r w:rsidR="004043D5" w:rsidRPr="00142CF6">
        <w:t xml:space="preserve">De Dietrich </w:t>
      </w:r>
      <w:r w:rsidR="00BB76A4">
        <w:t xml:space="preserve">typ </w:t>
      </w:r>
      <w:r w:rsidR="00577B5C" w:rsidRPr="00142CF6">
        <w:t>AMC 35/39 Diematic Evolution</w:t>
      </w:r>
      <w:r w:rsidR="00BB76A4">
        <w:t xml:space="preserve">.  Kocioł gazowy </w:t>
      </w:r>
      <w:r w:rsidR="00602123">
        <w:t>współpracuje</w:t>
      </w:r>
      <w:r w:rsidR="00BB76A4">
        <w:t xml:space="preserve"> ze </w:t>
      </w:r>
      <w:r w:rsidR="00602123">
        <w:t>sprzęgłem hydraulicznym, które łączy obiegi hydrauliczne</w:t>
      </w:r>
      <w:r w:rsidR="00122EFD">
        <w:t xml:space="preserve"> oraz ze sterownikiem pokojowym</w:t>
      </w:r>
      <w:r w:rsidR="00D56871">
        <w:t>.</w:t>
      </w:r>
      <w:r w:rsidR="00EA6C7A">
        <w:t xml:space="preserve"> Sterowanie układu grzewczego można przeprowadzić z poziomu kotła jak również i</w:t>
      </w:r>
      <w:r w:rsidR="00B70D75">
        <w:t xml:space="preserve"> ze</w:t>
      </w:r>
      <w:r w:rsidR="00EA6C7A">
        <w:t xml:space="preserve"> sterownika pokojowego.</w:t>
      </w:r>
    </w:p>
    <w:p w14:paraId="36DA597E" w14:textId="5EE0DFB8" w:rsidR="00B70D75" w:rsidRDefault="003D5F9B" w:rsidP="006927E7">
      <w:pPr>
        <w:jc w:val="both"/>
      </w:pPr>
      <w:r>
        <w:t xml:space="preserve">Konserwacja urządzeń w kotłowni przewidziana jest co najmniej raz na rok przed sezonem grzewczym w </w:t>
      </w:r>
      <w:r w:rsidR="00E872BF">
        <w:t>okresie</w:t>
      </w:r>
      <w:r>
        <w:t xml:space="preserve"> wczesnej jesieni. </w:t>
      </w:r>
    </w:p>
    <w:p w14:paraId="73F38CAD" w14:textId="7C381E14" w:rsidR="00E872BF" w:rsidRDefault="00E872BF" w:rsidP="006927E7">
      <w:pPr>
        <w:jc w:val="both"/>
      </w:pPr>
      <w:r>
        <w:t xml:space="preserve">Naczynia wzbiorcze należy sprawdzić stan ciśnienia powietrza w </w:t>
      </w:r>
      <w:r w:rsidR="00BF50C6">
        <w:t>poduszce powietrznej naczynia.</w:t>
      </w:r>
    </w:p>
    <w:p w14:paraId="0FE6D67C" w14:textId="74CD579D" w:rsidR="00BF50C6" w:rsidRDefault="00BF50C6" w:rsidP="006927E7">
      <w:pPr>
        <w:jc w:val="both"/>
      </w:pPr>
      <w:r>
        <w:t xml:space="preserve">Zawory bezpieczeństwa – sprawdzić poprawność zadziałania zaworów. W przypadku </w:t>
      </w:r>
      <w:r w:rsidR="00250599">
        <w:t>przecieków należy wymienić.</w:t>
      </w:r>
    </w:p>
    <w:p w14:paraId="04A70A30" w14:textId="16436A54" w:rsidR="00250599" w:rsidRDefault="00250599" w:rsidP="006927E7">
      <w:pPr>
        <w:jc w:val="both"/>
      </w:pPr>
      <w:r>
        <w:t xml:space="preserve">Szczelność </w:t>
      </w:r>
      <w:r w:rsidR="00D63306">
        <w:t>połączeń</w:t>
      </w:r>
      <w:r w:rsidR="00BE207C">
        <w:t xml:space="preserve"> – raz w roku.</w:t>
      </w:r>
    </w:p>
    <w:p w14:paraId="0D8695F6" w14:textId="7DC3DCE6" w:rsidR="00BE207C" w:rsidRDefault="00BE207C" w:rsidP="006927E7">
      <w:pPr>
        <w:jc w:val="both"/>
      </w:pPr>
      <w:r>
        <w:t>Kocioł gazowy – wykonać standardową procedurę kontrolną</w:t>
      </w:r>
      <w:r w:rsidR="00774190">
        <w:t xml:space="preserve"> ze sprawdzeniem ciśnienia poziomu wody w instalacji, </w:t>
      </w:r>
      <w:r w:rsidR="00D63306">
        <w:t>sprawdzenia</w:t>
      </w:r>
      <w:r w:rsidR="002D25AE">
        <w:t xml:space="preserve"> </w:t>
      </w:r>
      <w:r w:rsidR="00D63306">
        <w:t>poprawności napełnienia zładu wody poprzez system samonapinający i uzupełniający wodę w instalacji.</w:t>
      </w:r>
    </w:p>
    <w:p w14:paraId="5DFE70A5" w14:textId="1AF80845" w:rsidR="00C270E3" w:rsidRDefault="00C270E3" w:rsidP="00C270E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270E3">
        <w:rPr>
          <w:b/>
          <w:bCs/>
        </w:rPr>
        <w:t>Instalacja gazowa</w:t>
      </w:r>
    </w:p>
    <w:p w14:paraId="7982D9CE" w14:textId="71E4C02C" w:rsidR="00EB6BC9" w:rsidRDefault="00EB6BC9" w:rsidP="00EB6BC9">
      <w:pPr>
        <w:jc w:val="both"/>
      </w:pPr>
      <w:r>
        <w:t>Przewody gazowe wykonane zosta</w:t>
      </w:r>
      <w:r w:rsidR="00AB5AAC">
        <w:t>ły</w:t>
      </w:r>
      <w:r>
        <w:t xml:space="preserve"> z rur stalowych bez szwu w.g.PN-80/H-74219 gat.R</w:t>
      </w:r>
      <w:r w:rsidR="00AB5AAC">
        <w:t xml:space="preserve"> </w:t>
      </w:r>
      <w:r>
        <w:t>łączonych za pomocą spawania</w:t>
      </w:r>
      <w:r w:rsidR="00AB5AAC">
        <w:t>.</w:t>
      </w:r>
      <w:r>
        <w:t xml:space="preserve"> Instalacja </w:t>
      </w:r>
      <w:r w:rsidR="00AB5AAC">
        <w:t>prowadzona jest w piwnicy budynku na ścianie</w:t>
      </w:r>
      <w:r>
        <w:t xml:space="preserve"> w miejscach łatwo </w:t>
      </w:r>
      <w:r>
        <w:lastRenderedPageBreak/>
        <w:t>dostępnych</w:t>
      </w:r>
      <w:r w:rsidR="003B4D04">
        <w:t xml:space="preserve">. </w:t>
      </w:r>
      <w:r>
        <w:t>Miejsce przejścia rury gazowej przez ścianę zewnętrzną budynku zabezpiecz</w:t>
      </w:r>
      <w:r w:rsidR="00DC7EAD">
        <w:t xml:space="preserve">one są </w:t>
      </w:r>
      <w:r>
        <w:t>tuleją</w:t>
      </w:r>
      <w:r w:rsidR="009247E1">
        <w:t xml:space="preserve"> </w:t>
      </w:r>
      <w:r>
        <w:t>ochronną z rury stalowej czarnej Dn=50mm., z wypełnieniem masą uszczelniającą na bazie</w:t>
      </w:r>
      <w:r w:rsidR="00DC7EAD">
        <w:t xml:space="preserve"> </w:t>
      </w:r>
      <w:r>
        <w:t>silikonowej</w:t>
      </w:r>
      <w:r w:rsidR="00DC7EAD">
        <w:t>.</w:t>
      </w:r>
      <w:r w:rsidR="004C07DD">
        <w:t xml:space="preserve"> Na zewnętrznej ścianie budynku znajduje się zawór odcinający dopływ gazu do budynku Dworek Milusin. Konserwacja </w:t>
      </w:r>
      <w:r w:rsidR="000F0212">
        <w:t>polega</w:t>
      </w:r>
      <w:r w:rsidR="00C20C79">
        <w:t xml:space="preserve"> na sprawdzeniu szczelności instalacji przewodu gazowego co najmniej raz w roku.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1696"/>
      </w:tblGrid>
      <w:tr w:rsidR="007D00B4" w14:paraId="5ABB5D20" w14:textId="77777777" w:rsidTr="00F75542">
        <w:tc>
          <w:tcPr>
            <w:tcW w:w="562" w:type="dxa"/>
            <w:vAlign w:val="center"/>
          </w:tcPr>
          <w:p w14:paraId="44611C98" w14:textId="758B78A0" w:rsidR="007D00B4" w:rsidRDefault="007D00B4" w:rsidP="00022F1C">
            <w:pPr>
              <w:jc w:val="center"/>
            </w:pPr>
            <w:r>
              <w:t>Lp.</w:t>
            </w:r>
          </w:p>
        </w:tc>
        <w:tc>
          <w:tcPr>
            <w:tcW w:w="5954" w:type="dxa"/>
            <w:vAlign w:val="center"/>
          </w:tcPr>
          <w:p w14:paraId="5C92D7B2" w14:textId="5FDFA818" w:rsidR="007D00B4" w:rsidRDefault="007D00B4" w:rsidP="00EB6BC9">
            <w:pPr>
              <w:jc w:val="both"/>
            </w:pPr>
            <w:r>
              <w:t>Rodzaj urządzenia/instalacji</w:t>
            </w:r>
          </w:p>
        </w:tc>
        <w:tc>
          <w:tcPr>
            <w:tcW w:w="850" w:type="dxa"/>
            <w:vAlign w:val="center"/>
          </w:tcPr>
          <w:p w14:paraId="328C62DB" w14:textId="31A8E8AE" w:rsidR="007D00B4" w:rsidRDefault="007D00B4" w:rsidP="007D00B4">
            <w:pPr>
              <w:jc w:val="center"/>
            </w:pPr>
            <w:r>
              <w:t>Ilość szt.</w:t>
            </w:r>
          </w:p>
        </w:tc>
        <w:tc>
          <w:tcPr>
            <w:tcW w:w="1696" w:type="dxa"/>
            <w:vAlign w:val="center"/>
          </w:tcPr>
          <w:p w14:paraId="0869B7C3" w14:textId="3E21D244" w:rsidR="007D00B4" w:rsidRDefault="007D00B4" w:rsidP="00022F1C">
            <w:pPr>
              <w:jc w:val="center"/>
            </w:pPr>
            <w:r>
              <w:t>Liczba serwisów w roku</w:t>
            </w:r>
          </w:p>
        </w:tc>
      </w:tr>
      <w:tr w:rsidR="007D00B4" w14:paraId="3F12D4A5" w14:textId="77777777" w:rsidTr="00F75542">
        <w:tc>
          <w:tcPr>
            <w:tcW w:w="562" w:type="dxa"/>
            <w:vAlign w:val="center"/>
          </w:tcPr>
          <w:p w14:paraId="60F071AF" w14:textId="7D25CDBF" w:rsidR="007D00B4" w:rsidRDefault="007D00B4" w:rsidP="00022F1C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14:paraId="03463758" w14:textId="31348D67" w:rsidR="007D00B4" w:rsidRDefault="007D00B4" w:rsidP="00EB6BC9">
            <w:pPr>
              <w:jc w:val="both"/>
            </w:pPr>
            <w:r>
              <w:t>Centrala wentylacyjna</w:t>
            </w:r>
          </w:p>
        </w:tc>
        <w:tc>
          <w:tcPr>
            <w:tcW w:w="850" w:type="dxa"/>
            <w:vAlign w:val="center"/>
          </w:tcPr>
          <w:p w14:paraId="0643AB3B" w14:textId="37F3162E" w:rsidR="007D00B4" w:rsidRDefault="007D00B4" w:rsidP="007D00B4">
            <w:pPr>
              <w:jc w:val="center"/>
            </w:pPr>
            <w:r>
              <w:t>1</w:t>
            </w:r>
          </w:p>
        </w:tc>
        <w:tc>
          <w:tcPr>
            <w:tcW w:w="1696" w:type="dxa"/>
            <w:vAlign w:val="center"/>
          </w:tcPr>
          <w:p w14:paraId="37C5EC9B" w14:textId="56BC061F" w:rsidR="007D00B4" w:rsidRDefault="007D00B4" w:rsidP="00022F1C">
            <w:pPr>
              <w:jc w:val="center"/>
            </w:pPr>
            <w:r>
              <w:t>2</w:t>
            </w:r>
          </w:p>
        </w:tc>
      </w:tr>
      <w:tr w:rsidR="007D00B4" w14:paraId="5A66301C" w14:textId="77777777" w:rsidTr="00F75542">
        <w:tc>
          <w:tcPr>
            <w:tcW w:w="562" w:type="dxa"/>
            <w:vAlign w:val="center"/>
          </w:tcPr>
          <w:p w14:paraId="5074A2B8" w14:textId="46D44391" w:rsidR="007D00B4" w:rsidRDefault="007D00B4" w:rsidP="00022F1C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14:paraId="25935273" w14:textId="4D700BAC" w:rsidR="007D00B4" w:rsidRDefault="007D00B4" w:rsidP="00EB6BC9">
            <w:pPr>
              <w:jc w:val="both"/>
            </w:pPr>
            <w:r>
              <w:t xml:space="preserve">Wymiana filtrów w centrali wentylacyjnej </w:t>
            </w:r>
          </w:p>
        </w:tc>
        <w:tc>
          <w:tcPr>
            <w:tcW w:w="850" w:type="dxa"/>
            <w:vAlign w:val="center"/>
          </w:tcPr>
          <w:p w14:paraId="59E68AB8" w14:textId="60A233C9" w:rsidR="007D00B4" w:rsidRDefault="00DD0D44" w:rsidP="007D00B4">
            <w:pPr>
              <w:jc w:val="center"/>
            </w:pPr>
            <w:r>
              <w:t>kpl.</w:t>
            </w:r>
          </w:p>
        </w:tc>
        <w:tc>
          <w:tcPr>
            <w:tcW w:w="1696" w:type="dxa"/>
            <w:vAlign w:val="center"/>
          </w:tcPr>
          <w:p w14:paraId="1FCEC4F2" w14:textId="22636355" w:rsidR="007D00B4" w:rsidRDefault="007D00B4" w:rsidP="00022F1C">
            <w:pPr>
              <w:jc w:val="center"/>
            </w:pPr>
            <w:r>
              <w:t>2</w:t>
            </w:r>
          </w:p>
        </w:tc>
      </w:tr>
      <w:tr w:rsidR="007D00B4" w14:paraId="2947F796" w14:textId="77777777" w:rsidTr="00F75542">
        <w:tc>
          <w:tcPr>
            <w:tcW w:w="562" w:type="dxa"/>
            <w:vAlign w:val="center"/>
          </w:tcPr>
          <w:p w14:paraId="1D5084DB" w14:textId="71461ECD" w:rsidR="007D00B4" w:rsidRDefault="007D00B4" w:rsidP="00022F1C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14:paraId="35058181" w14:textId="590DE2DC" w:rsidR="007D00B4" w:rsidRDefault="007D00B4" w:rsidP="00EB6BC9">
            <w:pPr>
              <w:jc w:val="both"/>
            </w:pPr>
            <w:r>
              <w:t>Nawilżacz parowy</w:t>
            </w:r>
          </w:p>
        </w:tc>
        <w:tc>
          <w:tcPr>
            <w:tcW w:w="850" w:type="dxa"/>
            <w:vAlign w:val="center"/>
          </w:tcPr>
          <w:p w14:paraId="06778024" w14:textId="092A853E" w:rsidR="007D00B4" w:rsidRDefault="001749CD" w:rsidP="007D00B4">
            <w:pPr>
              <w:jc w:val="center"/>
            </w:pPr>
            <w:r>
              <w:t>1</w:t>
            </w:r>
          </w:p>
        </w:tc>
        <w:tc>
          <w:tcPr>
            <w:tcW w:w="1696" w:type="dxa"/>
            <w:vAlign w:val="center"/>
          </w:tcPr>
          <w:p w14:paraId="2F45F154" w14:textId="7FC367F1" w:rsidR="007D00B4" w:rsidRDefault="007D00B4" w:rsidP="00022F1C">
            <w:pPr>
              <w:jc w:val="center"/>
            </w:pPr>
            <w:r>
              <w:t>2</w:t>
            </w:r>
          </w:p>
        </w:tc>
      </w:tr>
      <w:tr w:rsidR="007D00B4" w14:paraId="2D88FB94" w14:textId="77777777" w:rsidTr="00F75542">
        <w:tc>
          <w:tcPr>
            <w:tcW w:w="562" w:type="dxa"/>
            <w:vAlign w:val="center"/>
          </w:tcPr>
          <w:p w14:paraId="48F207B0" w14:textId="6DF91433" w:rsidR="007D00B4" w:rsidRDefault="00282C4B" w:rsidP="00022F1C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14:paraId="081DCEBF" w14:textId="7FFA3BD0" w:rsidR="007D00B4" w:rsidRDefault="007D00B4" w:rsidP="00EB6BC9">
            <w:pPr>
              <w:jc w:val="both"/>
            </w:pPr>
            <w:r>
              <w:t>Wyrzutnia i czerpnia dachowa</w:t>
            </w:r>
          </w:p>
        </w:tc>
        <w:tc>
          <w:tcPr>
            <w:tcW w:w="850" w:type="dxa"/>
            <w:vAlign w:val="center"/>
          </w:tcPr>
          <w:p w14:paraId="59993A6C" w14:textId="3F463EF7" w:rsidR="007D00B4" w:rsidRDefault="001749CD" w:rsidP="007D00B4">
            <w:pPr>
              <w:jc w:val="center"/>
            </w:pPr>
            <w:r>
              <w:t>2</w:t>
            </w:r>
          </w:p>
        </w:tc>
        <w:tc>
          <w:tcPr>
            <w:tcW w:w="1696" w:type="dxa"/>
            <w:vAlign w:val="center"/>
          </w:tcPr>
          <w:p w14:paraId="7A9126C3" w14:textId="59B39648" w:rsidR="007D00B4" w:rsidRDefault="007D00B4" w:rsidP="00022F1C">
            <w:pPr>
              <w:jc w:val="center"/>
            </w:pPr>
            <w:r>
              <w:t>1</w:t>
            </w:r>
          </w:p>
        </w:tc>
      </w:tr>
      <w:tr w:rsidR="007D00B4" w14:paraId="6E66245E" w14:textId="77777777" w:rsidTr="00F75542">
        <w:tc>
          <w:tcPr>
            <w:tcW w:w="562" w:type="dxa"/>
            <w:vAlign w:val="center"/>
          </w:tcPr>
          <w:p w14:paraId="7B28369A" w14:textId="0788E270" w:rsidR="007D00B4" w:rsidRDefault="00282C4B" w:rsidP="00022F1C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14:paraId="50C3A9FB" w14:textId="467EDECC" w:rsidR="007D00B4" w:rsidRDefault="007D00B4" w:rsidP="00EB6BC9">
            <w:pPr>
              <w:jc w:val="both"/>
            </w:pPr>
            <w:r>
              <w:t>Klapy ppoż.</w:t>
            </w:r>
          </w:p>
        </w:tc>
        <w:tc>
          <w:tcPr>
            <w:tcW w:w="850" w:type="dxa"/>
            <w:vAlign w:val="center"/>
          </w:tcPr>
          <w:p w14:paraId="17C6882E" w14:textId="04EA605A" w:rsidR="007D00B4" w:rsidRDefault="001749CD" w:rsidP="007D00B4">
            <w:pPr>
              <w:jc w:val="center"/>
            </w:pPr>
            <w:r>
              <w:t>2</w:t>
            </w:r>
          </w:p>
        </w:tc>
        <w:tc>
          <w:tcPr>
            <w:tcW w:w="1696" w:type="dxa"/>
            <w:vAlign w:val="center"/>
          </w:tcPr>
          <w:p w14:paraId="7D5CDBB8" w14:textId="1FE7B990" w:rsidR="007D00B4" w:rsidRDefault="007D00B4" w:rsidP="00022F1C">
            <w:pPr>
              <w:jc w:val="center"/>
            </w:pPr>
            <w:r>
              <w:t>1</w:t>
            </w:r>
          </w:p>
        </w:tc>
      </w:tr>
      <w:tr w:rsidR="007D00B4" w14:paraId="03420D3C" w14:textId="77777777" w:rsidTr="00F75542">
        <w:tc>
          <w:tcPr>
            <w:tcW w:w="562" w:type="dxa"/>
            <w:vAlign w:val="center"/>
          </w:tcPr>
          <w:p w14:paraId="5F8E142C" w14:textId="6108F81C" w:rsidR="007D00B4" w:rsidRDefault="00282C4B" w:rsidP="00022F1C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center"/>
          </w:tcPr>
          <w:p w14:paraId="68A8B6B8" w14:textId="255D8A86" w:rsidR="007D00B4" w:rsidRDefault="007D00B4" w:rsidP="00EB6BC9">
            <w:pPr>
              <w:jc w:val="both"/>
            </w:pPr>
            <w:r>
              <w:t>Klapa zwrotna</w:t>
            </w:r>
          </w:p>
        </w:tc>
        <w:tc>
          <w:tcPr>
            <w:tcW w:w="850" w:type="dxa"/>
            <w:vAlign w:val="center"/>
          </w:tcPr>
          <w:p w14:paraId="2A8C20BC" w14:textId="536D822A" w:rsidR="007D00B4" w:rsidRDefault="009A5BC8" w:rsidP="007D00B4">
            <w:pPr>
              <w:jc w:val="center"/>
            </w:pPr>
            <w:r>
              <w:t>6</w:t>
            </w:r>
          </w:p>
        </w:tc>
        <w:tc>
          <w:tcPr>
            <w:tcW w:w="1696" w:type="dxa"/>
            <w:vAlign w:val="center"/>
          </w:tcPr>
          <w:p w14:paraId="2B76AFC6" w14:textId="5E096C49" w:rsidR="007D00B4" w:rsidRDefault="007D00B4" w:rsidP="00022F1C">
            <w:pPr>
              <w:jc w:val="center"/>
            </w:pPr>
            <w:r>
              <w:t>1</w:t>
            </w:r>
          </w:p>
        </w:tc>
      </w:tr>
      <w:tr w:rsidR="007D00B4" w14:paraId="5B12B400" w14:textId="77777777" w:rsidTr="00F75542">
        <w:tc>
          <w:tcPr>
            <w:tcW w:w="562" w:type="dxa"/>
            <w:vAlign w:val="center"/>
          </w:tcPr>
          <w:p w14:paraId="18026328" w14:textId="302331A6" w:rsidR="007D00B4" w:rsidRDefault="00282C4B" w:rsidP="00282C4B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center"/>
          </w:tcPr>
          <w:p w14:paraId="2EA2BD64" w14:textId="5ABF8711" w:rsidR="007D00B4" w:rsidRDefault="00E959FD" w:rsidP="00EB6BC9">
            <w:pPr>
              <w:jc w:val="both"/>
            </w:pPr>
            <w:r>
              <w:t>Wentylator kanałowy</w:t>
            </w:r>
          </w:p>
        </w:tc>
        <w:tc>
          <w:tcPr>
            <w:tcW w:w="850" w:type="dxa"/>
            <w:vAlign w:val="center"/>
          </w:tcPr>
          <w:p w14:paraId="2F305D1F" w14:textId="00AD840D" w:rsidR="007D00B4" w:rsidRDefault="00E959FD" w:rsidP="007D00B4">
            <w:pPr>
              <w:jc w:val="center"/>
            </w:pPr>
            <w:r>
              <w:t>2</w:t>
            </w:r>
          </w:p>
        </w:tc>
        <w:tc>
          <w:tcPr>
            <w:tcW w:w="1696" w:type="dxa"/>
            <w:vAlign w:val="center"/>
          </w:tcPr>
          <w:p w14:paraId="3448773A" w14:textId="1BAF9747" w:rsidR="007D00B4" w:rsidRDefault="00E959FD" w:rsidP="00022F1C">
            <w:pPr>
              <w:jc w:val="center"/>
            </w:pPr>
            <w:r>
              <w:t>1</w:t>
            </w:r>
          </w:p>
        </w:tc>
      </w:tr>
      <w:tr w:rsidR="007D00B4" w14:paraId="61C54F8C" w14:textId="77777777" w:rsidTr="00F75542">
        <w:tc>
          <w:tcPr>
            <w:tcW w:w="562" w:type="dxa"/>
            <w:vAlign w:val="center"/>
          </w:tcPr>
          <w:p w14:paraId="77904C39" w14:textId="51348139" w:rsidR="007D00B4" w:rsidRDefault="00282C4B" w:rsidP="00022F1C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14:paraId="75C919F2" w14:textId="3CB15F8A" w:rsidR="007D00B4" w:rsidRDefault="00464E12" w:rsidP="00EB6BC9">
            <w:pPr>
              <w:jc w:val="both"/>
            </w:pPr>
            <w:r>
              <w:t>Instalacja CWU (zbiornik CWU, szczelność połączeń, zawór bezpieczeństwa z grupą bezpieczeństwa)</w:t>
            </w:r>
          </w:p>
        </w:tc>
        <w:tc>
          <w:tcPr>
            <w:tcW w:w="850" w:type="dxa"/>
            <w:vAlign w:val="center"/>
          </w:tcPr>
          <w:p w14:paraId="23DBB10E" w14:textId="7008AC32" w:rsidR="007D00B4" w:rsidRDefault="00DD0D44" w:rsidP="007D00B4">
            <w:pPr>
              <w:jc w:val="center"/>
            </w:pPr>
            <w:r>
              <w:t>k</w:t>
            </w:r>
            <w:r w:rsidR="00464E12">
              <w:t>pl</w:t>
            </w:r>
            <w:r>
              <w:t>.</w:t>
            </w:r>
          </w:p>
        </w:tc>
        <w:tc>
          <w:tcPr>
            <w:tcW w:w="1696" w:type="dxa"/>
            <w:vAlign w:val="center"/>
          </w:tcPr>
          <w:p w14:paraId="3EF540D7" w14:textId="08A599C4" w:rsidR="007D00B4" w:rsidRDefault="00464E12" w:rsidP="00022F1C">
            <w:pPr>
              <w:jc w:val="center"/>
            </w:pPr>
            <w:r>
              <w:t>2</w:t>
            </w:r>
          </w:p>
        </w:tc>
      </w:tr>
      <w:tr w:rsidR="007D00B4" w14:paraId="6989A775" w14:textId="77777777" w:rsidTr="00F75542">
        <w:tc>
          <w:tcPr>
            <w:tcW w:w="562" w:type="dxa"/>
            <w:vAlign w:val="center"/>
          </w:tcPr>
          <w:p w14:paraId="698986B9" w14:textId="664E5254" w:rsidR="007D00B4" w:rsidRDefault="00282C4B" w:rsidP="00022F1C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14:paraId="5C025161" w14:textId="03C5BB2C" w:rsidR="007D00B4" w:rsidRDefault="006D55AD" w:rsidP="00EB6BC9">
            <w:pPr>
              <w:jc w:val="both"/>
            </w:pPr>
            <w:r>
              <w:t xml:space="preserve">Zmiękczacz wody </w:t>
            </w:r>
            <w:r w:rsidRPr="006D55AD">
              <w:t>Clack z głowicą sterującą Pallas IA</w:t>
            </w:r>
          </w:p>
        </w:tc>
        <w:tc>
          <w:tcPr>
            <w:tcW w:w="850" w:type="dxa"/>
            <w:vAlign w:val="center"/>
          </w:tcPr>
          <w:p w14:paraId="28AD53E0" w14:textId="30263506" w:rsidR="007D00B4" w:rsidRDefault="006D55AD" w:rsidP="007D00B4">
            <w:pPr>
              <w:jc w:val="center"/>
            </w:pPr>
            <w:r>
              <w:t>1</w:t>
            </w:r>
          </w:p>
        </w:tc>
        <w:tc>
          <w:tcPr>
            <w:tcW w:w="1696" w:type="dxa"/>
            <w:vAlign w:val="center"/>
          </w:tcPr>
          <w:p w14:paraId="5FF8DED6" w14:textId="090E7714" w:rsidR="007D00B4" w:rsidRDefault="00F321D4" w:rsidP="00022F1C">
            <w:pPr>
              <w:jc w:val="center"/>
            </w:pPr>
            <w:r>
              <w:t>2</w:t>
            </w:r>
          </w:p>
        </w:tc>
      </w:tr>
      <w:tr w:rsidR="00DD0D44" w14:paraId="7B5ECC7F" w14:textId="77777777" w:rsidTr="00F75542">
        <w:tc>
          <w:tcPr>
            <w:tcW w:w="562" w:type="dxa"/>
            <w:vAlign w:val="center"/>
          </w:tcPr>
          <w:p w14:paraId="39F312FD" w14:textId="5A4E035D" w:rsidR="00DD0D44" w:rsidRDefault="00F321D4" w:rsidP="00022F1C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14:paraId="3D2C4C53" w14:textId="3CAC6FC4" w:rsidR="00DD0D44" w:rsidRDefault="004C2168" w:rsidP="00EB6BC9">
            <w:pPr>
              <w:jc w:val="both"/>
            </w:pPr>
            <w:r>
              <w:t xml:space="preserve">Szczelność połączeń instalacji CO i CT wraz z </w:t>
            </w:r>
            <w:r w:rsidR="007B0404">
              <w:t>z</w:t>
            </w:r>
            <w:r>
              <w:t xml:space="preserve">aworami </w:t>
            </w:r>
            <w:r w:rsidR="007B0404">
              <w:t>i grupą bezpieczeństwa</w:t>
            </w:r>
          </w:p>
        </w:tc>
        <w:tc>
          <w:tcPr>
            <w:tcW w:w="850" w:type="dxa"/>
            <w:vAlign w:val="center"/>
          </w:tcPr>
          <w:p w14:paraId="6778F2E0" w14:textId="293B762B" w:rsidR="00DD0D44" w:rsidRDefault="004C2168" w:rsidP="007D00B4">
            <w:pPr>
              <w:jc w:val="center"/>
            </w:pPr>
            <w:r>
              <w:t xml:space="preserve"> kpl.</w:t>
            </w:r>
          </w:p>
        </w:tc>
        <w:tc>
          <w:tcPr>
            <w:tcW w:w="1696" w:type="dxa"/>
            <w:vAlign w:val="center"/>
          </w:tcPr>
          <w:p w14:paraId="260A7CB4" w14:textId="5DC49804" w:rsidR="00DD0D44" w:rsidRDefault="004C2168" w:rsidP="00022F1C">
            <w:pPr>
              <w:jc w:val="center"/>
            </w:pPr>
            <w:r>
              <w:t>1</w:t>
            </w:r>
          </w:p>
        </w:tc>
      </w:tr>
      <w:tr w:rsidR="00DD0D44" w14:paraId="5D346DC9" w14:textId="77777777" w:rsidTr="00F75542">
        <w:tc>
          <w:tcPr>
            <w:tcW w:w="562" w:type="dxa"/>
            <w:vAlign w:val="center"/>
          </w:tcPr>
          <w:p w14:paraId="2FA305E8" w14:textId="01C9814F" w:rsidR="00DD0D44" w:rsidRDefault="007B0404" w:rsidP="00022F1C">
            <w:pPr>
              <w:jc w:val="center"/>
            </w:pPr>
            <w:r>
              <w:t>11</w:t>
            </w:r>
          </w:p>
        </w:tc>
        <w:tc>
          <w:tcPr>
            <w:tcW w:w="5954" w:type="dxa"/>
            <w:vAlign w:val="center"/>
          </w:tcPr>
          <w:p w14:paraId="1C266E99" w14:textId="242095BD" w:rsidR="00DD0D44" w:rsidRDefault="00B43E08" w:rsidP="00EB6BC9">
            <w:pPr>
              <w:jc w:val="both"/>
            </w:pPr>
            <w:r>
              <w:t>Klima konwektory</w:t>
            </w:r>
            <w:r w:rsidR="00305915">
              <w:t xml:space="preserve"> kanałowe o dł. 1250 mm</w:t>
            </w:r>
          </w:p>
        </w:tc>
        <w:tc>
          <w:tcPr>
            <w:tcW w:w="850" w:type="dxa"/>
            <w:vAlign w:val="center"/>
          </w:tcPr>
          <w:p w14:paraId="096DAAD8" w14:textId="5C49651D" w:rsidR="00DD0D44" w:rsidRDefault="00305915" w:rsidP="007D00B4">
            <w:pPr>
              <w:jc w:val="center"/>
            </w:pPr>
            <w:r>
              <w:t>2</w:t>
            </w:r>
          </w:p>
        </w:tc>
        <w:tc>
          <w:tcPr>
            <w:tcW w:w="1696" w:type="dxa"/>
            <w:vAlign w:val="center"/>
          </w:tcPr>
          <w:p w14:paraId="4F3FC9FA" w14:textId="06B8E6D3" w:rsidR="00DD0D44" w:rsidRDefault="00305915" w:rsidP="00022F1C">
            <w:pPr>
              <w:jc w:val="center"/>
            </w:pPr>
            <w:r>
              <w:t>2</w:t>
            </w:r>
          </w:p>
        </w:tc>
      </w:tr>
      <w:tr w:rsidR="00DD0D44" w14:paraId="48358656" w14:textId="77777777" w:rsidTr="00F75542">
        <w:tc>
          <w:tcPr>
            <w:tcW w:w="562" w:type="dxa"/>
            <w:vAlign w:val="center"/>
          </w:tcPr>
          <w:p w14:paraId="3F649C6C" w14:textId="55AC57F9" w:rsidR="00DD0D44" w:rsidRDefault="00F75542" w:rsidP="00022F1C">
            <w:pPr>
              <w:jc w:val="center"/>
            </w:pPr>
            <w:r>
              <w:t>12</w:t>
            </w:r>
          </w:p>
        </w:tc>
        <w:tc>
          <w:tcPr>
            <w:tcW w:w="5954" w:type="dxa"/>
            <w:vAlign w:val="center"/>
          </w:tcPr>
          <w:p w14:paraId="11D1C45D" w14:textId="18B5F2DD" w:rsidR="00DD0D44" w:rsidRDefault="00B43E08" w:rsidP="00EB6BC9">
            <w:pPr>
              <w:jc w:val="both"/>
            </w:pPr>
            <w:r>
              <w:t>Klima konwektory</w:t>
            </w:r>
            <w:r w:rsidR="00305915">
              <w:t xml:space="preserve"> kanałowe o dł. 950 mm</w:t>
            </w:r>
          </w:p>
        </w:tc>
        <w:tc>
          <w:tcPr>
            <w:tcW w:w="850" w:type="dxa"/>
            <w:vAlign w:val="center"/>
          </w:tcPr>
          <w:p w14:paraId="3766D131" w14:textId="690A866E" w:rsidR="00DD0D44" w:rsidRDefault="00305915" w:rsidP="007D00B4">
            <w:pPr>
              <w:jc w:val="center"/>
            </w:pPr>
            <w:r>
              <w:t>2</w:t>
            </w:r>
          </w:p>
        </w:tc>
        <w:tc>
          <w:tcPr>
            <w:tcW w:w="1696" w:type="dxa"/>
            <w:vAlign w:val="center"/>
          </w:tcPr>
          <w:p w14:paraId="7E74217C" w14:textId="76B4B020" w:rsidR="00DD0D44" w:rsidRDefault="00B43E08" w:rsidP="00022F1C">
            <w:pPr>
              <w:jc w:val="center"/>
            </w:pPr>
            <w:r>
              <w:t>2</w:t>
            </w:r>
          </w:p>
        </w:tc>
      </w:tr>
      <w:tr w:rsidR="007B0404" w:rsidRPr="00B43E08" w14:paraId="207321F8" w14:textId="77777777" w:rsidTr="00F75542">
        <w:tc>
          <w:tcPr>
            <w:tcW w:w="562" w:type="dxa"/>
            <w:vAlign w:val="center"/>
          </w:tcPr>
          <w:p w14:paraId="3C5C4613" w14:textId="58EA9CD7" w:rsidR="007B0404" w:rsidRDefault="00F75542" w:rsidP="00022F1C">
            <w:pPr>
              <w:jc w:val="center"/>
            </w:pPr>
            <w:r>
              <w:t>13</w:t>
            </w:r>
          </w:p>
        </w:tc>
        <w:tc>
          <w:tcPr>
            <w:tcW w:w="5954" w:type="dxa"/>
            <w:vAlign w:val="center"/>
          </w:tcPr>
          <w:p w14:paraId="3AF90FF5" w14:textId="6EE42FFA" w:rsidR="007B0404" w:rsidRPr="00B43E08" w:rsidRDefault="00B43E08" w:rsidP="00EB6BC9">
            <w:pPr>
              <w:jc w:val="both"/>
              <w:rPr>
                <w:lang w:val="en-US"/>
              </w:rPr>
            </w:pPr>
            <w:r w:rsidRPr="00B43E08">
              <w:rPr>
                <w:lang w:val="en-US"/>
              </w:rPr>
              <w:t>kocioł gazowy firmy De Dietrich typ AMC 35/39 Diematic Evolution</w:t>
            </w:r>
          </w:p>
        </w:tc>
        <w:tc>
          <w:tcPr>
            <w:tcW w:w="850" w:type="dxa"/>
            <w:vAlign w:val="center"/>
          </w:tcPr>
          <w:p w14:paraId="7FE607A9" w14:textId="19E8D564" w:rsidR="007B0404" w:rsidRPr="00B43E08" w:rsidRDefault="00B43E08" w:rsidP="007D0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kpl.</w:t>
            </w:r>
          </w:p>
        </w:tc>
        <w:tc>
          <w:tcPr>
            <w:tcW w:w="1696" w:type="dxa"/>
            <w:vAlign w:val="center"/>
          </w:tcPr>
          <w:p w14:paraId="36C0E08C" w14:textId="144F2CFB" w:rsidR="007B0404" w:rsidRPr="00B43E08" w:rsidRDefault="00B43E08" w:rsidP="00022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0404" w:rsidRPr="00B43E08" w14:paraId="01CD25E0" w14:textId="77777777" w:rsidTr="00F75542">
        <w:tc>
          <w:tcPr>
            <w:tcW w:w="562" w:type="dxa"/>
            <w:vAlign w:val="center"/>
          </w:tcPr>
          <w:p w14:paraId="7BEAE907" w14:textId="154E54E4" w:rsidR="007B0404" w:rsidRPr="00B43E08" w:rsidRDefault="00F75542" w:rsidP="00022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54" w:type="dxa"/>
            <w:vAlign w:val="center"/>
          </w:tcPr>
          <w:p w14:paraId="7DFAABBF" w14:textId="131379AE" w:rsidR="007B0404" w:rsidRPr="00B43E08" w:rsidRDefault="00F75542" w:rsidP="00EB6B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Instalacja gazowa </w:t>
            </w:r>
          </w:p>
        </w:tc>
        <w:tc>
          <w:tcPr>
            <w:tcW w:w="850" w:type="dxa"/>
            <w:vAlign w:val="center"/>
          </w:tcPr>
          <w:p w14:paraId="149BC87C" w14:textId="246E081F" w:rsidR="007B0404" w:rsidRPr="00B43E08" w:rsidRDefault="00F75542" w:rsidP="007D0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kpl.</w:t>
            </w:r>
          </w:p>
        </w:tc>
        <w:tc>
          <w:tcPr>
            <w:tcW w:w="1696" w:type="dxa"/>
            <w:vAlign w:val="center"/>
          </w:tcPr>
          <w:p w14:paraId="3766E788" w14:textId="3DFDCE23" w:rsidR="007B0404" w:rsidRPr="00B43E08" w:rsidRDefault="00F75542" w:rsidP="00022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13A1375B" w14:textId="4B19B807" w:rsidR="00C20C79" w:rsidRDefault="00C20C79" w:rsidP="00EB6BC9">
      <w:pPr>
        <w:jc w:val="both"/>
        <w:rPr>
          <w:lang w:val="en-US"/>
        </w:rPr>
      </w:pPr>
    </w:p>
    <w:p w14:paraId="34B5AF79" w14:textId="0948FC7C" w:rsidR="007B3C4A" w:rsidRDefault="007B3C4A" w:rsidP="007B3C4A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7B3C4A">
        <w:rPr>
          <w:b/>
          <w:bCs/>
          <w:lang w:val="en-US"/>
        </w:rPr>
        <w:t>Wymagania dla firmy serwisowej</w:t>
      </w:r>
    </w:p>
    <w:p w14:paraId="5E7C4FDE" w14:textId="0AE3976A" w:rsidR="00C43FCC" w:rsidRDefault="009F3A53" w:rsidP="007B3C4A">
      <w:pPr>
        <w:jc w:val="both"/>
      </w:pPr>
      <w:r>
        <w:t xml:space="preserve">Wykonawca przystępujący </w:t>
      </w:r>
      <w:r w:rsidR="00C166D7">
        <w:t xml:space="preserve">do świadczenia </w:t>
      </w:r>
      <w:r w:rsidR="00C43FCC">
        <w:t xml:space="preserve">usługi serwisowej </w:t>
      </w:r>
      <w:r w:rsidR="009247E1">
        <w:t>jest zobowiązany</w:t>
      </w:r>
      <w:r w:rsidR="00C43FCC">
        <w:t xml:space="preserve"> posiadać:</w:t>
      </w:r>
    </w:p>
    <w:p w14:paraId="74B0E965" w14:textId="2652ED0A" w:rsidR="009F3A53" w:rsidRPr="009F3A53" w:rsidRDefault="007B3C4A" w:rsidP="00F84A0B">
      <w:pPr>
        <w:pStyle w:val="Akapitzlist"/>
        <w:jc w:val="both"/>
      </w:pPr>
      <w:r w:rsidRPr="007B3C4A">
        <w:t>Świadectwo kwalifikacji do obrotu substancjami szkodliwymi w oparciu o Ustawę z dnia  20 kwietnia 2004 r. o substancjach zubożających warstwę ozonową (</w:t>
      </w:r>
      <w:r w:rsidR="00EF775D">
        <w:t xml:space="preserve">t.j. </w:t>
      </w:r>
      <w:r w:rsidRPr="007B3C4A">
        <w:t xml:space="preserve">Dz.U. z </w:t>
      </w:r>
      <w:r w:rsidR="00EF775D" w:rsidRPr="007B3C4A">
        <w:t>20</w:t>
      </w:r>
      <w:r w:rsidR="00EF775D">
        <w:t>1</w:t>
      </w:r>
      <w:r w:rsidR="00EF775D" w:rsidRPr="007B3C4A">
        <w:t xml:space="preserve">4 </w:t>
      </w:r>
      <w:r w:rsidRPr="007B3C4A">
        <w:t xml:space="preserve">r. poz. </w:t>
      </w:r>
      <w:r w:rsidR="00EF775D">
        <w:t>436</w:t>
      </w:r>
      <w:r w:rsidRPr="007B3C4A">
        <w:t>) oraz zgodnie z Rozporządzeniem Ministra Gospodarki i Pracy w sprawie programów kursów, przeprowadzania egzaminów oraz wzoru świadectwa kwalifikacji w zakresie substancji kontrolowanych z dnia 16 sierpnia 2004 r. (Dz.U. nr 195, poz. 2009 z 2004 r.)</w:t>
      </w:r>
      <w:r w:rsidR="009F3A53">
        <w:t xml:space="preserve"> </w:t>
      </w:r>
      <w:r w:rsidR="009F3A53">
        <w:rPr>
          <w:rFonts w:cstheme="minorHAnsi"/>
          <w:bCs/>
          <w:iCs/>
        </w:rPr>
        <w:t xml:space="preserve">lub stosowny certyfikat dla personelu zgodnie z </w:t>
      </w:r>
      <w:r w:rsidR="009F3A53" w:rsidRPr="00683636">
        <w:rPr>
          <w:rFonts w:cstheme="minorHAnsi"/>
        </w:rPr>
        <w:t>Ustawą</w:t>
      </w:r>
      <w:r w:rsidR="009F3A53" w:rsidRPr="00683636">
        <w:rPr>
          <w:rFonts w:cstheme="minorHAnsi"/>
          <w:bCs/>
        </w:rPr>
        <w:t xml:space="preserve"> z dnia 15 maja 2015 r. o substancjach zubożających warstwę ozonową oraz o niektórych fluorowanych gazach cieplarnianych (t.j. Dz. U. z 2019 r. poz. 2158 z późn. zm.</w:t>
      </w:r>
      <w:r w:rsidR="009F3A53">
        <w:rPr>
          <w:rFonts w:cstheme="minorHAnsi"/>
          <w:bCs/>
        </w:rPr>
        <w:t>).</w:t>
      </w:r>
    </w:p>
    <w:p w14:paraId="758FDD5E" w14:textId="77777777" w:rsidR="00B062DC" w:rsidRDefault="00B062DC" w:rsidP="009F3A53">
      <w:pPr>
        <w:pStyle w:val="Akapitzlist"/>
        <w:jc w:val="both"/>
      </w:pPr>
    </w:p>
    <w:p w14:paraId="44D1C378" w14:textId="77777777" w:rsidR="00B062DC" w:rsidRPr="001C56AB" w:rsidRDefault="00B062DC" w:rsidP="00B062DC">
      <w:pPr>
        <w:tabs>
          <w:tab w:val="left" w:pos="709"/>
        </w:tabs>
        <w:spacing w:before="120" w:after="120" w:line="23" w:lineRule="atLeast"/>
        <w:ind w:left="567"/>
        <w:jc w:val="both"/>
        <w:rPr>
          <w:rFonts w:ascii="Calibri" w:hAnsi="Calibri" w:cs="Calibri"/>
          <w:iCs/>
        </w:rPr>
      </w:pPr>
      <w:r w:rsidRPr="00317C94">
        <w:rPr>
          <w:rFonts w:ascii="Calibri" w:hAnsi="Calibri" w:cs="Calibri"/>
          <w:iCs/>
        </w:rPr>
        <w:t>Z uwagi na fakt, iż ustawa z dnia 20 kwietnia 2004 r. o substancjach zubożających warstwę ozonową już nie obowiązuje, ale wydane na jej podstawie świadectwa kwalifikacji pozostają w mocy, Zamawiający dopuszcza wykazanie się w/w świadectwem. Zamawiający dopuszcza również</w:t>
      </w:r>
      <w:r>
        <w:rPr>
          <w:rFonts w:ascii="Calibri" w:hAnsi="Calibri" w:cs="Calibri"/>
          <w:iCs/>
        </w:rPr>
        <w:t xml:space="preserve"> zamiennie wykazanie się dysponowaniem co najmniej jedną osobą posiadającą </w:t>
      </w:r>
      <w:r w:rsidRPr="00317C94">
        <w:rPr>
          <w:rFonts w:ascii="Calibri" w:hAnsi="Calibri" w:cs="Calibri"/>
          <w:iCs/>
        </w:rPr>
        <w:t>certyfikat</w:t>
      </w:r>
      <w:r>
        <w:rPr>
          <w:rFonts w:ascii="Calibri" w:hAnsi="Calibri" w:cs="Calibri"/>
          <w:iCs/>
        </w:rPr>
        <w:t xml:space="preserve"> wydany </w:t>
      </w:r>
      <w:r w:rsidRPr="00317C94">
        <w:rPr>
          <w:rFonts w:ascii="Calibri" w:hAnsi="Calibri" w:cs="Calibri"/>
          <w:iCs/>
        </w:rPr>
        <w:t>zgodnie z Ustawą z dnia 15 maja 2015 r. o substancjach zubożających warstwę ozonową oraz o niektórych fluorowanych gazach cieplarnianych.</w:t>
      </w:r>
    </w:p>
    <w:p w14:paraId="56311ACD" w14:textId="31F13107" w:rsidR="007B3C4A" w:rsidRPr="007B3C4A" w:rsidRDefault="007B3C4A" w:rsidP="00F84A0B">
      <w:pPr>
        <w:pStyle w:val="Akapitzlist"/>
        <w:jc w:val="both"/>
      </w:pPr>
    </w:p>
    <w:p w14:paraId="34DE1DB7" w14:textId="77777777" w:rsidR="007B3C4A" w:rsidRPr="007B3C4A" w:rsidRDefault="007B3C4A" w:rsidP="007B3C4A">
      <w:pPr>
        <w:jc w:val="both"/>
      </w:pPr>
      <w:r w:rsidRPr="007B3C4A">
        <w:t>Ponadto pracownicy firmy, która będzie wykonywała postawione zadania serwisowe  powinni spełniać wymagania dla zakresu eksploatacji i dozoru (po jednej osobie):</w:t>
      </w:r>
    </w:p>
    <w:p w14:paraId="4826B6E5" w14:textId="2B966086" w:rsidR="007B3C4A" w:rsidRPr="007B3C4A" w:rsidRDefault="007B3C4A" w:rsidP="00F84A0B">
      <w:pPr>
        <w:jc w:val="both"/>
      </w:pPr>
      <w:r w:rsidRPr="007B3C4A">
        <w:lastRenderedPageBreak/>
        <w:t>Rozporządzenia ministra gospodarki, pracy i polityki społecznej z dnia 28 kwietnia 2003 roku  w sprawie szczegółowych zasad stwierdzania posiadania kwalifikacji przez osoby zajmujące się eksploatacją urządzeń, instalacji i sieci w następujących grupach:</w:t>
      </w:r>
    </w:p>
    <w:p w14:paraId="104338A0" w14:textId="77777777" w:rsidR="007B3C4A" w:rsidRPr="007B3C4A" w:rsidRDefault="007B3C4A" w:rsidP="007B3C4A">
      <w:pPr>
        <w:jc w:val="both"/>
      </w:pPr>
      <w:r w:rsidRPr="007B3C4A">
        <w:t>Grupa 1 – Urządzenia, instalacje i sieci elektroenergetyczne wytwarzające, przetwarzające, przesyłające i zużywające energię elektryczną w zakresie pkt 2 i pkt 10.</w:t>
      </w:r>
    </w:p>
    <w:p w14:paraId="7DE005E6" w14:textId="0D6B43B5" w:rsidR="007B3C4A" w:rsidRPr="007B3C4A" w:rsidRDefault="007B3C4A" w:rsidP="007B3C4A">
      <w:pPr>
        <w:jc w:val="both"/>
      </w:pPr>
      <w:r w:rsidRPr="007B3C4A">
        <w:t>Grupa 2 – Urządzenia wytwarzające, przetwarzające, przesyłające i zużywające ciepło oraz inne urządzenia energetyczne w zakresie pkt 2, pkt 5, pkt 6 i pkt 10.</w:t>
      </w:r>
    </w:p>
    <w:p w14:paraId="164F361A" w14:textId="755C61D1" w:rsidR="007B3C4A" w:rsidRPr="007B3C4A" w:rsidRDefault="007B3C4A" w:rsidP="007B3C4A">
      <w:pPr>
        <w:jc w:val="both"/>
      </w:pPr>
      <w:r w:rsidRPr="007B3C4A">
        <w:t>Grupa</w:t>
      </w:r>
      <w:r w:rsidR="00C871C0">
        <w:t xml:space="preserve"> </w:t>
      </w:r>
      <w:r w:rsidRPr="007B3C4A">
        <w:t xml:space="preserve">3 – Urządzenia instalacje i sieci gazowe wytwarzające, przetwarzające, przesyłające, magazynujące i zużywające paliwa gazowe w zakresie pkt 6 i pkt 10. </w:t>
      </w:r>
    </w:p>
    <w:p w14:paraId="745734B7" w14:textId="77777777" w:rsidR="00F84A0B" w:rsidRDefault="00F84A0B" w:rsidP="00F84A0B">
      <w:pPr>
        <w:jc w:val="both"/>
      </w:pPr>
    </w:p>
    <w:p w14:paraId="2BD4AC23" w14:textId="21C3EC91" w:rsidR="00210B2E" w:rsidRDefault="00CE050E" w:rsidP="00F84A0B">
      <w:pPr>
        <w:jc w:val="both"/>
      </w:pPr>
      <w:r>
        <w:t>Zamawiający wymaga również posiadania przez Wykonawcę a</w:t>
      </w:r>
      <w:r w:rsidR="00210B2E">
        <w:t>utoryzacj</w:t>
      </w:r>
      <w:r>
        <w:t>i</w:t>
      </w:r>
      <w:r w:rsidR="00210B2E">
        <w:t xml:space="preserve"> </w:t>
      </w:r>
      <w:r>
        <w:t xml:space="preserve">serwisowych </w:t>
      </w:r>
      <w:r w:rsidR="00210B2E">
        <w:t xml:space="preserve">dla: </w:t>
      </w:r>
    </w:p>
    <w:p w14:paraId="42A8A298" w14:textId="3C46F8B9" w:rsidR="0008261E" w:rsidRDefault="00210B2E" w:rsidP="00210B2E">
      <w:pPr>
        <w:pStyle w:val="Akapitzlist"/>
        <w:numPr>
          <w:ilvl w:val="0"/>
          <w:numId w:val="7"/>
        </w:numPr>
        <w:jc w:val="both"/>
      </w:pPr>
      <w:r>
        <w:t xml:space="preserve">kotła gazowego </w:t>
      </w:r>
      <w:r w:rsidR="0088481B">
        <w:t>De Dietrich</w:t>
      </w:r>
    </w:p>
    <w:p w14:paraId="6186EF97" w14:textId="59BC8D83" w:rsidR="00210B2E" w:rsidRDefault="0088481B" w:rsidP="00210B2E">
      <w:pPr>
        <w:pStyle w:val="Akapitzlist"/>
        <w:numPr>
          <w:ilvl w:val="0"/>
          <w:numId w:val="7"/>
        </w:numPr>
        <w:jc w:val="both"/>
      </w:pPr>
      <w:r>
        <w:t>klapy odcinające i ppoż. F-my Mercor</w:t>
      </w:r>
    </w:p>
    <w:p w14:paraId="36E47DC8" w14:textId="101C4028" w:rsidR="0088481B" w:rsidRDefault="0088481B" w:rsidP="00210B2E">
      <w:pPr>
        <w:pStyle w:val="Akapitzlist"/>
        <w:numPr>
          <w:ilvl w:val="0"/>
          <w:numId w:val="7"/>
        </w:numPr>
        <w:jc w:val="both"/>
      </w:pPr>
      <w:r w:rsidRPr="0088481B">
        <w:t>Nawilżacz powietrza typ CONDAIR</w:t>
      </w:r>
    </w:p>
    <w:p w14:paraId="26D6057D" w14:textId="1AD792BA" w:rsidR="00C15ED3" w:rsidRDefault="00C15ED3" w:rsidP="00210B2E">
      <w:pPr>
        <w:pStyle w:val="Akapitzlist"/>
        <w:numPr>
          <w:ilvl w:val="0"/>
          <w:numId w:val="7"/>
        </w:numPr>
        <w:jc w:val="both"/>
      </w:pPr>
      <w:r w:rsidRPr="00C15ED3">
        <w:t>Zmiękczacz wody Clack z głowicą sterującą Pallas IA</w:t>
      </w:r>
    </w:p>
    <w:p w14:paraId="00C7BDBB" w14:textId="77777777" w:rsidR="00CE050E" w:rsidRDefault="00980B2B" w:rsidP="00CE050E">
      <w:pPr>
        <w:pStyle w:val="Akapitzlist"/>
        <w:numPr>
          <w:ilvl w:val="0"/>
          <w:numId w:val="7"/>
        </w:numPr>
        <w:jc w:val="both"/>
      </w:pPr>
      <w:r>
        <w:t>Klima konwektory</w:t>
      </w:r>
      <w:r w:rsidR="00C15ED3">
        <w:t xml:space="preserve"> PURMO</w:t>
      </w:r>
    </w:p>
    <w:p w14:paraId="670EF8A4" w14:textId="4092D60A" w:rsidR="00A43196" w:rsidRDefault="00A43196" w:rsidP="00CE050E">
      <w:pPr>
        <w:jc w:val="both"/>
      </w:pPr>
      <w:r>
        <w:t xml:space="preserve">Przed zawarciem umowy Wykonawca będzie zobowiązany do przedstawienia </w:t>
      </w:r>
      <w:r w:rsidR="00CE050E">
        <w:t xml:space="preserve">dokumentów potwierdzających </w:t>
      </w:r>
      <w:r w:rsidR="00D066CC">
        <w:t xml:space="preserve">posiadane </w:t>
      </w:r>
      <w:r w:rsidR="00CE050E">
        <w:t>autoryzacj</w:t>
      </w:r>
      <w:r w:rsidR="00D066CC">
        <w:t>e.</w:t>
      </w:r>
    </w:p>
    <w:p w14:paraId="5C2A21F6" w14:textId="09F308ED" w:rsidR="005F798F" w:rsidRDefault="005F798F" w:rsidP="00CE050E">
      <w:pPr>
        <w:jc w:val="both"/>
      </w:pPr>
    </w:p>
    <w:p w14:paraId="1C5B6569" w14:textId="77777777" w:rsidR="005F798F" w:rsidRPr="007B3C4A" w:rsidRDefault="005F798F" w:rsidP="00CE050E">
      <w:pPr>
        <w:jc w:val="both"/>
      </w:pPr>
    </w:p>
    <w:sectPr w:rsidR="005F798F" w:rsidRPr="007B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6EF" w14:textId="77777777" w:rsidR="00BA1834" w:rsidRDefault="00BA1834" w:rsidP="00285067">
      <w:pPr>
        <w:spacing w:after="0" w:line="240" w:lineRule="auto"/>
      </w:pPr>
      <w:r>
        <w:separator/>
      </w:r>
    </w:p>
  </w:endnote>
  <w:endnote w:type="continuationSeparator" w:id="0">
    <w:p w14:paraId="73E3C1E4" w14:textId="77777777" w:rsidR="00BA1834" w:rsidRDefault="00BA1834" w:rsidP="0028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41BA" w14:textId="77777777" w:rsidR="00BA1834" w:rsidRDefault="00BA1834" w:rsidP="00285067">
      <w:pPr>
        <w:spacing w:after="0" w:line="240" w:lineRule="auto"/>
      </w:pPr>
      <w:r>
        <w:separator/>
      </w:r>
    </w:p>
  </w:footnote>
  <w:footnote w:type="continuationSeparator" w:id="0">
    <w:p w14:paraId="1E6EB703" w14:textId="77777777" w:rsidR="00BA1834" w:rsidRDefault="00BA1834" w:rsidP="0028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1D5"/>
    <w:multiLevelType w:val="hybridMultilevel"/>
    <w:tmpl w:val="C356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449"/>
    <w:multiLevelType w:val="hybridMultilevel"/>
    <w:tmpl w:val="55F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B8D"/>
    <w:multiLevelType w:val="hybridMultilevel"/>
    <w:tmpl w:val="55089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37E"/>
    <w:multiLevelType w:val="hybridMultilevel"/>
    <w:tmpl w:val="19F41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22AA"/>
    <w:multiLevelType w:val="hybridMultilevel"/>
    <w:tmpl w:val="2C262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CED"/>
    <w:multiLevelType w:val="hybridMultilevel"/>
    <w:tmpl w:val="7EE49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B5A2B"/>
    <w:multiLevelType w:val="hybridMultilevel"/>
    <w:tmpl w:val="996A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139A3"/>
    <w:rsid w:val="0001529C"/>
    <w:rsid w:val="00017421"/>
    <w:rsid w:val="000207AC"/>
    <w:rsid w:val="00022F1C"/>
    <w:rsid w:val="00050D73"/>
    <w:rsid w:val="0006069A"/>
    <w:rsid w:val="0008127B"/>
    <w:rsid w:val="0008261E"/>
    <w:rsid w:val="000A1040"/>
    <w:rsid w:val="000B05B4"/>
    <w:rsid w:val="000E46C4"/>
    <w:rsid w:val="000F0212"/>
    <w:rsid w:val="000F27C8"/>
    <w:rsid w:val="00122EFD"/>
    <w:rsid w:val="00142CF6"/>
    <w:rsid w:val="001740E1"/>
    <w:rsid w:val="001749CD"/>
    <w:rsid w:val="001911DA"/>
    <w:rsid w:val="001C124D"/>
    <w:rsid w:val="001E59A6"/>
    <w:rsid w:val="00204435"/>
    <w:rsid w:val="00210B2E"/>
    <w:rsid w:val="002204A4"/>
    <w:rsid w:val="0022090B"/>
    <w:rsid w:val="0022179B"/>
    <w:rsid w:val="00222FBA"/>
    <w:rsid w:val="002344FE"/>
    <w:rsid w:val="00240325"/>
    <w:rsid w:val="00244CEE"/>
    <w:rsid w:val="00250599"/>
    <w:rsid w:val="002527B4"/>
    <w:rsid w:val="00282C4B"/>
    <w:rsid w:val="0028408F"/>
    <w:rsid w:val="00285067"/>
    <w:rsid w:val="002B27C5"/>
    <w:rsid w:val="002D0472"/>
    <w:rsid w:val="002D25AE"/>
    <w:rsid w:val="00305915"/>
    <w:rsid w:val="00315586"/>
    <w:rsid w:val="00355DD4"/>
    <w:rsid w:val="00390169"/>
    <w:rsid w:val="003A7D68"/>
    <w:rsid w:val="003B4351"/>
    <w:rsid w:val="003B4D04"/>
    <w:rsid w:val="003C67E7"/>
    <w:rsid w:val="003D5F9B"/>
    <w:rsid w:val="003E24F4"/>
    <w:rsid w:val="004043D5"/>
    <w:rsid w:val="00426502"/>
    <w:rsid w:val="00426823"/>
    <w:rsid w:val="00434C19"/>
    <w:rsid w:val="004474C6"/>
    <w:rsid w:val="00464E12"/>
    <w:rsid w:val="00482E5B"/>
    <w:rsid w:val="004B235C"/>
    <w:rsid w:val="004B53A3"/>
    <w:rsid w:val="004B787D"/>
    <w:rsid w:val="004C07DD"/>
    <w:rsid w:val="004C2168"/>
    <w:rsid w:val="004C5B38"/>
    <w:rsid w:val="004D0370"/>
    <w:rsid w:val="004D2FFC"/>
    <w:rsid w:val="005039B1"/>
    <w:rsid w:val="00506D64"/>
    <w:rsid w:val="0054230A"/>
    <w:rsid w:val="0057400F"/>
    <w:rsid w:val="00577B5C"/>
    <w:rsid w:val="00581E0A"/>
    <w:rsid w:val="005A0F5D"/>
    <w:rsid w:val="005A7934"/>
    <w:rsid w:val="005B12A1"/>
    <w:rsid w:val="005C1366"/>
    <w:rsid w:val="005D07B7"/>
    <w:rsid w:val="005F32C7"/>
    <w:rsid w:val="005F7900"/>
    <w:rsid w:val="005F798F"/>
    <w:rsid w:val="006017BE"/>
    <w:rsid w:val="00602123"/>
    <w:rsid w:val="006163C6"/>
    <w:rsid w:val="00641BF0"/>
    <w:rsid w:val="00643509"/>
    <w:rsid w:val="00646241"/>
    <w:rsid w:val="00655BB1"/>
    <w:rsid w:val="00657C47"/>
    <w:rsid w:val="00686D9E"/>
    <w:rsid w:val="006927E7"/>
    <w:rsid w:val="0069646E"/>
    <w:rsid w:val="006A1B75"/>
    <w:rsid w:val="006A3462"/>
    <w:rsid w:val="006A68E0"/>
    <w:rsid w:val="006C0CCF"/>
    <w:rsid w:val="006C3219"/>
    <w:rsid w:val="006C4CC8"/>
    <w:rsid w:val="006D55AD"/>
    <w:rsid w:val="006F6A9E"/>
    <w:rsid w:val="00701674"/>
    <w:rsid w:val="00732BC2"/>
    <w:rsid w:val="00761C65"/>
    <w:rsid w:val="007623A4"/>
    <w:rsid w:val="00765C95"/>
    <w:rsid w:val="00774190"/>
    <w:rsid w:val="00782A0C"/>
    <w:rsid w:val="007B0404"/>
    <w:rsid w:val="007B3C4A"/>
    <w:rsid w:val="007C5776"/>
    <w:rsid w:val="007D00B4"/>
    <w:rsid w:val="007E04B5"/>
    <w:rsid w:val="007E32B7"/>
    <w:rsid w:val="007F6193"/>
    <w:rsid w:val="008105DB"/>
    <w:rsid w:val="00817794"/>
    <w:rsid w:val="00817901"/>
    <w:rsid w:val="00831E21"/>
    <w:rsid w:val="008368B7"/>
    <w:rsid w:val="008436FA"/>
    <w:rsid w:val="00855DD9"/>
    <w:rsid w:val="0087641B"/>
    <w:rsid w:val="0088481B"/>
    <w:rsid w:val="00885CBA"/>
    <w:rsid w:val="00890EC1"/>
    <w:rsid w:val="0089618F"/>
    <w:rsid w:val="008C0E64"/>
    <w:rsid w:val="008C692F"/>
    <w:rsid w:val="008F2896"/>
    <w:rsid w:val="008F63A5"/>
    <w:rsid w:val="00904226"/>
    <w:rsid w:val="009247E1"/>
    <w:rsid w:val="00926302"/>
    <w:rsid w:val="00943547"/>
    <w:rsid w:val="009438F6"/>
    <w:rsid w:val="009440B9"/>
    <w:rsid w:val="00951703"/>
    <w:rsid w:val="009527F9"/>
    <w:rsid w:val="00955EC8"/>
    <w:rsid w:val="009572CF"/>
    <w:rsid w:val="00971B2F"/>
    <w:rsid w:val="00975482"/>
    <w:rsid w:val="00980B2B"/>
    <w:rsid w:val="009933BA"/>
    <w:rsid w:val="00994D9B"/>
    <w:rsid w:val="009A1744"/>
    <w:rsid w:val="009A2E9C"/>
    <w:rsid w:val="009A5BC8"/>
    <w:rsid w:val="009B2546"/>
    <w:rsid w:val="009B40BB"/>
    <w:rsid w:val="009D040C"/>
    <w:rsid w:val="009E67AB"/>
    <w:rsid w:val="009F3A53"/>
    <w:rsid w:val="009F458F"/>
    <w:rsid w:val="00A11624"/>
    <w:rsid w:val="00A15E36"/>
    <w:rsid w:val="00A24411"/>
    <w:rsid w:val="00A26016"/>
    <w:rsid w:val="00A43196"/>
    <w:rsid w:val="00A66C15"/>
    <w:rsid w:val="00A929E1"/>
    <w:rsid w:val="00AB0CBF"/>
    <w:rsid w:val="00AB3AFE"/>
    <w:rsid w:val="00AB5AAC"/>
    <w:rsid w:val="00AC3F6F"/>
    <w:rsid w:val="00AE3773"/>
    <w:rsid w:val="00AF3FB9"/>
    <w:rsid w:val="00B00836"/>
    <w:rsid w:val="00B04DE0"/>
    <w:rsid w:val="00B062DC"/>
    <w:rsid w:val="00B24B92"/>
    <w:rsid w:val="00B35CFE"/>
    <w:rsid w:val="00B37A40"/>
    <w:rsid w:val="00B43E08"/>
    <w:rsid w:val="00B47689"/>
    <w:rsid w:val="00B50E80"/>
    <w:rsid w:val="00B70D75"/>
    <w:rsid w:val="00B71D02"/>
    <w:rsid w:val="00B80840"/>
    <w:rsid w:val="00B854DB"/>
    <w:rsid w:val="00B968E0"/>
    <w:rsid w:val="00BA1834"/>
    <w:rsid w:val="00BA671D"/>
    <w:rsid w:val="00BB76A4"/>
    <w:rsid w:val="00BB77A1"/>
    <w:rsid w:val="00BD74D0"/>
    <w:rsid w:val="00BE1F1C"/>
    <w:rsid w:val="00BE207C"/>
    <w:rsid w:val="00BF0DE6"/>
    <w:rsid w:val="00BF31E9"/>
    <w:rsid w:val="00BF50C6"/>
    <w:rsid w:val="00C01F4F"/>
    <w:rsid w:val="00C1421B"/>
    <w:rsid w:val="00C15ED3"/>
    <w:rsid w:val="00C166D7"/>
    <w:rsid w:val="00C20C79"/>
    <w:rsid w:val="00C25359"/>
    <w:rsid w:val="00C270E3"/>
    <w:rsid w:val="00C36B3B"/>
    <w:rsid w:val="00C43FCC"/>
    <w:rsid w:val="00C45025"/>
    <w:rsid w:val="00C578EB"/>
    <w:rsid w:val="00C61F2F"/>
    <w:rsid w:val="00C871C0"/>
    <w:rsid w:val="00CA24A1"/>
    <w:rsid w:val="00CA6D5F"/>
    <w:rsid w:val="00CE050E"/>
    <w:rsid w:val="00CF1525"/>
    <w:rsid w:val="00D0080F"/>
    <w:rsid w:val="00D066CC"/>
    <w:rsid w:val="00D4152C"/>
    <w:rsid w:val="00D42593"/>
    <w:rsid w:val="00D52890"/>
    <w:rsid w:val="00D56871"/>
    <w:rsid w:val="00D63306"/>
    <w:rsid w:val="00D81C90"/>
    <w:rsid w:val="00D86E1A"/>
    <w:rsid w:val="00D92EDF"/>
    <w:rsid w:val="00DA0022"/>
    <w:rsid w:val="00DC7EAD"/>
    <w:rsid w:val="00DD0D44"/>
    <w:rsid w:val="00DF32BB"/>
    <w:rsid w:val="00E14998"/>
    <w:rsid w:val="00E17502"/>
    <w:rsid w:val="00E218CD"/>
    <w:rsid w:val="00E24C91"/>
    <w:rsid w:val="00E24DCA"/>
    <w:rsid w:val="00E31391"/>
    <w:rsid w:val="00E65B5F"/>
    <w:rsid w:val="00E6685E"/>
    <w:rsid w:val="00E725C5"/>
    <w:rsid w:val="00E872BF"/>
    <w:rsid w:val="00E959FD"/>
    <w:rsid w:val="00EA13DC"/>
    <w:rsid w:val="00EA6C7A"/>
    <w:rsid w:val="00EB6BC9"/>
    <w:rsid w:val="00ED5392"/>
    <w:rsid w:val="00EF1876"/>
    <w:rsid w:val="00EF775D"/>
    <w:rsid w:val="00F015B3"/>
    <w:rsid w:val="00F05AEC"/>
    <w:rsid w:val="00F12DDD"/>
    <w:rsid w:val="00F311F1"/>
    <w:rsid w:val="00F321D4"/>
    <w:rsid w:val="00F414B9"/>
    <w:rsid w:val="00F501CC"/>
    <w:rsid w:val="00F536D7"/>
    <w:rsid w:val="00F54920"/>
    <w:rsid w:val="00F565C6"/>
    <w:rsid w:val="00F75542"/>
    <w:rsid w:val="00F8046C"/>
    <w:rsid w:val="00F84A0B"/>
    <w:rsid w:val="00F8758B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B7ED"/>
  <w15:chartTrackingRefBased/>
  <w15:docId w15:val="{16260C2A-6516-477D-B06B-4BFF416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67"/>
  </w:style>
  <w:style w:type="paragraph" w:styleId="Stopka">
    <w:name w:val="footer"/>
    <w:basedOn w:val="Normalny"/>
    <w:link w:val="StopkaZnak"/>
    <w:uiPriority w:val="99"/>
    <w:unhideWhenUsed/>
    <w:rsid w:val="002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67"/>
  </w:style>
  <w:style w:type="table" w:styleId="Tabela-Siatka">
    <w:name w:val="Table Grid"/>
    <w:basedOn w:val="Standardowy"/>
    <w:uiPriority w:val="39"/>
    <w:rsid w:val="007F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12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793A-404B-42C9-B07E-4FF09594E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0AEC5-92EF-450C-B799-F3DCD4AE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4DA0C-3CBC-4504-A55C-CACDF5E6E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8E0B7-58D3-477D-BEA4-A902B7E6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Borkowski</dc:creator>
  <cp:keywords/>
  <dc:description/>
  <cp:lastModifiedBy>Eliza Gajowczyk</cp:lastModifiedBy>
  <cp:revision>283</cp:revision>
  <dcterms:created xsi:type="dcterms:W3CDTF">2022-01-11T07:22:00Z</dcterms:created>
  <dcterms:modified xsi:type="dcterms:W3CDTF">2022-03-08T09:57:00Z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