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1360"/>
        <w:gridCol w:w="3519"/>
      </w:tblGrid>
      <w:tr w:rsidR="000D78BE" w:rsidRPr="000D78BE" w:rsidTr="000D78BE">
        <w:trPr>
          <w:trHeight w:val="666"/>
        </w:trPr>
        <w:tc>
          <w:tcPr>
            <w:tcW w:w="3577" w:type="dxa"/>
          </w:tcPr>
          <w:p w:rsidR="00F77E40" w:rsidRDefault="00F77E40" w:rsidP="00F77E40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F77E40">
              <w:trPr>
                <w:trHeight w:val="90"/>
              </w:trPr>
              <w:tc>
                <w:tcPr>
                  <w:tcW w:w="0" w:type="auto"/>
                </w:tcPr>
                <w:p w:rsidR="00F77E40" w:rsidRDefault="00F77E40" w:rsidP="00F77E4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D78BE" w:rsidRPr="000D78BE" w:rsidRDefault="000D78BE" w:rsidP="00F77E40">
            <w:pPr>
              <w:rPr>
                <w:rFonts w:ascii="Times New Roman" w:hAnsi="Times New Roman" w:cs="Times New Roman"/>
              </w:rPr>
            </w:pPr>
            <w:r w:rsidRPr="000D78BE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0D78BE" w:rsidRPr="000D78BE" w:rsidRDefault="000D78BE" w:rsidP="00BE2EFD">
            <w:pPr>
              <w:jc w:val="center"/>
              <w:rPr>
                <w:rFonts w:ascii="Times New Roman" w:hAnsi="Times New Roman" w:cs="Times New Roman"/>
              </w:rPr>
            </w:pPr>
            <w:r w:rsidRPr="000D78BE">
              <w:rPr>
                <w:rFonts w:ascii="Times New Roman" w:hAnsi="Times New Roman" w:cs="Times New Roman"/>
              </w:rPr>
              <w:t>(nazwa i adres wykonawcy)</w:t>
            </w:r>
          </w:p>
        </w:tc>
        <w:tc>
          <w:tcPr>
            <w:tcW w:w="1793" w:type="dxa"/>
          </w:tcPr>
          <w:p w:rsidR="000D78BE" w:rsidRPr="000D78BE" w:rsidRDefault="000D78BE" w:rsidP="00BE2EFD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3" w:type="dxa"/>
          </w:tcPr>
          <w:p w:rsidR="000D78BE" w:rsidRPr="000D78BE" w:rsidRDefault="000D78BE" w:rsidP="00BE2EF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D78BE">
              <w:rPr>
                <w:rFonts w:ascii="Times New Roman" w:hAnsi="Times New Roman" w:cs="Times New Roman"/>
                <w:b/>
              </w:rPr>
              <w:t>Załącznik nr 2 do SWZ</w:t>
            </w:r>
          </w:p>
        </w:tc>
      </w:tr>
      <w:tr w:rsidR="000D78BE" w:rsidRPr="0010113F" w:rsidTr="000D78BE">
        <w:trPr>
          <w:trHeight w:val="769"/>
        </w:trPr>
        <w:tc>
          <w:tcPr>
            <w:tcW w:w="9513" w:type="dxa"/>
            <w:gridSpan w:val="3"/>
          </w:tcPr>
          <w:p w:rsidR="000D78BE" w:rsidRDefault="000D78BE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C43188" w:rsidRPr="00C702D5" w:rsidRDefault="00C43188" w:rsidP="00C43188">
            <w:pPr>
              <w:shd w:val="clear" w:color="auto" w:fill="BFBFBF" w:themeFill="background1" w:themeFillShade="BF"/>
              <w:spacing w:line="288" w:lineRule="auto"/>
              <w:textAlignment w:val="top"/>
            </w:pPr>
            <w:r w:rsidRPr="00186239">
              <w:rPr>
                <w:sz w:val="20"/>
                <w:szCs w:val="20"/>
              </w:rPr>
              <w:t xml:space="preserve">dotyczy: przetargu nieograniczonego na </w:t>
            </w:r>
            <w:r>
              <w:rPr>
                <w:rFonts w:eastAsia="Calibri"/>
                <w:b/>
                <w:sz w:val="20"/>
                <w:szCs w:val="20"/>
              </w:rPr>
              <w:t>D</w:t>
            </w:r>
            <w:r w:rsidRPr="00FF49A0">
              <w:rPr>
                <w:rFonts w:eastAsia="Calibri"/>
                <w:b/>
                <w:sz w:val="20"/>
                <w:szCs w:val="20"/>
              </w:rPr>
              <w:t>ostawę Gamma kamery wraz z postawieniem budynku w systemie modułowym z adaptacją pomieszczeń</w:t>
            </w:r>
            <w:r w:rsidRPr="00186239">
              <w:rPr>
                <w:sz w:val="20"/>
                <w:szCs w:val="20"/>
              </w:rPr>
              <w:t>, znak sprawy: 4WSzKzP.SZP.2612.</w:t>
            </w:r>
            <w:r>
              <w:rPr>
                <w:sz w:val="20"/>
                <w:szCs w:val="20"/>
              </w:rPr>
              <w:t>43</w:t>
            </w:r>
            <w:r w:rsidRPr="00186239">
              <w:rPr>
                <w:sz w:val="20"/>
                <w:szCs w:val="20"/>
              </w:rPr>
              <w:t>.2023</w:t>
            </w: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Pr="00D2353C" w:rsidRDefault="00637E70" w:rsidP="00637E70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2353C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Zestawienie asortymentowo - cenowe przedmiotu zamówienia</w:t>
            </w:r>
          </w:p>
          <w:p w:rsidR="00637E70" w:rsidRPr="00D2353C" w:rsidRDefault="00637E70" w:rsidP="00637E70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637E70" w:rsidRPr="00D2353C" w:rsidRDefault="00637E70" w:rsidP="00637E70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D2353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„Cena brutto (zł)”, będąca podstawą do wyliczenia punktów za cenę – otrzymujemy ze wzoru: „Wartość jednostkowa netto[z])” razy „Ilość zakupu” – daje „Wartość netto –[zł]”, z której to wartości liczymy podatek vat i po dodaniu podatku vat do wartości netto otrzymujemy „Cenę brutto[(zł]”.</w:t>
            </w: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tbl>
            <w:tblPr>
              <w:tblW w:w="105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39"/>
              <w:gridCol w:w="4431"/>
              <w:gridCol w:w="778"/>
              <w:gridCol w:w="1138"/>
              <w:gridCol w:w="9"/>
              <w:gridCol w:w="1147"/>
              <w:gridCol w:w="9"/>
              <w:gridCol w:w="1137"/>
              <w:gridCol w:w="9"/>
              <w:gridCol w:w="1173"/>
              <w:gridCol w:w="9"/>
            </w:tblGrid>
            <w:tr w:rsidR="00637E70" w:rsidRPr="00D2353C" w:rsidTr="00FF483B">
              <w:trPr>
                <w:gridAfter w:val="1"/>
                <w:wAfter w:w="9" w:type="dxa"/>
                <w:trHeight w:val="20"/>
              </w:trPr>
              <w:tc>
                <w:tcPr>
                  <w:tcW w:w="739" w:type="dxa"/>
                  <w:shd w:val="clear" w:color="000000" w:fill="C6EFCE"/>
                  <w:vAlign w:val="center"/>
                </w:tcPr>
                <w:p w:rsidR="00637E70" w:rsidRPr="00D2353C" w:rsidRDefault="00637E70" w:rsidP="00637E7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235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4431" w:type="dxa"/>
                  <w:shd w:val="clear" w:color="000000" w:fill="C6EFCE"/>
                  <w:vAlign w:val="center"/>
                  <w:hideMark/>
                </w:tcPr>
                <w:p w:rsidR="00637E70" w:rsidRPr="00D2353C" w:rsidRDefault="00637E70" w:rsidP="00637E7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235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Nazwa asortymentu</w:t>
                  </w:r>
                </w:p>
              </w:tc>
              <w:tc>
                <w:tcPr>
                  <w:tcW w:w="778" w:type="dxa"/>
                  <w:shd w:val="clear" w:color="000000" w:fill="C6EFCE"/>
                  <w:vAlign w:val="center"/>
                </w:tcPr>
                <w:p w:rsidR="00637E70" w:rsidRPr="00D2353C" w:rsidRDefault="00637E70" w:rsidP="00637E7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235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Ilość [kpl.]</w:t>
                  </w:r>
                </w:p>
              </w:tc>
              <w:tc>
                <w:tcPr>
                  <w:tcW w:w="1138" w:type="dxa"/>
                  <w:shd w:val="clear" w:color="000000" w:fill="C6EFCE"/>
                  <w:vAlign w:val="center"/>
                  <w:hideMark/>
                </w:tcPr>
                <w:p w:rsidR="00637E70" w:rsidRPr="00D2353C" w:rsidRDefault="00637E70" w:rsidP="00637E7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235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cena netto /kpl</w:t>
                  </w:r>
                </w:p>
              </w:tc>
              <w:tc>
                <w:tcPr>
                  <w:tcW w:w="1156" w:type="dxa"/>
                  <w:gridSpan w:val="2"/>
                  <w:shd w:val="clear" w:color="000000" w:fill="C6EFCE"/>
                  <w:vAlign w:val="center"/>
                  <w:hideMark/>
                </w:tcPr>
                <w:p w:rsidR="00637E70" w:rsidRPr="00D2353C" w:rsidRDefault="00637E70" w:rsidP="00637E7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235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suma netto [zł]</w:t>
                  </w:r>
                </w:p>
              </w:tc>
              <w:tc>
                <w:tcPr>
                  <w:tcW w:w="1146" w:type="dxa"/>
                  <w:gridSpan w:val="2"/>
                  <w:shd w:val="clear" w:color="000000" w:fill="C6EFCE"/>
                  <w:vAlign w:val="center"/>
                </w:tcPr>
                <w:p w:rsidR="00637E70" w:rsidRPr="00D2353C" w:rsidRDefault="00637E70" w:rsidP="00637E7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235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VAT</w:t>
                  </w:r>
                </w:p>
              </w:tc>
              <w:tc>
                <w:tcPr>
                  <w:tcW w:w="1182" w:type="dxa"/>
                  <w:gridSpan w:val="2"/>
                  <w:shd w:val="clear" w:color="000000" w:fill="C6EFCE"/>
                  <w:vAlign w:val="center"/>
                  <w:hideMark/>
                </w:tcPr>
                <w:p w:rsidR="00637E70" w:rsidRPr="00D2353C" w:rsidRDefault="00637E70" w:rsidP="00637E7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235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suma brutto</w:t>
                  </w:r>
                </w:p>
                <w:p w:rsidR="00637E70" w:rsidRPr="00D2353C" w:rsidRDefault="00637E70" w:rsidP="00637E70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235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[zł]</w:t>
                  </w:r>
                </w:p>
              </w:tc>
            </w:tr>
            <w:tr w:rsidR="00637E70" w:rsidRPr="003450DA" w:rsidTr="00FF483B">
              <w:trPr>
                <w:gridAfter w:val="1"/>
                <w:wAfter w:w="9" w:type="dxa"/>
                <w:trHeight w:val="20"/>
              </w:trPr>
              <w:tc>
                <w:tcPr>
                  <w:tcW w:w="739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3450DA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4431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252FF0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 xml:space="preserve">Gamma kamera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dwugłowicowa, hybrydowa,</w:t>
                  </w:r>
                  <w:r w:rsidRPr="00E62470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 xml:space="preserve"> SPECT-CT z wyposażeniem</w:t>
                  </w:r>
                </w:p>
              </w:tc>
              <w:tc>
                <w:tcPr>
                  <w:tcW w:w="778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8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6" w:type="dxa"/>
                  <w:gridSpan w:val="2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" w:type="dxa"/>
                  <w:gridSpan w:val="2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450DA">
                    <w:rPr>
                      <w:rFonts w:ascii="Times New Roman" w:hAnsi="Times New Roman"/>
                      <w:sz w:val="20"/>
                      <w:szCs w:val="20"/>
                    </w:rPr>
                    <w:t>8%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82" w:type="dxa"/>
                  <w:gridSpan w:val="2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37E70" w:rsidRPr="003450DA" w:rsidTr="00FF483B">
              <w:trPr>
                <w:gridAfter w:val="1"/>
                <w:wAfter w:w="9" w:type="dxa"/>
                <w:trHeight w:val="20"/>
              </w:trPr>
              <w:tc>
                <w:tcPr>
                  <w:tcW w:w="739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4431" w:type="dxa"/>
                  <w:shd w:val="clear" w:color="auto" w:fill="auto"/>
                  <w:vAlign w:val="center"/>
                </w:tcPr>
                <w:p w:rsidR="00637E70" w:rsidRPr="00252FF0" w:rsidRDefault="00637E70" w:rsidP="00637E70">
                  <w:pPr>
                    <w:spacing w:before="120" w:after="120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Postawienie</w:t>
                  </w:r>
                  <w:r w:rsidRPr="00252FF0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 xml:space="preserve"> budynku w systemie modułowym z adaptacją pomieszczeń</w:t>
                  </w:r>
                </w:p>
              </w:tc>
              <w:tc>
                <w:tcPr>
                  <w:tcW w:w="778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ryczałt</w:t>
                  </w:r>
                </w:p>
              </w:tc>
              <w:tc>
                <w:tcPr>
                  <w:tcW w:w="1138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6" w:type="dxa"/>
                  <w:gridSpan w:val="2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" w:type="dxa"/>
                  <w:gridSpan w:val="2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23 %</w:t>
                  </w:r>
                </w:p>
              </w:tc>
              <w:tc>
                <w:tcPr>
                  <w:tcW w:w="1182" w:type="dxa"/>
                  <w:gridSpan w:val="2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37E70" w:rsidRPr="003450DA" w:rsidTr="00FF483B">
              <w:trPr>
                <w:gridAfter w:val="1"/>
                <w:wAfter w:w="9" w:type="dxa"/>
                <w:trHeight w:val="20"/>
              </w:trPr>
              <w:tc>
                <w:tcPr>
                  <w:tcW w:w="739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4431" w:type="dxa"/>
                  <w:shd w:val="clear" w:color="auto" w:fill="auto"/>
                  <w:vAlign w:val="center"/>
                </w:tcPr>
                <w:p w:rsidR="00637E70" w:rsidRPr="00252FF0" w:rsidRDefault="00637E70" w:rsidP="00637E70">
                  <w:pPr>
                    <w:spacing w:before="120" w:after="120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Demontaż gamma kamery</w:t>
                  </w:r>
                  <w:r w:rsidRPr="0080255D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ab/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80255D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Bright View X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br/>
                  </w:r>
                  <w:r w:rsidRPr="0080255D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(opcjonalnie - w przypadku, gdy Zamawiający nie wyłoni do czasu rozpoczęcia prac adaptacyjnych podmiotu, który dokona demontażu i odbioru aktualnie używanego aparatu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778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ryczałt</w:t>
                  </w:r>
                </w:p>
              </w:tc>
              <w:tc>
                <w:tcPr>
                  <w:tcW w:w="1138" w:type="dxa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6" w:type="dxa"/>
                  <w:gridSpan w:val="2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" w:type="dxa"/>
                  <w:gridSpan w:val="2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23%</w:t>
                  </w:r>
                </w:p>
              </w:tc>
              <w:tc>
                <w:tcPr>
                  <w:tcW w:w="1182" w:type="dxa"/>
                  <w:gridSpan w:val="2"/>
                  <w:shd w:val="clear" w:color="auto" w:fill="auto"/>
                  <w:vAlign w:val="center"/>
                </w:tcPr>
                <w:p w:rsidR="00637E70" w:rsidRPr="003450DA" w:rsidRDefault="00637E70" w:rsidP="00637E70">
                  <w:pPr>
                    <w:spacing w:before="120" w:after="120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37E70" w:rsidRPr="00D2353C" w:rsidTr="00FF483B">
              <w:trPr>
                <w:trHeight w:val="20"/>
              </w:trPr>
              <w:tc>
                <w:tcPr>
                  <w:tcW w:w="7095" w:type="dxa"/>
                  <w:gridSpan w:val="5"/>
                  <w:shd w:val="clear" w:color="auto" w:fill="auto"/>
                  <w:vAlign w:val="center"/>
                </w:tcPr>
                <w:p w:rsidR="00637E70" w:rsidRPr="00D2353C" w:rsidRDefault="00637E70" w:rsidP="00637E70">
                  <w:pPr>
                    <w:jc w:val="right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pl-PL"/>
                    </w:rPr>
                  </w:pPr>
                  <w:r w:rsidRPr="00D2353C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pl-PL"/>
                    </w:rPr>
                    <w:t>RAZEM CAŁOŚĆ</w:t>
                  </w:r>
                </w:p>
              </w:tc>
              <w:tc>
                <w:tcPr>
                  <w:tcW w:w="1156" w:type="dxa"/>
                  <w:gridSpan w:val="2"/>
                  <w:shd w:val="clear" w:color="auto" w:fill="auto"/>
                  <w:vAlign w:val="center"/>
                </w:tcPr>
                <w:p w:rsidR="00637E70" w:rsidRPr="00D2353C" w:rsidRDefault="00637E70" w:rsidP="00637E70">
                  <w:pPr>
                    <w:jc w:val="right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46" w:type="dxa"/>
                  <w:gridSpan w:val="2"/>
                  <w:shd w:val="clear" w:color="auto" w:fill="auto"/>
                  <w:vAlign w:val="center"/>
                </w:tcPr>
                <w:p w:rsidR="00637E70" w:rsidRPr="00D2353C" w:rsidRDefault="00637E70" w:rsidP="00637E70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252FF0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8% i 23 %</w:t>
                  </w:r>
                </w:p>
              </w:tc>
              <w:tc>
                <w:tcPr>
                  <w:tcW w:w="1182" w:type="dxa"/>
                  <w:gridSpan w:val="2"/>
                  <w:shd w:val="clear" w:color="auto" w:fill="auto"/>
                  <w:vAlign w:val="center"/>
                </w:tcPr>
                <w:p w:rsidR="00637E70" w:rsidRPr="00D2353C" w:rsidRDefault="00637E70" w:rsidP="00637E70">
                  <w:pPr>
                    <w:jc w:val="right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37E70" w:rsidRPr="00D2353C" w:rsidRDefault="00637E70" w:rsidP="00637E70">
            <w:pPr>
              <w:ind w:left="360"/>
              <w:contextualSpacing/>
              <w:jc w:val="center"/>
              <w:rPr>
                <w:rFonts w:ascii="Times New Roman" w:eastAsia="Calibri" w:hAnsi="Times New Roman"/>
                <w:b/>
                <w:u w:val="single"/>
              </w:rPr>
            </w:pPr>
            <w:r w:rsidRPr="00D2353C">
              <w:rPr>
                <w:rFonts w:ascii="Times New Roman" w:eastAsia="Calibri" w:hAnsi="Times New Roman"/>
                <w:b/>
                <w:u w:val="single"/>
              </w:rPr>
              <w:t>PARAMETRY TECHNICZNE</w:t>
            </w:r>
          </w:p>
          <w:p w:rsidR="00637E70" w:rsidRPr="00D2353C" w:rsidRDefault="00637E70" w:rsidP="00637E70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u w:val="single"/>
                <w:lang w:eastAsia="zh-CN"/>
              </w:rPr>
            </w:pPr>
          </w:p>
          <w:p w:rsidR="00637E70" w:rsidRPr="009B4C9F" w:rsidRDefault="00637E70" w:rsidP="00637E70">
            <w:pPr>
              <w:spacing w:after="200" w:line="276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B4C9F">
              <w:rPr>
                <w:rFonts w:ascii="Times New Roman" w:eastAsia="Times New Roman" w:hAnsi="Times New Roman"/>
                <w:b/>
                <w:bCs/>
                <w:u w:val="single"/>
                <w:lang w:eastAsia="zh-CN"/>
              </w:rPr>
              <w:t xml:space="preserve"> </w:t>
            </w:r>
            <w:r w:rsidRPr="00B15983">
              <w:rPr>
                <w:rFonts w:ascii="Times New Roman" w:eastAsia="Times New Roman" w:hAnsi="Times New Roman"/>
                <w:b/>
                <w:bCs/>
                <w:u w:val="single"/>
                <w:lang w:eastAsia="zh-CN"/>
              </w:rPr>
              <w:t>Gamma kamer</w:t>
            </w:r>
            <w:r>
              <w:rPr>
                <w:rFonts w:ascii="Times New Roman" w:eastAsia="Times New Roman" w:hAnsi="Times New Roman"/>
                <w:b/>
                <w:bCs/>
                <w:u w:val="single"/>
                <w:lang w:eastAsia="zh-CN"/>
              </w:rPr>
              <w:t>a</w:t>
            </w:r>
            <w:r w:rsidRPr="00B15983">
              <w:rPr>
                <w:rFonts w:ascii="Times New Roman" w:eastAsia="Times New Roman" w:hAnsi="Times New Roman"/>
                <w:b/>
                <w:bCs/>
                <w:u w:val="single"/>
                <w:lang w:eastAsia="zh-CN"/>
              </w:rPr>
              <w:t xml:space="preserve"> dwugłowicowa, hybrydowa: SPECT-CT </w:t>
            </w:r>
            <w:r>
              <w:rPr>
                <w:rFonts w:ascii="Times New Roman" w:eastAsia="Times New Roman" w:hAnsi="Times New Roman"/>
                <w:b/>
                <w:bCs/>
                <w:u w:val="single"/>
                <w:lang w:eastAsia="zh-CN"/>
              </w:rPr>
              <w:t>z wyposażeniem</w:t>
            </w:r>
            <w:r w:rsidRPr="00252FF0">
              <w:rPr>
                <w:rFonts w:ascii="Times New Roman" w:eastAsia="Times New Roman" w:hAnsi="Times New Roman"/>
                <w:b/>
                <w:bCs/>
                <w:u w:val="single"/>
                <w:lang w:eastAsia="zh-CN"/>
              </w:rPr>
              <w:t xml:space="preserve"> </w:t>
            </w:r>
            <w:r w:rsidRPr="009B4C9F">
              <w:rPr>
                <w:rFonts w:ascii="Times New Roman" w:eastAsia="Times New Roman" w:hAnsi="Times New Roman"/>
                <w:b/>
                <w:bCs/>
                <w:u w:val="single"/>
                <w:lang w:eastAsia="zh-CN"/>
              </w:rPr>
              <w:t>- 1 kpl.</w:t>
            </w:r>
          </w:p>
          <w:p w:rsidR="00637E70" w:rsidRPr="00D2353C" w:rsidRDefault="00637E70" w:rsidP="00637E70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  <w:r w:rsidRPr="00D2353C">
              <w:rPr>
                <w:rFonts w:ascii="Times New Roman" w:eastAsia="Times New Roman" w:hAnsi="Times New Roman"/>
                <w:b/>
                <w:bCs/>
                <w:lang w:eastAsia="zh-CN"/>
              </w:rPr>
              <w:t>Wykonawca:</w:t>
            </w:r>
            <w:r w:rsidRPr="00D2353C">
              <w:rPr>
                <w:rFonts w:ascii="Times New Roman" w:eastAsia="Times New Roman" w:hAnsi="Times New Roman"/>
                <w:b/>
                <w:bCs/>
                <w:lang w:eastAsia="zh-CN"/>
              </w:rPr>
              <w:tab/>
              <w:t>……………………………………………</w:t>
            </w:r>
          </w:p>
          <w:p w:rsidR="00637E70" w:rsidRPr="00D2353C" w:rsidRDefault="00637E70" w:rsidP="00637E70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</w:p>
          <w:p w:rsidR="00637E70" w:rsidRPr="00D2353C" w:rsidRDefault="00637E70" w:rsidP="00637E70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  <w:r w:rsidRPr="00D2353C">
              <w:rPr>
                <w:rFonts w:ascii="Times New Roman" w:eastAsia="Times New Roman" w:hAnsi="Times New Roman"/>
                <w:b/>
                <w:bCs/>
                <w:lang w:eastAsia="zh-CN"/>
              </w:rPr>
              <w:t>Nazwa i typ:</w:t>
            </w:r>
            <w:r w:rsidRPr="00D2353C">
              <w:rPr>
                <w:rFonts w:ascii="Times New Roman" w:eastAsia="Times New Roman" w:hAnsi="Times New Roman"/>
                <w:b/>
                <w:bCs/>
                <w:lang w:eastAsia="zh-CN"/>
              </w:rPr>
              <w:tab/>
              <w:t>……………………………………………</w:t>
            </w:r>
          </w:p>
          <w:p w:rsidR="00637E70" w:rsidRPr="00D2353C" w:rsidRDefault="00637E70" w:rsidP="00637E70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</w:p>
          <w:p w:rsidR="00637E70" w:rsidRPr="00D2353C" w:rsidRDefault="00637E70" w:rsidP="00637E70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  <w:r w:rsidRPr="00D2353C">
              <w:rPr>
                <w:rFonts w:ascii="Times New Roman" w:eastAsia="Times New Roman" w:hAnsi="Times New Roman"/>
                <w:b/>
                <w:bCs/>
                <w:lang w:eastAsia="zh-CN"/>
              </w:rPr>
              <w:t>Producent/ Kraj :</w:t>
            </w:r>
            <w:r w:rsidRPr="00D2353C">
              <w:rPr>
                <w:rFonts w:ascii="Times New Roman" w:eastAsia="Times New Roman" w:hAnsi="Times New Roman"/>
                <w:b/>
                <w:bCs/>
                <w:lang w:eastAsia="zh-CN"/>
              </w:rPr>
              <w:tab/>
              <w:t>……………………………………………</w:t>
            </w:r>
          </w:p>
          <w:p w:rsidR="00637E70" w:rsidRPr="00D2353C" w:rsidRDefault="00637E70" w:rsidP="00637E70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</w:p>
          <w:p w:rsidR="00637E70" w:rsidRPr="00D2353C" w:rsidRDefault="00637E70" w:rsidP="00637E70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  <w:r w:rsidRPr="00D2353C">
              <w:rPr>
                <w:rFonts w:ascii="Times New Roman" w:eastAsia="Times New Roman" w:hAnsi="Times New Roman"/>
                <w:b/>
                <w:bCs/>
                <w:lang w:eastAsia="zh-CN"/>
              </w:rPr>
              <w:t>Rok produkcji :</w:t>
            </w:r>
            <w:r w:rsidRPr="00D2353C">
              <w:rPr>
                <w:rFonts w:ascii="Times New Roman" w:eastAsia="Times New Roman" w:hAnsi="Times New Roman"/>
                <w:b/>
                <w:bCs/>
                <w:lang w:eastAsia="zh-CN"/>
              </w:rPr>
              <w:tab/>
              <w:t xml:space="preserve">sprzęt fabrycznie nowy, nieużywany, </w:t>
            </w:r>
            <w:r w:rsidRPr="00B66435">
              <w:rPr>
                <w:rFonts w:ascii="Times New Roman" w:eastAsia="Times New Roman" w:hAnsi="Times New Roman"/>
                <w:b/>
                <w:bCs/>
                <w:lang w:eastAsia="zh-CN"/>
              </w:rPr>
              <w:t xml:space="preserve">nierekondycjonowany, </w:t>
            </w:r>
            <w:r w:rsidRPr="00D2353C">
              <w:rPr>
                <w:rFonts w:ascii="Times New Roman" w:eastAsia="Times New Roman" w:hAnsi="Times New Roman"/>
                <w:b/>
                <w:bCs/>
                <w:lang w:eastAsia="zh-CN"/>
              </w:rPr>
              <w:t xml:space="preserve">nie powystawowy / rok produkcji </w:t>
            </w:r>
            <w:r>
              <w:rPr>
                <w:rFonts w:ascii="Times New Roman" w:eastAsia="Times New Roman" w:hAnsi="Times New Roman"/>
                <w:b/>
                <w:bCs/>
                <w:lang w:eastAsia="zh-CN"/>
              </w:rPr>
              <w:t>2023</w:t>
            </w:r>
            <w:r w:rsidRPr="00B15983">
              <w:t xml:space="preserve"> </w:t>
            </w:r>
            <w:r>
              <w:t>(</w:t>
            </w:r>
            <w:r w:rsidRPr="00B15983">
              <w:rPr>
                <w:rFonts w:ascii="Times New Roman" w:eastAsia="Times New Roman" w:hAnsi="Times New Roman"/>
                <w:b/>
                <w:bCs/>
                <w:lang w:eastAsia="zh-CN"/>
              </w:rPr>
              <w:t>wszystkie elementy i części składowe systemów nowe, nieużywane i nierekondycjonowane)</w:t>
            </w:r>
          </w:p>
          <w:p w:rsidR="00637E70" w:rsidRPr="00D2353C" w:rsidRDefault="00637E70" w:rsidP="00637E70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</w:p>
          <w:p w:rsidR="00637E70" w:rsidRPr="00D2353C" w:rsidRDefault="00637E70" w:rsidP="00637E70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</w:p>
          <w:p w:rsidR="00637E70" w:rsidRPr="00D2353C" w:rsidRDefault="00637E70" w:rsidP="00637E70">
            <w:pPr>
              <w:rPr>
                <w:rFonts w:ascii="Times New Roman" w:hAnsi="Times New Roman"/>
                <w:sz w:val="20"/>
                <w:szCs w:val="20"/>
              </w:rPr>
            </w:pPr>
            <w:r w:rsidRPr="00D2353C">
              <w:rPr>
                <w:rFonts w:ascii="Times New Roman" w:hAnsi="Times New Roman"/>
                <w:sz w:val="20"/>
                <w:szCs w:val="20"/>
              </w:rPr>
              <w:t>*Odpowiedź NIE w przypadku parametrów wymaganych  powoduje odrzucenie oferty</w:t>
            </w:r>
          </w:p>
          <w:p w:rsidR="00637E70" w:rsidRDefault="00637E70" w:rsidP="00BE2EF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0D78BE" w:rsidRPr="00637E70" w:rsidRDefault="000D78BE" w:rsidP="00637E70">
            <w:pPr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637E70" w:rsidRPr="00D2353C" w:rsidRDefault="00637E70" w:rsidP="00637E70">
      <w:pPr>
        <w:tabs>
          <w:tab w:val="left" w:pos="5812"/>
          <w:tab w:val="left" w:pos="9781"/>
        </w:tabs>
        <w:suppressAutoHyphens/>
        <w:jc w:val="both"/>
        <w:rPr>
          <w:rFonts w:ascii="Times New Roman" w:eastAsia="Times New Roman" w:hAnsi="Times New Roman"/>
          <w:b/>
          <w:bCs/>
          <w:lang w:eastAsia="zh-CN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1418"/>
        <w:gridCol w:w="1276"/>
        <w:gridCol w:w="2268"/>
      </w:tblGrid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763981" w:rsidRDefault="00637E70" w:rsidP="00FF483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76398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37E70" w:rsidRPr="00763981" w:rsidRDefault="00637E70" w:rsidP="00FF483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76398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763981" w:rsidRDefault="00637E70" w:rsidP="00FF483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76398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zh-CN"/>
              </w:rPr>
              <w:t>PARAMETR WYMAGANY</w:t>
            </w:r>
          </w:p>
        </w:tc>
        <w:tc>
          <w:tcPr>
            <w:tcW w:w="1276" w:type="dxa"/>
            <w:vAlign w:val="center"/>
          </w:tcPr>
          <w:p w:rsidR="00637E70" w:rsidRPr="00763981" w:rsidRDefault="00637E70" w:rsidP="00FF483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Parametr oceniany</w:t>
            </w:r>
          </w:p>
        </w:tc>
        <w:tc>
          <w:tcPr>
            <w:tcW w:w="2268" w:type="dxa"/>
            <w:vAlign w:val="center"/>
          </w:tcPr>
          <w:p w:rsidR="00637E70" w:rsidRPr="00763981" w:rsidRDefault="00637E70" w:rsidP="00FF483B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63981">
              <w:rPr>
                <w:rFonts w:ascii="Times New Roman" w:hAnsi="Times New Roman"/>
                <w:b/>
                <w:sz w:val="16"/>
                <w:szCs w:val="16"/>
              </w:rPr>
              <w:t xml:space="preserve">PARAMETRY OFEROWANE/ </w:t>
            </w:r>
            <w:r w:rsidRPr="00763981"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731906">
              <w:rPr>
                <w:rFonts w:ascii="Times New Roman" w:hAnsi="Times New Roman"/>
                <w:b/>
                <w:sz w:val="12"/>
                <w:szCs w:val="12"/>
              </w:rPr>
              <w:t>NR STRONY W MATERIAŁACH INFORMACYJNYCH DOŁĄCZONYCH DO OFERTY</w:t>
            </w: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37E70" w:rsidRPr="00217BA0" w:rsidRDefault="00637E70" w:rsidP="00FF483B">
            <w:pPr>
              <w:tabs>
                <w:tab w:val="right" w:pos="6838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17BA0">
              <w:rPr>
                <w:rFonts w:ascii="Times New Roman" w:hAnsi="Times New Roman"/>
                <w:b/>
                <w:sz w:val="18"/>
                <w:szCs w:val="18"/>
              </w:rPr>
              <w:t>A.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637E70" w:rsidRPr="00217BA0" w:rsidRDefault="00637E70" w:rsidP="00FF483B">
            <w:pPr>
              <w:tabs>
                <w:tab w:val="right" w:pos="6838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17BA0">
              <w:rPr>
                <w:rFonts w:ascii="Times New Roman" w:hAnsi="Times New Roman"/>
                <w:b/>
                <w:sz w:val="18"/>
                <w:szCs w:val="18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37E70" w:rsidRPr="00217BA0" w:rsidRDefault="00637E70" w:rsidP="00FF483B">
            <w:pPr>
              <w:tabs>
                <w:tab w:val="right" w:pos="6838"/>
              </w:tabs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7E70" w:rsidRPr="00217BA0" w:rsidRDefault="00637E70" w:rsidP="00FF483B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637E70" w:rsidRPr="00217BA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17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Gammakamera hybrydowa SPECT-CT ze zintegrowanym spiralnym, diagnostycznym tomografem komputerowym minimum 16-rzędowym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E62470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17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Systemy nie mogą być prototypem, zaoferowane funkcjonalności skanera muszą być możliwe do prezentacji (na wezwanie zamawiającego) w zainstalowanym i pracującym skanerze (skanerach) na terenie PL lub EU.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71059F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System musi spełniać wymagania dotyczące bezpieczeństwa cybernetycznego: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•Zgodność z „Remote Support Connectivity” zdefiniowaną przez COCIR i NEMA 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•Certyfikat bezpieczeństwa informacji (ISO 27001:2013)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lastRenderedPageBreak/>
              <w:t>I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Gantry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hd w:val="clear" w:color="auto" w:fill="FFFFFF"/>
              <w:suppressAutoHyphens/>
              <w:snapToGrid w:val="0"/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</w:pPr>
            <w:r w:rsidRPr="00930460"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  <w:t xml:space="preserve">Gammakamera dwugłowicowa sprzężona w jednym gantry z diagnostycznym spiralnym tomografem komputerowym pozwalającym </w:t>
            </w:r>
            <w:r w:rsidRPr="00930460"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  <w:br/>
              <w:t>na wykonywanie specjalistycznych badań diagnostycznych, a także korekcję obrazów radioizotopowych (korekcja pochłaniania, rozproszenia) oraz wspólnym stołem pacjenta do wykonywania niezależnych badań radioizotopowych :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contextualSpacing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Cs/>
                <w:sz w:val="18"/>
                <w:szCs w:val="18"/>
              </w:rPr>
              <w:t>planarnych (statycznych, dynamicznych i bramkowanych),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contextualSpacing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Cs/>
                <w:sz w:val="18"/>
                <w:szCs w:val="18"/>
              </w:rPr>
              <w:t>„SPECT”, bramkowane „SPECT”,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contextualSpacing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Cs/>
                <w:sz w:val="18"/>
                <w:szCs w:val="18"/>
              </w:rPr>
              <w:t>„Whole Body”,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Cs/>
                <w:sz w:val="18"/>
                <w:szCs w:val="18"/>
              </w:rPr>
              <w:t>Hybrydowych „SPECT/CT”.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Cs/>
                <w:sz w:val="18"/>
                <w:szCs w:val="18"/>
              </w:rPr>
              <w:t>diagnostycznych CT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Możliwość wykonania badań SPECT i SPECT/CT w trybie wielołóżkowym (min. 3 SPECT).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Kamera dwugłowicowa z możliwością ustawienia detektorów pod katem 180, 90 stopni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Możliwość ustawienia detektorów gamma kamery do badań</w:t>
            </w:r>
          </w:p>
          <w:p w:rsidR="00637E70" w:rsidRPr="00930460" w:rsidRDefault="00637E70" w:rsidP="00FF483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- pacjenta w pozycji siedzącej, między detektorami ustawionymi w sposób umożliwiający jednoczesne wykonanie akwizycji/zdjęć PA/AP (system umożliwia elektryczne sterowanie wysokościami detektorów w taki sposób, że możliwe jest ich ustawienie na różnych wysokościach)</w:t>
            </w:r>
          </w:p>
          <w:p w:rsidR="00637E70" w:rsidRPr="00930460" w:rsidRDefault="00637E70" w:rsidP="00FF483B">
            <w:pPr>
              <w:pStyle w:val="Bezodstpw"/>
              <w:rPr>
                <w:rStyle w:val="FontStyle38"/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- pacjenta w pozycji siedzącej z detektorem ustawionym w ten sposób, że jego pole</w:t>
            </w:r>
            <w:r w:rsidRPr="00930460">
              <w:rPr>
                <w:rFonts w:ascii="Times New Roman" w:hAnsi="Times New Roman"/>
                <w:sz w:val="18"/>
                <w:szCs w:val="18"/>
              </w:rPr>
              <w:br w:type="page"/>
              <w:t xml:space="preserve"> widzenia skierowane jest w kierunku od osi obrotu gantry, na zewnątrz, z możliwością</w:t>
            </w:r>
            <w:r w:rsidRPr="00930460">
              <w:rPr>
                <w:rFonts w:ascii="Times New Roman" w:hAnsi="Times New Roman"/>
                <w:sz w:val="18"/>
                <w:szCs w:val="18"/>
              </w:rPr>
              <w:br w:type="page"/>
              <w:t xml:space="preserve"> elektrycznego sterowania wysokością detektora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Możliwość ustawienia detektorów do badań pacjenta na leżance/wózku szpitalnym</w:t>
            </w:r>
          </w:p>
          <w:p w:rsidR="00637E70" w:rsidRPr="00930460" w:rsidRDefault="00637E70" w:rsidP="00FF483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- dla pacjenta w pozycji leżącej (obie głowice ustawione w jednej płaszczyźnie nad ciałem pacjenta, umożliwiają jednoczesne obrazowanie leżącego na leżance/wózku szpitalnym pacjenta)</w:t>
            </w:r>
          </w:p>
          <w:p w:rsidR="00637E70" w:rsidRPr="00930460" w:rsidRDefault="00637E70" w:rsidP="00FF483B">
            <w:pPr>
              <w:rPr>
                <w:rStyle w:val="FontStyle38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637E70" w:rsidRPr="00930460" w:rsidRDefault="00637E70" w:rsidP="00FF483B">
            <w:pPr>
              <w:snapToGrid w:val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Monitor podglądu dostępny z obu stron gantry (bez konieczności demontażu), prezentujący między innymi: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podgląd obrazu z obu detektorów,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parametry pozycji gantry,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parametry pozycji detektorów,</w:t>
            </w:r>
          </w:p>
          <w:p w:rsidR="00637E70" w:rsidRPr="00930460" w:rsidRDefault="00637E70" w:rsidP="00637E70">
            <w:pPr>
              <w:pStyle w:val="Stopk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suppressAutoHyphens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parametry pozycji stołu,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typ zainstalowanego kolimatora.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II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>Detektory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Użyteczne pole widzenia detektorów bez obciętych naroży min: 53 cm x 38 cm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Wewnętrzna energetyczna zdolność rozdzielcza (wg standardu NEMA) ≤ 10%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Wewnętrzna geometryczna zdolność rozdzielcza (rozdzielczość przestrzenna) wg standardu NEMA):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8"/>
              </w:numPr>
              <w:tabs>
                <w:tab w:val="left" w:pos="304"/>
              </w:tabs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FWHM (UFOV) ≤ 4,0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8"/>
              </w:numPr>
              <w:tabs>
                <w:tab w:val="left" w:pos="304"/>
              </w:tabs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FWTM (UFOV) ≤ 8,0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8"/>
              </w:numPr>
              <w:tabs>
                <w:tab w:val="left" w:pos="304"/>
              </w:tabs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FWHM (CFOV) ≤ 4,0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FWTM (CFOV) ≤ 8,0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Wewnętrzna jednorodność pola, nieskorygowana (wg standardu NEMA):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9"/>
              </w:numPr>
              <w:tabs>
                <w:tab w:val="left" w:pos="304"/>
              </w:tabs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różniczkowa (UFOV) ≤ 3,0%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9"/>
              </w:numPr>
              <w:tabs>
                <w:tab w:val="left" w:pos="304"/>
              </w:tabs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całkowita (UFOV) ≤ 4,0%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9"/>
              </w:numPr>
              <w:tabs>
                <w:tab w:val="left" w:pos="304"/>
              </w:tabs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różniczkowa (CFOV) ≤ 2,5%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całkowita (CFOV) ≤ 3,0%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Wewnętrzna liniowość przestrzenna („Intrinsic Spatial Linearity”):</w:t>
            </w:r>
          </w:p>
          <w:p w:rsidR="00637E70" w:rsidRPr="00930460" w:rsidRDefault="00637E70" w:rsidP="00637E70">
            <w:pPr>
              <w:numPr>
                <w:ilvl w:val="0"/>
                <w:numId w:val="10"/>
              </w:numPr>
              <w:tabs>
                <w:tab w:val="left" w:pos="304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różniczkowa (CFOV) ≤ 0,24 mm</w:t>
            </w:r>
          </w:p>
          <w:p w:rsidR="00637E70" w:rsidRPr="00930460" w:rsidRDefault="00637E70" w:rsidP="00637E70">
            <w:pPr>
              <w:numPr>
                <w:ilvl w:val="0"/>
                <w:numId w:val="10"/>
              </w:numPr>
              <w:tabs>
                <w:tab w:val="left" w:pos="304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całkowita (CFOV) ≤ 0,5 mm</w:t>
            </w:r>
          </w:p>
          <w:p w:rsidR="00637E70" w:rsidRPr="00930460" w:rsidRDefault="00637E70" w:rsidP="00637E70">
            <w:pPr>
              <w:numPr>
                <w:ilvl w:val="0"/>
                <w:numId w:val="10"/>
              </w:numPr>
              <w:tabs>
                <w:tab w:val="left" w:pos="304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różniczkowa (UFOV) ≤ 0,2 mm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całkowita (UFOV) ≤ 0,7 mm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Kryształ scyntylacyjny o  grubości = 3/8[”] 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Liczba fotopowielaczy nie mniejsza niż 59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  <w:lang w:eastAsia="ar-SA"/>
              </w:rPr>
              <w:t>Pełna cyfryzacja detektora: jeden ADC na jeden fotopowielacz.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III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>Stół pacjenta, kolimatory i czujniki dotykowe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pStyle w:val="H-TextFormat"/>
              <w:autoSpaceDE/>
              <w:snapToGrid w:val="0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3046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Maksymalne dopuszczalne obciążenie stołu ≥ 200[kg]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Minimalna wysokość blatu stołu ≤ 60 cm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Współczynnik pochłaniania blatu stołu (dla 140 [keV]) ≤ 10%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Wyposażenie stołu w akcesoria do ułożenia pacjenta (podpory, pasy itp.)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i/>
                <w:sz w:val="18"/>
                <w:szCs w:val="18"/>
              </w:rPr>
            </w:pPr>
            <w:r w:rsidRPr="0093046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Kolimatory: LEHR lub LEHRS (według nomenklatury producenta) -  niskoenergetyczne wysokiej rozdzielczości </w:t>
            </w:r>
            <w:r w:rsidRPr="00930460">
              <w:rPr>
                <w:rFonts w:ascii="Times New Roman" w:hAnsi="Times New Roman"/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Kolimatory:MEGP -  średnioenergetyczne ogólnego zastosowania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bookmarkStart w:id="0" w:name="_Hlk129894492"/>
            <w:r w:rsidRPr="00930460">
              <w:rPr>
                <w:rFonts w:ascii="Times New Roman" w:hAnsi="Times New Roman"/>
                <w:sz w:val="18"/>
                <w:szCs w:val="18"/>
              </w:rPr>
              <w:t>Urządzenie dotykowe montowane na jednym boku stołu pacjenta, używane do definiowania zakresu skanu obrazowania nuklearnego (punkt początkowy i końcowy), bez potrzeby ręcznego wprowadzania tych wartości z konsoli operatora</w:t>
            </w:r>
            <w:bookmarkEnd w:id="0"/>
            <w:r w:rsidRPr="00930460">
              <w:rPr>
                <w:rFonts w:ascii="Times New Roman" w:hAnsi="Times New Roman"/>
                <w:sz w:val="18"/>
                <w:szCs w:val="18"/>
              </w:rPr>
              <w:t xml:space="preserve"> orz 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Zabezpieczenie pacjenta przed zetknięciem się z elementami konstrukcyjnymi podczas ich ruchu, sterowanego zarówno automatycznie jak i ręcznie. 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System dotykowy zabezpieczenia pacjenta przed kolizją z płaszczyzną kolimatora (mata dotykowa lub panel dotykowy  pokrywający całą powierzchnię pola widzenia, będąc integralną i nieodłączną częścią konstrukcyjną kolimatora.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System detekcji kolizji ciała pacjenta w podstacji bariery wiązki podczerwonej, będący częścią konstrukcyjną detektora, nie wymagający demontażu i ponownego montażu w przypadku wymiany kolimatora.  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Automatyczne odwzorowanie konturu pacjenta „on line”, w trakcie akwizycji WB, SPECT, dla kątów 180 i 90. Odległość każdego z detektorów (z nałożonymi kolimatorami) od ciała nie może przekraczać 1,8 cm. 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637E70" w:rsidRPr="00930460" w:rsidRDefault="00637E70" w:rsidP="00FF483B">
            <w:pPr>
              <w:pStyle w:val="Tekstpodstawowy21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930460">
              <w:rPr>
                <w:rFonts w:ascii="Times New Roman" w:hAnsi="Times New Roman" w:cs="Times New Roman"/>
                <w:color w:val="auto"/>
                <w:szCs w:val="18"/>
              </w:rPr>
              <w:t>System automatycznej lub półautomatycznej wymiany kolimatorów (w szczególności nie wymagający narzędzi do skręcania/rozkręcania kolimatora)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DE9D9" w:themeFill="accent6" w:themeFillTint="33"/>
            <w:vAlign w:val="center"/>
          </w:tcPr>
          <w:p w:rsidR="00637E70" w:rsidRPr="00930460" w:rsidRDefault="00637E70" w:rsidP="00FF483B">
            <w:pPr>
              <w:pStyle w:val="Tekstpodstawowy21"/>
              <w:rPr>
                <w:rFonts w:ascii="Times New Roman" w:hAnsi="Times New Roman" w:cs="Times New Roman"/>
                <w:color w:val="00B050"/>
                <w:szCs w:val="18"/>
              </w:rPr>
            </w:pPr>
            <w:r w:rsidRPr="00930460">
              <w:rPr>
                <w:rFonts w:ascii="Times New Roman" w:hAnsi="Times New Roman" w:cs="Times New Roman"/>
                <w:color w:val="auto"/>
                <w:szCs w:val="18"/>
              </w:rPr>
              <w:t>System automatycznej wymiany kolimatorów i system automatycznej kontroli jakości (wraz ze źródłami izotopowymi )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 = 8 PKT</w:t>
            </w:r>
          </w:p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NIE = 0 PKT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IV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 xml:space="preserve">TOMOGRAF KOMPUTEROWY CT minimum 16 rzędowy 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>(z akwizycją spiralną i aksjalną) pozwalający na przeprowadzenie niezależnych diagnostycznych badań CT)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Tomograf komputerowy 32 rzędowy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 = 3 PKT</w:t>
            </w:r>
          </w:p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NIE = 0 PKT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Tomograf komputerowy zintegrowany z gamma kamerą SPECT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0F7D5D" w:rsidTr="00FF483B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Tomograf komputerowy pozwalający na akwizycję obrazów w pełni diagnostycznych</w:t>
            </w:r>
          </w:p>
        </w:tc>
        <w:tc>
          <w:tcPr>
            <w:tcW w:w="1418" w:type="dxa"/>
            <w:shd w:val="clear" w:color="auto" w:fill="FFFFFF" w:themeFill="background1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  <w:shd w:val="clear" w:color="auto" w:fill="FFFFFF" w:themeFill="background1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0F7D5D" w:rsidTr="00FF483B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Detektory tomografu typu stałego</w:t>
            </w:r>
          </w:p>
        </w:tc>
        <w:tc>
          <w:tcPr>
            <w:tcW w:w="1418" w:type="dxa"/>
            <w:shd w:val="clear" w:color="auto" w:fill="FFFFFF" w:themeFill="background1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  <w:shd w:val="clear" w:color="auto" w:fill="FFFFFF" w:themeFill="background1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0F7D5D" w:rsidTr="00FF483B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III</w:t>
            </w: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Średnica otworu gantry CT [cm] ≥ 70 cm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  <w:shd w:val="clear" w:color="auto" w:fill="FFFFFF" w:themeFill="background1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Skaner CT umożliwiający uzyskanie co najmniej 16 niezależnych i przyległych warstw w trakcie jednego pełnego obrotu układu lampa RTG - detektor</w:t>
            </w:r>
          </w:p>
        </w:tc>
        <w:tc>
          <w:tcPr>
            <w:tcW w:w="1418" w:type="dxa"/>
            <w:shd w:val="clear" w:color="auto" w:fill="FFFFFF" w:themeFill="background1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 liczbę warstw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  <w:shd w:val="clear" w:color="auto" w:fill="FFFFFF" w:themeFill="background1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  <w:highlight w:val="magenta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Minimalny czas pełnego obrotu zespołu lampa RTG – detektor [s] </w:t>
            </w:r>
            <w:r w:rsidRPr="00930460">
              <w:rPr>
                <w:rFonts w:ascii="Times New Roman" w:hAnsi="Times New Roman"/>
                <w:sz w:val="18"/>
                <w:szCs w:val="18"/>
              </w:rPr>
              <w:br/>
              <w:t>≤ 0,8 s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Grubość najcieńszej rekonstruowanej warstwy dla jednoczesnej akwizycji minimum 16 jednakowych warstw [mm] ≤ 1 mm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Zakres ustawiania parametru pitch w akwizycji spiralnej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Rozdzielczość wysokokontrastowa (przestrzenna), zmierzona w maksymalnym polu akwizycyjnym, przy 2 % MTF [lp/cm] ≥ 15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System powinien umożliwić wykonanie akwizycji spiralnej i aksjalnej oraz posiadać automatyczną modulację 3D prądu anody (mA) lampy rtg w płaszczyźnie xy i osi z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opisać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Maksymalna moc znamionowa generator ≥ 32 kW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Zakres ustawiania napięcia lampy RTG w protokołach  klinicznych [kV] </w:t>
            </w:r>
          </w:p>
          <w:p w:rsidR="00637E70" w:rsidRPr="00930460" w:rsidRDefault="00637E70" w:rsidP="00FF483B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Od ≤ 80 kV  do ≥130 kV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Maksymalne natężenie prądu anodowego lampy RTG [mA] </w:t>
            </w:r>
          </w:p>
          <w:p w:rsidR="00637E70" w:rsidRPr="00930460" w:rsidRDefault="00637E70" w:rsidP="00FF483B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≥ 340 mA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Najbardziej zaawansowany dostępny na danym aparacie algorytm rekonstrukcji iteracyjnej CT umożliwiający obniżenie dawki dla pacjenta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Algorytm iteracyjny do redukcji artefaktów od-metalowych – niezbędny do pozyskiwania wiarygodnych obrazów TK w przypadku pacjentów z endoprotezami, implantami. . Podać nazwę licencji, załączyć przykładowe obrazy.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>Stacja akwizycyjna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System akwizycyjny wraz z oprogramowaniem obsługujący skaner SPECT i skaner CT, umożliwiający wykonywanie scyntygraficznych badań planarnych, statycznych, dynamicznych, SPECT, WB, SPECT/CT oraz CT: ich akwizycję i przeglądanie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Rekonstrukcje badań SPECT w oparciu o algorytmy: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FBP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Iteracyjne typu ‘resolution recovery’ (PSF)</w:t>
            </w:r>
          </w:p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Wraz  z korekcją pochłaniania i korekcją rozproszenie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Rekonstrukcja umożliwiająca kwantyfikacje ilościową (jednostki SUV lub Bq/mL) </w:t>
            </w:r>
            <w:r w:rsidRPr="00930460">
              <w:rPr>
                <w:rFonts w:ascii="Times New Roman" w:hAnsi="Times New Roman"/>
                <w:sz w:val="18"/>
                <w:szCs w:val="18"/>
                <w:lang w:eastAsia="de-DE"/>
              </w:rPr>
              <w:t xml:space="preserve">dla 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>wymienionych radioizotopów: Tc</w:t>
            </w:r>
            <w:r w:rsidRPr="00930460">
              <w:rPr>
                <w:rFonts w:ascii="Times New Roman" w:hAnsi="Times New Roman"/>
                <w:sz w:val="18"/>
                <w:szCs w:val="18"/>
                <w:vertAlign w:val="superscript"/>
              </w:rPr>
              <w:t>99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>, Ga</w:t>
            </w:r>
            <w:r w:rsidRPr="00930460">
              <w:rPr>
                <w:rFonts w:ascii="Times New Roman" w:hAnsi="Times New Roman"/>
                <w:sz w:val="18"/>
                <w:szCs w:val="18"/>
                <w:vertAlign w:val="superscript"/>
              </w:rPr>
              <w:t>67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>, I</w:t>
            </w:r>
            <w:r w:rsidRPr="00930460">
              <w:rPr>
                <w:rFonts w:ascii="Times New Roman" w:hAnsi="Times New Roman"/>
                <w:sz w:val="18"/>
                <w:szCs w:val="18"/>
                <w:vertAlign w:val="superscript"/>
              </w:rPr>
              <w:t>123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>, I</w:t>
            </w:r>
            <w:r w:rsidRPr="00930460">
              <w:rPr>
                <w:rFonts w:ascii="Times New Roman" w:hAnsi="Times New Roman"/>
                <w:sz w:val="18"/>
                <w:szCs w:val="18"/>
                <w:vertAlign w:val="superscript"/>
              </w:rPr>
              <w:t>131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>, In</w:t>
            </w:r>
            <w:r w:rsidRPr="00930460">
              <w:rPr>
                <w:rFonts w:ascii="Times New Roman" w:hAnsi="Times New Roman"/>
                <w:sz w:val="18"/>
                <w:szCs w:val="18"/>
                <w:vertAlign w:val="superscript"/>
              </w:rPr>
              <w:t>111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>, Lu</w:t>
            </w:r>
            <w:r w:rsidRPr="00930460">
              <w:rPr>
                <w:rFonts w:ascii="Times New Roman" w:hAnsi="Times New Roman"/>
                <w:sz w:val="18"/>
                <w:szCs w:val="18"/>
                <w:vertAlign w:val="superscript"/>
              </w:rPr>
              <w:t>177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30460">
              <w:rPr>
                <w:rFonts w:ascii="Times New Roman" w:hAnsi="Times New Roman"/>
                <w:sz w:val="18"/>
                <w:szCs w:val="18"/>
              </w:rPr>
              <w:br/>
              <w:t>z możliwością zapisu w formacie DICOM  i z możliwością odczytu na dowolnej stacji DICOM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Możliwość wprowadzanie danych kolejnych pacjentów w trakcie trwania bieżącej akwizycji.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E62470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Integracja sieciowa z istniejącą infrastrukturą) poprzez protokół DICOM z obsługą poniższych klas: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DICOM Send - wysyłanie badań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DICOM Query/Retrieve – pobieranie badań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DICOM Storage Commitment – potwierdzenie wysłania badania</w:t>
            </w:r>
          </w:p>
          <w:p w:rsidR="00637E70" w:rsidRPr="00930460" w:rsidRDefault="00637E70" w:rsidP="00637E70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DICOM Get Worklist (HIS/RIS) - otrzymywanie listy roboczej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bCs/>
                <w:sz w:val="18"/>
                <w:szCs w:val="18"/>
              </w:rPr>
              <w:t>potwierdzona dołączonym dokumentem DICOM Conformance Statement (wersja angielska, w postaci elektronicznej)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VI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>Stacja do opracowania badań w technologii serwer/klient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Każdy klient o parametrach nie niższych niż Intel I5 10600K 32GB RAM grafika RTX4000, umożliwiający płynne działanie aplikacji klinicznych zainstalowanych na serwerze. Parametry serwera zgodne ze specyfikacją producenta.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3 stanowiska lekarskie do interpretacji badań wyposażonych (każda) w 2 medyczne monitory o przekątnej co najmniej 24 cale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Minimum 5 jednoczasowych licencji do opracowania badań klasycznej medycyny nuklearnej: kości, nerek, tarczycy, opróżniania żołądka, wątroby, płuc. Możliwość manipulacji obrazami MN (dodawanie , skalowanie, maskowanie) rysowanie ROI i generowanie krzywych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Minimum  2 jednoczasowe  licencje do wyświetlania i kwantyfikacji badań mózgu wykonanych po podaniu joflupanu. Oprogramowanie umożliwia porównanie wyniku z bazą pacjentów zdrowych.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Minimum 5 jednoczasowych licencji dla oprogramowania do analizy obrazów SPECT, CT, MR, PET, ich fuzji (automatycznej i ręcznej) wraz z możliwością oceny gromadzenia znacznika (SPECT,PET) w jednostkach SUV i absolutnych za pomocą ROI sferycznego widocznego jednocześnie na wszystkich przekrojach. Oprogramowanie zapewnia edycję i zapisywanie układu (layout) ekranu oraz zapisywanie wykonanych przez opisującego pomiarów (w tym ROI). Oprogramowania umożliwia tworzenie ROI 3D na badaniach PET według izokonturu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Minimum 2 jednoczasowe licencji do oceny ilościowej gromadzenia znacznika osteotropowego w badaniach WB z możliwością obliczenia BSI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 = 3 PKT</w:t>
            </w:r>
          </w:p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NIE = 0 PKT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Minimum  5</w:t>
            </w:r>
            <w:r w:rsidRPr="00930460">
              <w:rPr>
                <w:rFonts w:ascii="Times New Roman" w:hAnsi="Times New Roman"/>
                <w:color w:val="00B050"/>
                <w:sz w:val="18"/>
                <w:szCs w:val="18"/>
              </w:rPr>
              <w:t xml:space="preserve"> 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>jednoczasowych licencji dla oprogramowania do przeglądania i monitorowania dawki pochłoniętej przez pacjenta (oprogramowanie typu QDose, Q.Thera)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 = 6 PKT</w:t>
            </w:r>
          </w:p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NIE = 0 PKT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930460" w:rsidTr="00FF483B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System monitorowania dawki– podpięcie do istniejącego w szpitalu Serwera dawek Teamplay umożliwiający: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- analizę statystyczną poziomu dawek,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- automatyczne powiadamianie w przypadku przekroczenia poziomu  dopuszczalnych dawek,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- przeglądanie historii dawki</w:t>
            </w:r>
          </w:p>
        </w:tc>
        <w:tc>
          <w:tcPr>
            <w:tcW w:w="1418" w:type="dxa"/>
            <w:shd w:val="clear" w:color="auto" w:fill="FFFFFF" w:themeFill="background1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  <w:shd w:val="clear" w:color="auto" w:fill="FFFFFF" w:themeFill="background1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E62470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Integracja DICOM stacji z istniejącym u zamawiającego serwerem PACS (firmy AGFA) w oparciu o następujące klasy standardu DICOM 3.0</w:t>
            </w:r>
          </w:p>
          <w:p w:rsidR="00637E70" w:rsidRPr="00930460" w:rsidRDefault="00637E70" w:rsidP="00637E70">
            <w:pPr>
              <w:pStyle w:val="Akapitzlist"/>
              <w:numPr>
                <w:ilvl w:val="1"/>
                <w:numId w:val="13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DICOM Send/Receive</w:t>
            </w:r>
          </w:p>
          <w:p w:rsidR="00637E70" w:rsidRPr="00930460" w:rsidRDefault="00637E70" w:rsidP="00637E70">
            <w:pPr>
              <w:pStyle w:val="Akapitzlist"/>
              <w:numPr>
                <w:ilvl w:val="1"/>
                <w:numId w:val="13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DICOM Query/Retrieve</w:t>
            </w:r>
          </w:p>
          <w:p w:rsidR="00637E70" w:rsidRPr="00930460" w:rsidRDefault="00637E70" w:rsidP="00637E70">
            <w:pPr>
              <w:pStyle w:val="Akapitzlist"/>
              <w:numPr>
                <w:ilvl w:val="1"/>
                <w:numId w:val="13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DICOM Print</w:t>
            </w:r>
          </w:p>
          <w:p w:rsidR="00637E70" w:rsidRPr="00930460" w:rsidRDefault="00637E70" w:rsidP="00637E70">
            <w:pPr>
              <w:pStyle w:val="Akapitzlist"/>
              <w:numPr>
                <w:ilvl w:val="1"/>
                <w:numId w:val="13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DICOM Storage Commitment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bCs/>
                <w:sz w:val="18"/>
                <w:szCs w:val="18"/>
              </w:rPr>
              <w:t>potwierdzona dołączonym dokumentem DICOM Conformance Statement (wersja angielska, w postaci elektronicznej)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VII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>Pozostałe wymagania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Fantomy, uchwyty, mocowania oraz źródła promieniotwórcze  konieczne do kalibracji i kontroli jakości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637E70" w:rsidRPr="00930460" w:rsidRDefault="00637E70" w:rsidP="00FF483B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color w:val="000000"/>
                <w:sz w:val="18"/>
                <w:szCs w:val="18"/>
              </w:rPr>
              <w:t>Oprogramowanie do kontroli jakości</w:t>
            </w:r>
          </w:p>
        </w:tc>
        <w:tc>
          <w:tcPr>
            <w:tcW w:w="1418" w:type="dxa"/>
            <w:shd w:val="clear" w:color="auto" w:fill="auto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E62470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E70" w:rsidRPr="00930460" w:rsidRDefault="00637E70" w:rsidP="00FF483B">
            <w:pPr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Wykonanie projektu ochrony radiologiczej i dostarczenie</w:t>
            </w: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30460">
              <w:rPr>
                <w:rFonts w:ascii="Times New Roman" w:hAnsi="Times New Roman"/>
                <w:sz w:val="18"/>
                <w:szCs w:val="18"/>
              </w:rPr>
              <w:t>go Zamawiającemu w terminie do 10 dni roboczych od zawarcia umowy.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E62470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 xml:space="preserve">Wykonanie testów odbiorczych (akceptacyjnych) oraz specjalistycznych rtg po instalacji oferowanego zestawu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E62470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Wykonanie testów specjalistycznych rtg w trakcie trwania okresu gwarancji  min. 1 raz w każdym roku obowiązywania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E62470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Gwarancja interwencji serwisu w ciągu 24h od chwili zgłoszenia awarii w dni robocze – za reakcję serwisu uważa się  również  zdalną diagnostykę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E62470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637E7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Zdalna diagnostyka systemu z możliwością rejestracji i odczytu on-line rejestru błędów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>B.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tabs>
                <w:tab w:val="right" w:pos="6838"/>
              </w:tabs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b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FF483B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37E70" w:rsidRPr="00930460" w:rsidRDefault="00637E70" w:rsidP="00FF483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930460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 z dostawą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FF483B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Czy producent zaleca wykonywanie przeglądów technicznych?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Jeżeli TAK podać częstotliwość wykonania przeglądów technicznych zalecanych przez producenta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 przypadku odpowiedzi TAK:</w:t>
            </w:r>
          </w:p>
          <w:p w:rsidR="00637E70" w:rsidRPr="00930460" w:rsidRDefault="00637E70" w:rsidP="00FF483B">
            <w:pPr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TAK/NIE</w:t>
            </w:r>
            <w:r w:rsidRPr="00930460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1"/>
            </w:r>
          </w:p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Podać jeśli zalecane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637E70" w:rsidRPr="00D2353C" w:rsidTr="00FF483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E70" w:rsidRPr="00930460" w:rsidRDefault="00637E70" w:rsidP="00FF483B">
            <w:pPr>
              <w:suppressAutoHyphen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TAK/ NIE</w:t>
            </w:r>
            <w:r w:rsidRPr="00930460">
              <w:rPr>
                <w:rStyle w:val="Odwoanieprzypisudolnego"/>
                <w:rFonts w:ascii="Times New Roman" w:eastAsia="Times New Roman" w:hAnsi="Times New Roman"/>
                <w:sz w:val="18"/>
                <w:szCs w:val="18"/>
                <w:lang w:eastAsia="zh-CN"/>
              </w:rPr>
              <w:footnoteReference w:id="2"/>
            </w:r>
            <w:r w:rsidRPr="00930460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  Jeżeli tak, podać jakie</w:t>
            </w:r>
          </w:p>
        </w:tc>
        <w:tc>
          <w:tcPr>
            <w:tcW w:w="1276" w:type="dxa"/>
            <w:vAlign w:val="center"/>
          </w:tcPr>
          <w:p w:rsidR="00637E70" w:rsidRPr="00930460" w:rsidRDefault="00637E70" w:rsidP="00FF48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Bez oceny</w:t>
            </w:r>
          </w:p>
        </w:tc>
        <w:tc>
          <w:tcPr>
            <w:tcW w:w="2268" w:type="dxa"/>
          </w:tcPr>
          <w:p w:rsidR="00637E70" w:rsidRPr="00930460" w:rsidRDefault="00637E70" w:rsidP="00FF483B">
            <w:pPr>
              <w:suppressAutoHyphens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</w:tbl>
    <w:p w:rsidR="00637E70" w:rsidRPr="00D2353C" w:rsidRDefault="00637E70" w:rsidP="00637E70">
      <w:pPr>
        <w:suppressAutoHyphens/>
        <w:ind w:firstLine="708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</w:p>
    <w:p w:rsidR="00637E70" w:rsidRPr="00D2353C" w:rsidRDefault="00637E70" w:rsidP="00637E70">
      <w:pPr>
        <w:rPr>
          <w:rFonts w:ascii="Times New Roman" w:hAnsi="Times New Roman"/>
          <w:b/>
          <w:sz w:val="20"/>
          <w:szCs w:val="20"/>
          <w:lang w:eastAsia="ar-SA"/>
        </w:rPr>
      </w:pPr>
      <w:r w:rsidRPr="00D2353C">
        <w:rPr>
          <w:rFonts w:ascii="Times New Roman" w:hAnsi="Times New Roman"/>
          <w:b/>
          <w:sz w:val="20"/>
          <w:szCs w:val="20"/>
          <w:lang w:eastAsia="ar-SA"/>
        </w:rPr>
        <w:t xml:space="preserve">Treść oświadczenia wykonawcy: </w:t>
      </w:r>
    </w:p>
    <w:p w:rsidR="00637E70" w:rsidRPr="00D2353C" w:rsidRDefault="00637E70" w:rsidP="00637E70">
      <w:pPr>
        <w:numPr>
          <w:ilvl w:val="0"/>
          <w:numId w:val="3"/>
        </w:numPr>
        <w:suppressAutoHyphens/>
        <w:spacing w:after="0" w:line="240" w:lineRule="auto"/>
        <w:ind w:right="119"/>
        <w:jc w:val="both"/>
        <w:rPr>
          <w:rFonts w:ascii="Times New Roman" w:hAnsi="Times New Roman"/>
          <w:sz w:val="20"/>
          <w:szCs w:val="20"/>
          <w:lang w:eastAsia="ar-SA"/>
        </w:rPr>
      </w:pPr>
      <w:r w:rsidRPr="00D2353C">
        <w:rPr>
          <w:rFonts w:ascii="Times New Roman" w:hAnsi="Times New Roman"/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637E70" w:rsidRPr="00D2353C" w:rsidRDefault="00637E70" w:rsidP="00637E70">
      <w:pPr>
        <w:numPr>
          <w:ilvl w:val="0"/>
          <w:numId w:val="3"/>
        </w:numPr>
        <w:suppressAutoHyphens/>
        <w:spacing w:after="0" w:line="240" w:lineRule="auto"/>
        <w:ind w:left="357" w:right="119" w:hanging="35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D2353C">
        <w:rPr>
          <w:rFonts w:ascii="Times New Roman" w:hAnsi="Times New Roman"/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637E70" w:rsidRPr="00D2353C" w:rsidRDefault="00637E70" w:rsidP="00637E70">
      <w:pPr>
        <w:rPr>
          <w:rFonts w:ascii="Times New Roman" w:hAnsi="Times New Roman"/>
          <w:sz w:val="14"/>
          <w:szCs w:val="14"/>
          <w:lang w:eastAsia="pl-PL"/>
        </w:rPr>
      </w:pPr>
      <w:r w:rsidRPr="00D2353C">
        <w:rPr>
          <w:rFonts w:ascii="Times New Roman" w:hAnsi="Times New Roman"/>
          <w:sz w:val="14"/>
          <w:szCs w:val="14"/>
        </w:rPr>
        <w:t xml:space="preserve"> </w:t>
      </w:r>
    </w:p>
    <w:p w:rsidR="00E91DCD" w:rsidRPr="00E91DCD" w:rsidRDefault="00E91DCD" w:rsidP="00E91DCD">
      <w:pPr>
        <w:spacing w:after="60"/>
        <w:jc w:val="center"/>
        <w:rPr>
          <w:rFonts w:ascii="Times New Roman" w:hAnsi="Times New Roman" w:cs="Times New Roman"/>
          <w:b/>
          <w:lang w:eastAsia="ar-SA" w:bidi="en-US"/>
        </w:rPr>
      </w:pPr>
    </w:p>
    <w:p w:rsidR="00E91DCD" w:rsidRPr="003E5598" w:rsidRDefault="00E91DCD" w:rsidP="00F90E51">
      <w:pPr>
        <w:spacing w:after="0"/>
        <w:jc w:val="both"/>
        <w:rPr>
          <w:rFonts w:ascii="Calibri" w:hAnsi="Calibri" w:cs="Times New Roman"/>
          <w:lang w:bidi="en-US"/>
        </w:rPr>
      </w:pPr>
    </w:p>
    <w:p w:rsidR="00E91DCD" w:rsidRPr="00E91DCD" w:rsidRDefault="00E91DCD" w:rsidP="00E91DC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E91DCD" w:rsidRPr="00E91DCD" w:rsidSect="000D78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27" w:right="1134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4D6" w:rsidRDefault="007D14D6" w:rsidP="005645DD">
      <w:pPr>
        <w:spacing w:after="0" w:line="240" w:lineRule="auto"/>
      </w:pPr>
      <w:r>
        <w:separator/>
      </w:r>
    </w:p>
  </w:endnote>
  <w:endnote w:type="continuationSeparator" w:id="0">
    <w:p w:rsidR="007D14D6" w:rsidRDefault="007D14D6" w:rsidP="0056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E2" w:rsidRDefault="00D93F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416723"/>
      <w:docPartObj>
        <w:docPartGallery w:val="Page Numbers (Bottom of Page)"/>
        <w:docPartUnique/>
      </w:docPartObj>
    </w:sdtPr>
    <w:sdtEndPr/>
    <w:sdtContent>
      <w:p w:rsidR="00BF0878" w:rsidRDefault="00BF08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188">
          <w:rPr>
            <w:noProof/>
          </w:rPr>
          <w:t>1</w:t>
        </w:r>
        <w:r>
          <w:fldChar w:fldCharType="end"/>
        </w:r>
      </w:p>
    </w:sdtContent>
  </w:sdt>
  <w:p w:rsidR="00C43188" w:rsidRPr="00C05B2F" w:rsidRDefault="00C43188" w:rsidP="00C43188">
    <w:pPr>
      <w:pStyle w:val="Stopka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  <w:p w:rsidR="00BF0878" w:rsidRDefault="00BF0878">
    <w:pPr>
      <w:pStyle w:val="Stopk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E2" w:rsidRDefault="00D93F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4D6" w:rsidRDefault="007D14D6" w:rsidP="005645DD">
      <w:pPr>
        <w:spacing w:after="0" w:line="240" w:lineRule="auto"/>
      </w:pPr>
      <w:r>
        <w:separator/>
      </w:r>
    </w:p>
  </w:footnote>
  <w:footnote w:type="continuationSeparator" w:id="0">
    <w:p w:rsidR="007D14D6" w:rsidRDefault="007D14D6" w:rsidP="005645DD">
      <w:pPr>
        <w:spacing w:after="0" w:line="240" w:lineRule="auto"/>
      </w:pPr>
      <w:r>
        <w:continuationSeparator/>
      </w:r>
    </w:p>
  </w:footnote>
  <w:footnote w:id="1">
    <w:p w:rsidR="00637E70" w:rsidRDefault="00637E70" w:rsidP="00637E70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2">
    <w:p w:rsidR="00637E70" w:rsidRDefault="00637E70" w:rsidP="00637E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E2" w:rsidRDefault="00D93F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E2" w:rsidRDefault="00D93FE2" w:rsidP="00D93FE2">
    <w:pPr>
      <w:pStyle w:val="Nagwek"/>
    </w:pPr>
    <w:r w:rsidRPr="007A457E">
      <w:rPr>
        <w:noProof/>
        <w:lang w:eastAsia="pl-PL"/>
      </w:rPr>
      <w:drawing>
        <wp:inline distT="0" distB="0" distL="0" distR="0" wp14:anchorId="55D3DBEC" wp14:editId="3BA8E37D">
          <wp:extent cx="5760720" cy="105854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3FE2" w:rsidRDefault="00D93F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E2" w:rsidRDefault="00D93F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" w15:restartNumberingAfterBreak="0">
    <w:nsid w:val="08DA44D4"/>
    <w:multiLevelType w:val="hybridMultilevel"/>
    <w:tmpl w:val="1C009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F440E"/>
    <w:multiLevelType w:val="hybridMultilevel"/>
    <w:tmpl w:val="05084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357F47"/>
    <w:multiLevelType w:val="hybridMultilevel"/>
    <w:tmpl w:val="4A2C01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731A72"/>
    <w:multiLevelType w:val="hybridMultilevel"/>
    <w:tmpl w:val="7E5E6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38532A"/>
    <w:multiLevelType w:val="hybridMultilevel"/>
    <w:tmpl w:val="0510A2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90DE7"/>
    <w:multiLevelType w:val="multilevel"/>
    <w:tmpl w:val="2908A04E"/>
    <w:lvl w:ilvl="0">
      <w:start w:val="1"/>
      <w:numFmt w:val="bullet"/>
      <w:lvlText w:val=""/>
      <w:lvlJc w:val="left"/>
      <w:pPr>
        <w:tabs>
          <w:tab w:val="num" w:pos="664"/>
        </w:tabs>
        <w:ind w:left="304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384"/>
        </w:tabs>
        <w:ind w:left="304" w:firstLine="0"/>
      </w:pPr>
    </w:lvl>
    <w:lvl w:ilvl="2">
      <w:start w:val="1"/>
      <w:numFmt w:val="decimal"/>
      <w:lvlText w:val="%3."/>
      <w:lvlJc w:val="left"/>
      <w:pPr>
        <w:tabs>
          <w:tab w:val="num" w:pos="1744"/>
        </w:tabs>
        <w:ind w:left="304" w:firstLine="0"/>
      </w:pPr>
    </w:lvl>
    <w:lvl w:ilvl="3">
      <w:start w:val="1"/>
      <w:numFmt w:val="decimal"/>
      <w:lvlText w:val="%4."/>
      <w:lvlJc w:val="left"/>
      <w:pPr>
        <w:tabs>
          <w:tab w:val="num" w:pos="2104"/>
        </w:tabs>
        <w:ind w:left="304" w:firstLine="0"/>
      </w:pPr>
    </w:lvl>
    <w:lvl w:ilvl="4">
      <w:start w:val="1"/>
      <w:numFmt w:val="decimal"/>
      <w:lvlText w:val="%5."/>
      <w:lvlJc w:val="left"/>
      <w:pPr>
        <w:tabs>
          <w:tab w:val="num" w:pos="2464"/>
        </w:tabs>
        <w:ind w:left="304" w:firstLine="0"/>
      </w:pPr>
    </w:lvl>
    <w:lvl w:ilvl="5">
      <w:start w:val="1"/>
      <w:numFmt w:val="decimal"/>
      <w:lvlText w:val="%6."/>
      <w:lvlJc w:val="left"/>
      <w:pPr>
        <w:tabs>
          <w:tab w:val="num" w:pos="2824"/>
        </w:tabs>
        <w:ind w:left="304" w:firstLine="0"/>
      </w:pPr>
    </w:lvl>
    <w:lvl w:ilvl="6">
      <w:start w:val="1"/>
      <w:numFmt w:val="decimal"/>
      <w:lvlText w:val="%7."/>
      <w:lvlJc w:val="left"/>
      <w:pPr>
        <w:tabs>
          <w:tab w:val="num" w:pos="3184"/>
        </w:tabs>
        <w:ind w:left="304" w:firstLine="0"/>
      </w:pPr>
    </w:lvl>
    <w:lvl w:ilvl="7">
      <w:start w:val="1"/>
      <w:numFmt w:val="decimal"/>
      <w:lvlText w:val="%8."/>
      <w:lvlJc w:val="left"/>
      <w:pPr>
        <w:tabs>
          <w:tab w:val="num" w:pos="3544"/>
        </w:tabs>
        <w:ind w:left="304" w:firstLine="0"/>
      </w:pPr>
    </w:lvl>
    <w:lvl w:ilvl="8">
      <w:start w:val="1"/>
      <w:numFmt w:val="decimal"/>
      <w:lvlText w:val="%9."/>
      <w:lvlJc w:val="left"/>
      <w:pPr>
        <w:tabs>
          <w:tab w:val="num" w:pos="3904"/>
        </w:tabs>
        <w:ind w:left="304" w:firstLine="0"/>
      </w:pPr>
    </w:lvl>
  </w:abstractNum>
  <w:abstractNum w:abstractNumId="8" w15:restartNumberingAfterBreak="0">
    <w:nsid w:val="3EA15622"/>
    <w:multiLevelType w:val="hybridMultilevel"/>
    <w:tmpl w:val="A0D6C158"/>
    <w:lvl w:ilvl="0" w:tplc="E84C4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7C6E87"/>
    <w:multiLevelType w:val="hybridMultilevel"/>
    <w:tmpl w:val="ECD8E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87D6A"/>
    <w:multiLevelType w:val="hybridMultilevel"/>
    <w:tmpl w:val="60ECD074"/>
    <w:lvl w:ilvl="0" w:tplc="152EEB7E">
      <w:start w:val="1"/>
      <w:numFmt w:val="bullet"/>
      <w:lvlText w:val=""/>
      <w:lvlJc w:val="left"/>
      <w:pPr>
        <w:ind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90799"/>
    <w:multiLevelType w:val="hybridMultilevel"/>
    <w:tmpl w:val="4CBA1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3C097C"/>
    <w:multiLevelType w:val="hybridMultilevel"/>
    <w:tmpl w:val="1D709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2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10"/>
  </w:num>
  <w:num w:numId="10">
    <w:abstractNumId w:val="5"/>
  </w:num>
  <w:num w:numId="11">
    <w:abstractNumId w:val="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73"/>
    <w:rsid w:val="000042E6"/>
    <w:rsid w:val="0005110F"/>
    <w:rsid w:val="000D6A23"/>
    <w:rsid w:val="000D78BE"/>
    <w:rsid w:val="000E0F8D"/>
    <w:rsid w:val="000E22BE"/>
    <w:rsid w:val="000F2D97"/>
    <w:rsid w:val="000F69A8"/>
    <w:rsid w:val="0010113F"/>
    <w:rsid w:val="00117B14"/>
    <w:rsid w:val="001A16F7"/>
    <w:rsid w:val="001A30C2"/>
    <w:rsid w:val="001B25F9"/>
    <w:rsid w:val="001F6580"/>
    <w:rsid w:val="00201EAE"/>
    <w:rsid w:val="0023681C"/>
    <w:rsid w:val="0026437F"/>
    <w:rsid w:val="00276EF2"/>
    <w:rsid w:val="00277BE8"/>
    <w:rsid w:val="003251C4"/>
    <w:rsid w:val="00335BE4"/>
    <w:rsid w:val="0035697B"/>
    <w:rsid w:val="00370BE4"/>
    <w:rsid w:val="00387883"/>
    <w:rsid w:val="00396809"/>
    <w:rsid w:val="003B276C"/>
    <w:rsid w:val="003E3886"/>
    <w:rsid w:val="003E4917"/>
    <w:rsid w:val="003F74F3"/>
    <w:rsid w:val="00407203"/>
    <w:rsid w:val="00446D09"/>
    <w:rsid w:val="00456968"/>
    <w:rsid w:val="00470736"/>
    <w:rsid w:val="004A70DF"/>
    <w:rsid w:val="004C52C8"/>
    <w:rsid w:val="004E2C73"/>
    <w:rsid w:val="004F7F4A"/>
    <w:rsid w:val="00554971"/>
    <w:rsid w:val="005645DD"/>
    <w:rsid w:val="00573374"/>
    <w:rsid w:val="005859A0"/>
    <w:rsid w:val="005C7746"/>
    <w:rsid w:val="00637E70"/>
    <w:rsid w:val="0064748E"/>
    <w:rsid w:val="00671168"/>
    <w:rsid w:val="0070581F"/>
    <w:rsid w:val="00706340"/>
    <w:rsid w:val="00723CD5"/>
    <w:rsid w:val="007507B9"/>
    <w:rsid w:val="00770BF9"/>
    <w:rsid w:val="0077281E"/>
    <w:rsid w:val="007A63D2"/>
    <w:rsid w:val="007B0A8A"/>
    <w:rsid w:val="007D14D6"/>
    <w:rsid w:val="007E2416"/>
    <w:rsid w:val="00810F6B"/>
    <w:rsid w:val="00812DC9"/>
    <w:rsid w:val="0081396A"/>
    <w:rsid w:val="00827B13"/>
    <w:rsid w:val="008431B9"/>
    <w:rsid w:val="00852CB9"/>
    <w:rsid w:val="008A085E"/>
    <w:rsid w:val="008E3D9D"/>
    <w:rsid w:val="009335F8"/>
    <w:rsid w:val="00976A32"/>
    <w:rsid w:val="00A0061F"/>
    <w:rsid w:val="00A93456"/>
    <w:rsid w:val="00B022FE"/>
    <w:rsid w:val="00B945DE"/>
    <w:rsid w:val="00BF0878"/>
    <w:rsid w:val="00BF722D"/>
    <w:rsid w:val="00C04E41"/>
    <w:rsid w:val="00C13595"/>
    <w:rsid w:val="00C165C0"/>
    <w:rsid w:val="00C218A0"/>
    <w:rsid w:val="00C43188"/>
    <w:rsid w:val="00C45AF2"/>
    <w:rsid w:val="00C54162"/>
    <w:rsid w:val="00C55B3B"/>
    <w:rsid w:val="00C77D89"/>
    <w:rsid w:val="00CB041E"/>
    <w:rsid w:val="00CD5D96"/>
    <w:rsid w:val="00D26CA9"/>
    <w:rsid w:val="00D50CDE"/>
    <w:rsid w:val="00D902BB"/>
    <w:rsid w:val="00D93FE2"/>
    <w:rsid w:val="00D96355"/>
    <w:rsid w:val="00DD69CA"/>
    <w:rsid w:val="00E66E8D"/>
    <w:rsid w:val="00E67B66"/>
    <w:rsid w:val="00E91DCD"/>
    <w:rsid w:val="00EA3458"/>
    <w:rsid w:val="00EF7059"/>
    <w:rsid w:val="00F01944"/>
    <w:rsid w:val="00F46E73"/>
    <w:rsid w:val="00F566CD"/>
    <w:rsid w:val="00F77E40"/>
    <w:rsid w:val="00F90E51"/>
    <w:rsid w:val="00FB1055"/>
    <w:rsid w:val="00FD6569"/>
    <w:rsid w:val="00FD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9173"/>
  <w15:docId w15:val="{1E81B3EE-2CF4-4F1B-ABF0-7D03D817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4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5DD"/>
  </w:style>
  <w:style w:type="paragraph" w:styleId="Stopka">
    <w:name w:val="footer"/>
    <w:basedOn w:val="Normalny"/>
    <w:link w:val="StopkaZnak"/>
    <w:uiPriority w:val="99"/>
    <w:unhideWhenUsed/>
    <w:rsid w:val="00564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5DD"/>
  </w:style>
  <w:style w:type="paragraph" w:styleId="Tekstdymka">
    <w:name w:val="Balloon Text"/>
    <w:basedOn w:val="Normalny"/>
    <w:link w:val="TekstdymkaZnak"/>
    <w:uiPriority w:val="99"/>
    <w:semiHidden/>
    <w:unhideWhenUsed/>
    <w:rsid w:val="00564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5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7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77E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637E70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637E7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37E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37E70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637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37E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37E70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637E70"/>
  </w:style>
  <w:style w:type="character" w:customStyle="1" w:styleId="FontStyle38">
    <w:name w:val="Font Style38"/>
    <w:basedOn w:val="Domylnaczcionkaakapitu"/>
    <w:uiPriority w:val="99"/>
    <w:rsid w:val="00637E70"/>
    <w:rPr>
      <w:rFonts w:ascii="Arial Unicode MS" w:eastAsia="Arial Unicode MS" w:cs="Arial Unicode MS"/>
      <w:i/>
      <w:iCs/>
      <w:spacing w:val="10"/>
      <w:sz w:val="16"/>
      <w:szCs w:val="16"/>
    </w:rPr>
  </w:style>
  <w:style w:type="paragraph" w:customStyle="1" w:styleId="H-TextFormat">
    <w:name w:val="H-TextFormat"/>
    <w:uiPriority w:val="99"/>
    <w:rsid w:val="00637E70"/>
    <w:pPr>
      <w:suppressAutoHyphens/>
      <w:autoSpaceDE w:val="0"/>
      <w:spacing w:after="0" w:line="240" w:lineRule="auto"/>
    </w:pPr>
    <w:rPr>
      <w:rFonts w:ascii="Arial" w:eastAsia="Arial" w:hAnsi="Arial" w:cs="Arial"/>
      <w:lang w:val="en-US" w:eastAsia="ar-SA"/>
    </w:rPr>
  </w:style>
  <w:style w:type="paragraph" w:customStyle="1" w:styleId="Tekstpodstawowy21">
    <w:name w:val="Tekst podstawowy 21"/>
    <w:basedOn w:val="Normalny"/>
    <w:rsid w:val="00637E70"/>
    <w:pPr>
      <w:suppressAutoHyphens/>
      <w:spacing w:after="0" w:line="240" w:lineRule="auto"/>
    </w:pPr>
    <w:rPr>
      <w:rFonts w:ascii="Comic Sans MS" w:eastAsia="Times New Roman" w:hAnsi="Comic Sans MS" w:cs="Arial"/>
      <w:color w:val="0000FF"/>
      <w:sz w:val="18"/>
      <w:szCs w:val="24"/>
      <w:lang w:eastAsia="ar-SA"/>
    </w:rPr>
  </w:style>
  <w:style w:type="character" w:customStyle="1" w:styleId="NagwekZnak2">
    <w:name w:val="Nagłówek Znak2"/>
    <w:uiPriority w:val="99"/>
    <w:locked/>
    <w:rsid w:val="00D93FE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C43188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1F85-EACA-4D67-A507-B443871C3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9</Pages>
  <Words>2190</Words>
  <Characters>13142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Sil-art Rycho444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</dc:creator>
  <cp:lastModifiedBy>4 wsk</cp:lastModifiedBy>
  <cp:revision>70</cp:revision>
  <cp:lastPrinted>2021-10-12T07:51:00Z</cp:lastPrinted>
  <dcterms:created xsi:type="dcterms:W3CDTF">2021-06-13T21:49:00Z</dcterms:created>
  <dcterms:modified xsi:type="dcterms:W3CDTF">2023-05-10T13:36:00Z</dcterms:modified>
</cp:coreProperties>
</file>