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Ireny </w:t>
      </w:r>
      <w:proofErr w:type="spellStart"/>
      <w:r w:rsidRPr="00700CAC">
        <w:rPr>
          <w:rFonts w:ascii="Tahoma" w:hAnsi="Tahoma" w:cs="Tahoma"/>
          <w:kern w:val="0"/>
          <w:sz w:val="20"/>
          <w:szCs w:val="20"/>
          <w:lang w:eastAsia="pl-PL" w:bidi="ar-SA"/>
        </w:rPr>
        <w:t>Bochno</w:t>
      </w:r>
      <w:proofErr w:type="spellEnd"/>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74D58A7C"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DF221D">
        <w:rPr>
          <w:rFonts w:ascii="Tahoma" w:hAnsi="Tahoma" w:cs="Tahoma"/>
          <w:kern w:val="0"/>
          <w:sz w:val="20"/>
          <w:szCs w:val="20"/>
          <w:lang w:eastAsia="pl-PL" w:bidi="ar-SA"/>
        </w:rPr>
        <w:t>16</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DF221D">
        <w:rPr>
          <w:rFonts w:ascii="Tahoma" w:hAnsi="Tahoma" w:cs="Tahoma"/>
          <w:b/>
          <w:kern w:val="0"/>
          <w:sz w:val="20"/>
          <w:szCs w:val="20"/>
          <w:lang w:eastAsia="pl-PL" w:bidi="ar-SA"/>
        </w:rPr>
        <w:t xml:space="preserve"> ciągu drogi powiatowej Nr 1203</w:t>
      </w:r>
      <w:r w:rsidR="00B300E5">
        <w:rPr>
          <w:rFonts w:ascii="Tahoma" w:hAnsi="Tahoma" w:cs="Tahoma"/>
          <w:b/>
          <w:kern w:val="0"/>
          <w:sz w:val="20"/>
          <w:szCs w:val="20"/>
          <w:lang w:eastAsia="pl-PL" w:bidi="ar-SA"/>
        </w:rPr>
        <w:t xml:space="preserve">N w miejscowości </w:t>
      </w:r>
      <w:r w:rsidR="00DF221D">
        <w:rPr>
          <w:rFonts w:ascii="Tahoma" w:hAnsi="Tahoma" w:cs="Tahoma"/>
          <w:b/>
          <w:kern w:val="0"/>
          <w:sz w:val="20"/>
          <w:szCs w:val="20"/>
          <w:lang w:eastAsia="pl-PL" w:bidi="ar-SA"/>
        </w:rPr>
        <w:t>Nowe Kawkowo</w:t>
      </w:r>
      <w:r w:rsidR="00605DF2">
        <w:rPr>
          <w:rFonts w:ascii="Tahoma" w:hAnsi="Tahoma" w:cs="Tahoma"/>
          <w:b/>
          <w:kern w:val="0"/>
          <w:sz w:val="20"/>
          <w:szCs w:val="20"/>
          <w:lang w:eastAsia="pl-PL" w:bidi="ar-SA"/>
        </w:rPr>
        <w:t xml:space="preserv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60DB404F"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likwidacją przełomu </w:t>
      </w:r>
      <w:r w:rsidR="00DF221D">
        <w:rPr>
          <w:rFonts w:ascii="Tahoma" w:hAnsi="Tahoma" w:cs="Tahoma"/>
          <w:kern w:val="0"/>
          <w:sz w:val="20"/>
          <w:szCs w:val="20"/>
          <w:lang w:eastAsia="pl-PL" w:bidi="ar-SA"/>
        </w:rPr>
        <w:t>w ciągu drogi powiatowej Nr 1203</w:t>
      </w:r>
      <w:r w:rsidR="00605DF2">
        <w:rPr>
          <w:rFonts w:ascii="Tahoma" w:hAnsi="Tahoma" w:cs="Tahoma"/>
          <w:kern w:val="0"/>
          <w:sz w:val="20"/>
          <w:szCs w:val="20"/>
          <w:lang w:eastAsia="pl-PL" w:bidi="ar-SA"/>
        </w:rPr>
        <w:t xml:space="preserve">N </w:t>
      </w:r>
      <w:r w:rsidR="00D86820">
        <w:rPr>
          <w:rFonts w:ascii="Tahoma" w:hAnsi="Tahoma" w:cs="Tahoma"/>
          <w:kern w:val="0"/>
          <w:sz w:val="20"/>
          <w:szCs w:val="20"/>
          <w:lang w:eastAsia="pl-PL" w:bidi="ar-SA"/>
        </w:rPr>
        <w:t xml:space="preserve">w miejscowości </w:t>
      </w:r>
      <w:r w:rsidR="00DF221D">
        <w:rPr>
          <w:rFonts w:ascii="Tahoma" w:hAnsi="Tahoma" w:cs="Tahoma"/>
          <w:kern w:val="0"/>
          <w:sz w:val="20"/>
          <w:szCs w:val="20"/>
          <w:lang w:eastAsia="pl-PL" w:bidi="ar-SA"/>
        </w:rPr>
        <w:t>Nowe Kawkowo</w:t>
      </w:r>
      <w:r w:rsidR="009B04B7">
        <w:rPr>
          <w:rFonts w:ascii="Tahoma" w:hAnsi="Tahoma" w:cs="Tahoma"/>
          <w:kern w:val="0"/>
          <w:sz w:val="20"/>
          <w:szCs w:val="20"/>
          <w:lang w:eastAsia="pl-PL" w:bidi="ar-SA"/>
        </w:rPr>
        <w:t>,</w:t>
      </w:r>
      <w:r w:rsidR="00605DF2">
        <w:rPr>
          <w:rFonts w:ascii="Tahoma" w:hAnsi="Tahoma" w:cs="Tahoma"/>
          <w:kern w:val="0"/>
          <w:sz w:val="20"/>
          <w:szCs w:val="20"/>
          <w:lang w:eastAsia="pl-PL" w:bidi="ar-SA"/>
        </w:rPr>
        <w:t xml:space="preserve"> od km </w:t>
      </w:r>
      <w:r w:rsidR="00DF221D">
        <w:rPr>
          <w:rFonts w:ascii="Tahoma" w:hAnsi="Tahoma" w:cs="Tahoma"/>
          <w:kern w:val="0"/>
          <w:sz w:val="20"/>
          <w:szCs w:val="20"/>
          <w:lang w:eastAsia="pl-PL" w:bidi="ar-SA"/>
        </w:rPr>
        <w:t xml:space="preserve">8+080 </w:t>
      </w:r>
      <w:r w:rsidR="00B300E5">
        <w:rPr>
          <w:rFonts w:ascii="Tahoma" w:hAnsi="Tahoma" w:cs="Tahoma"/>
          <w:kern w:val="0"/>
          <w:sz w:val="20"/>
          <w:szCs w:val="20"/>
          <w:lang w:eastAsia="pl-PL" w:bidi="ar-SA"/>
        </w:rPr>
        <w:t>do km</w:t>
      </w:r>
      <w:r w:rsidR="00DF221D">
        <w:rPr>
          <w:rFonts w:ascii="Tahoma" w:hAnsi="Tahoma" w:cs="Tahoma"/>
          <w:kern w:val="0"/>
          <w:sz w:val="20"/>
          <w:szCs w:val="20"/>
          <w:lang w:eastAsia="pl-PL" w:bidi="ar-SA"/>
        </w:rPr>
        <w:t xml:space="preserve"> 0+090</w:t>
      </w:r>
      <w:r w:rsidR="003658B4">
        <w:rPr>
          <w:rFonts w:ascii="Tahoma" w:hAnsi="Tahoma" w:cs="Tahoma"/>
          <w:kern w:val="0"/>
          <w:sz w:val="20"/>
          <w:szCs w:val="20"/>
          <w:lang w:eastAsia="pl-PL" w:bidi="ar-SA"/>
        </w:rPr>
        <w:t>.</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proofErr w:type="spellStart"/>
      <w:r>
        <w:rPr>
          <w:b/>
          <w:bCs/>
          <w:sz w:val="22"/>
          <w:szCs w:val="22"/>
        </w:rPr>
        <w:t>split</w:t>
      </w:r>
      <w:proofErr w:type="spellEnd"/>
      <w:r>
        <w:rPr>
          <w:b/>
          <w:bCs/>
          <w:sz w:val="22"/>
          <w:szCs w:val="22"/>
        </w:rPr>
        <w:t xml:space="preserve"> </w:t>
      </w:r>
      <w:proofErr w:type="spellStart"/>
      <w:r>
        <w:rPr>
          <w:b/>
          <w:bCs/>
          <w:sz w:val="22"/>
          <w:szCs w:val="22"/>
        </w:rPr>
        <w:t>payment</w:t>
      </w:r>
      <w:proofErr w:type="spellEnd"/>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w:t>
      </w:r>
      <w:proofErr w:type="spellStart"/>
      <w:r>
        <w:rPr>
          <w:rFonts w:ascii="Tahoma" w:eastAsia="MS Mincho" w:hAnsi="Tahoma" w:cs="Tahoma"/>
          <w:kern w:val="3"/>
          <w:sz w:val="20"/>
          <w:szCs w:val="20"/>
        </w:rPr>
        <w:t>Dz.U</w:t>
      </w:r>
      <w:proofErr w:type="spellEnd"/>
      <w:r>
        <w:rPr>
          <w:rFonts w:ascii="Tahoma" w:eastAsia="MS Mincho" w:hAnsi="Tahoma" w:cs="Tahoma"/>
          <w:kern w:val="3"/>
          <w:sz w:val="20"/>
          <w:szCs w:val="20"/>
        </w:rPr>
        <w:t>.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umożliwia przesłanie faktury elektronicznej za pośrednictwem platformy elektronicznego fakturowania (</w:t>
      </w:r>
      <w:proofErr w:type="spellStart"/>
      <w:r>
        <w:rPr>
          <w:rFonts w:ascii="Tahoma" w:eastAsia="MS Mincho" w:hAnsi="Tahoma" w:cs="Tahoma"/>
          <w:kern w:val="3"/>
          <w:sz w:val="20"/>
          <w:szCs w:val="20"/>
        </w:rPr>
        <w:t>PEFexpert</w:t>
      </w:r>
      <w:proofErr w:type="spellEnd"/>
      <w:r>
        <w:rPr>
          <w:rFonts w:ascii="Tahoma" w:eastAsia="MS Mincho" w:hAnsi="Tahoma" w:cs="Tahoma"/>
          <w:kern w:val="3"/>
          <w:sz w:val="20"/>
          <w:szCs w:val="20"/>
        </w:rPr>
        <w: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 xml:space="preserve">Jeżeli Zamawiający stwierdzi, że rachunek wskazany przez Wykonawcę na fakturze nie znajduje się na tzw. „białej liście podatników </w:t>
      </w:r>
      <w:proofErr w:type="spellStart"/>
      <w:r>
        <w:rPr>
          <w:rFonts w:ascii="Tahoma" w:eastAsia="MS Mincho" w:hAnsi="Tahoma" w:cs="Tahoma"/>
          <w:kern w:val="3"/>
          <w:sz w:val="20"/>
          <w:szCs w:val="20"/>
        </w:rPr>
        <w:t>Vat</w:t>
      </w:r>
      <w:proofErr w:type="spellEnd"/>
      <w:r>
        <w:rPr>
          <w:rFonts w:ascii="Tahoma" w:eastAsia="MS Mincho" w:hAnsi="Tahoma" w:cs="Tahoma"/>
          <w:kern w:val="3"/>
          <w:sz w:val="20"/>
          <w:szCs w:val="20"/>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w:t>
      </w:r>
      <w:proofErr w:type="spellStart"/>
      <w:r w:rsidRPr="00CA169C">
        <w:rPr>
          <w:rFonts w:ascii="Tahoma" w:hAnsi="Tahoma" w:cs="Tahoma"/>
          <w:sz w:val="20"/>
          <w:szCs w:val="20"/>
        </w:rPr>
        <w:t>Dz.U</w:t>
      </w:r>
      <w:proofErr w:type="spellEnd"/>
      <w:r w:rsidRPr="00CA169C">
        <w:rPr>
          <w:rFonts w:ascii="Tahoma" w:hAnsi="Tahoma" w:cs="Tahoma"/>
          <w:sz w:val="20"/>
          <w:szCs w:val="20"/>
        </w:rPr>
        <w:t>.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 dnia przejęcia terenu budowy Wykonawca przyjmuje odpowiedzialność cywilną za </w:t>
      </w:r>
      <w:r w:rsidRPr="00700CAC">
        <w:rPr>
          <w:rFonts w:ascii="Tahoma" w:hAnsi="Tahoma" w:cs="Tahoma"/>
          <w:kern w:val="0"/>
          <w:sz w:val="20"/>
          <w:szCs w:val="20"/>
          <w:lang w:eastAsia="pl-PL" w:bidi="ar-SA"/>
        </w:rPr>
        <w:lastRenderedPageBreak/>
        <w:t>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A01329D"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007279B5">
        <w:rPr>
          <w:rFonts w:ascii="Tahoma" w:hAnsi="Tahoma" w:cs="Tahoma"/>
          <w:bCs/>
          <w:kern w:val="0"/>
          <w:sz w:val="20"/>
          <w:szCs w:val="20"/>
          <w:lang w:eastAsia="pl-PL" w:bidi="ar-SA"/>
        </w:rPr>
        <w:t>……………</w:t>
      </w:r>
      <w:r w:rsidRPr="00FB656C">
        <w:rPr>
          <w:rFonts w:ascii="Tahoma" w:hAnsi="Tahoma" w:cs="Tahoma"/>
          <w:bCs/>
          <w:kern w:val="0"/>
          <w:sz w:val="20"/>
          <w:szCs w:val="20"/>
          <w:lang w:eastAsia="pl-PL" w:bidi="ar-SA"/>
        </w:rPr>
        <w:t xml:space="preserve">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w przypadku braku zmiany umowy o podwykonawstwo, w zakresie terminu zapłaty, zgodnie z art. 464 ust 10 </w:t>
      </w:r>
      <w:proofErr w:type="spellStart"/>
      <w:r w:rsidRPr="00941725">
        <w:rPr>
          <w:rFonts w:ascii="Tahoma" w:hAnsi="Tahoma" w:cs="Tahoma"/>
          <w:kern w:val="2"/>
          <w:sz w:val="20"/>
          <w:szCs w:val="20"/>
        </w:rPr>
        <w:t>Pzp</w:t>
      </w:r>
      <w:proofErr w:type="spellEnd"/>
      <w:r w:rsidRPr="00941725">
        <w:rPr>
          <w:rFonts w:ascii="Tahoma" w:hAnsi="Tahoma" w:cs="Tahoma"/>
          <w:kern w:val="2"/>
          <w:sz w:val="20"/>
          <w:szCs w:val="20"/>
        </w:rPr>
        <w:t>,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w:t>
      </w:r>
      <w:r w:rsidRPr="00941725">
        <w:rPr>
          <w:rFonts w:ascii="Tahoma" w:hAnsi="Tahoma" w:cs="Tahoma"/>
          <w:kern w:val="2"/>
          <w:sz w:val="20"/>
          <w:szCs w:val="20"/>
        </w:rPr>
        <w:lastRenderedPageBreak/>
        <w:t xml:space="preserve">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t>
      </w:r>
      <w:r w:rsidRPr="00E9126B">
        <w:rPr>
          <w:rFonts w:ascii="Arial" w:eastAsiaTheme="minorHAnsi" w:hAnsi="Arial" w:cs="Arial"/>
          <w:color w:val="000000"/>
          <w:kern w:val="0"/>
          <w:sz w:val="20"/>
          <w:szCs w:val="20"/>
          <w:lang w:eastAsia="en-US" w:bidi="ar-SA"/>
        </w:rPr>
        <w:lastRenderedPageBreak/>
        <w:t xml:space="preserve">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proofErr w:type="spellStart"/>
      <w:r w:rsidRPr="00E9126B">
        <w:rPr>
          <w:rFonts w:ascii="Arial" w:eastAsiaTheme="minorHAnsi" w:hAnsi="Arial" w:cs="Arial"/>
          <w:color w:val="000000"/>
          <w:kern w:val="0"/>
          <w:sz w:val="20"/>
          <w:szCs w:val="20"/>
          <w:lang w:eastAsia="en-US" w:bidi="ar-SA"/>
        </w:rPr>
        <w:t>p.z.p</w:t>
      </w:r>
      <w:proofErr w:type="spellEnd"/>
      <w:r w:rsidRPr="00E9126B">
        <w:rPr>
          <w:rFonts w:ascii="Arial" w:eastAsiaTheme="minorHAnsi" w:hAnsi="Arial" w:cs="Arial"/>
          <w:color w:val="000000"/>
          <w:kern w:val="0"/>
          <w:sz w:val="20"/>
          <w:szCs w:val="20"/>
          <w:lang w:eastAsia="en-US" w:bidi="ar-SA"/>
        </w:rPr>
        <w:t xml:space="preserve">),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szczególności: działania wojenne, rozruchy, stan klęski żywiołowej w rozumieniu ustawy z dnia 18 kwietnia 2002 r. o stanie klęski żywiołowej (</w:t>
      </w:r>
      <w:proofErr w:type="spellStart"/>
      <w:r w:rsidRPr="00E9126B">
        <w:rPr>
          <w:rFonts w:ascii="Arial" w:eastAsiaTheme="minorHAnsi" w:hAnsi="Arial" w:cs="Arial"/>
          <w:kern w:val="0"/>
          <w:sz w:val="20"/>
          <w:szCs w:val="20"/>
          <w:lang w:eastAsia="en-US" w:bidi="ar-SA"/>
        </w:rPr>
        <w:t>Dz.U</w:t>
      </w:r>
      <w:proofErr w:type="spellEnd"/>
      <w:r w:rsidRPr="00E9126B">
        <w:rPr>
          <w:rFonts w:ascii="Arial" w:eastAsiaTheme="minorHAnsi" w:hAnsi="Arial" w:cs="Arial"/>
          <w:kern w:val="0"/>
          <w:sz w:val="20"/>
          <w:szCs w:val="20"/>
          <w:lang w:eastAsia="en-US" w:bidi="ar-SA"/>
        </w:rPr>
        <w:t xml:space="preserve">. z 2017 r., poz. 1897 z </w:t>
      </w:r>
      <w:proofErr w:type="spellStart"/>
      <w:r w:rsidRPr="00E9126B">
        <w:rPr>
          <w:rFonts w:ascii="Arial" w:eastAsiaTheme="minorHAnsi" w:hAnsi="Arial" w:cs="Arial"/>
          <w:kern w:val="0"/>
          <w:sz w:val="20"/>
          <w:szCs w:val="20"/>
          <w:lang w:eastAsia="en-US" w:bidi="ar-SA"/>
        </w:rPr>
        <w:t>późn</w:t>
      </w:r>
      <w:proofErr w:type="spellEnd"/>
      <w:r w:rsidRPr="00E9126B">
        <w:rPr>
          <w:rFonts w:ascii="Arial" w:eastAsiaTheme="minorHAnsi" w:hAnsi="Arial" w:cs="Arial"/>
          <w:kern w:val="0"/>
          <w:sz w:val="20"/>
          <w:szCs w:val="2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 xml:space="preserve">§3 </w:t>
      </w:r>
      <w:proofErr w:type="spellStart"/>
      <w:r w:rsidRPr="00700CAC">
        <w:rPr>
          <w:rFonts w:ascii="Tahoma" w:hAnsi="Tahoma" w:cs="Tahoma"/>
          <w:kern w:val="0"/>
          <w:sz w:val="20"/>
          <w:szCs w:val="20"/>
          <w:lang w:eastAsia="pl-PL" w:bidi="ar-SA"/>
        </w:rPr>
        <w:t>kc</w:t>
      </w:r>
      <w:proofErr w:type="spellEnd"/>
      <w:r w:rsidRPr="00700CAC">
        <w:rPr>
          <w:rFonts w:ascii="Tahoma" w:hAnsi="Tahoma" w:cs="Tahoma"/>
          <w:kern w:val="0"/>
          <w:sz w:val="20"/>
          <w:szCs w:val="20"/>
          <w:lang w:eastAsia="pl-PL" w:bidi="ar-SA"/>
        </w:rPr>
        <w:t>.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70462BF3" w14:textId="77777777" w:rsidR="00E37EE8" w:rsidRDefault="00E37EE8"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p>
    <w:p w14:paraId="4F110FC6" w14:textId="77777777" w:rsidR="00E37EE8" w:rsidRDefault="00E37EE8"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lastRenderedPageBreak/>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lastRenderedPageBreak/>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565133D8"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t>
      </w:r>
      <w:r w:rsidR="00DF221D">
        <w:rPr>
          <w:rFonts w:ascii="Tahoma" w:hAnsi="Tahoma" w:cs="Tahoma"/>
          <w:b/>
          <w:sz w:val="20"/>
          <w:szCs w:val="20"/>
        </w:rPr>
        <w:t>w ciągu drogi powiatowej Nr 1203</w:t>
      </w:r>
      <w:r w:rsidR="00D7519D">
        <w:rPr>
          <w:rFonts w:ascii="Tahoma" w:hAnsi="Tahoma" w:cs="Tahoma"/>
          <w:b/>
          <w:sz w:val="20"/>
          <w:szCs w:val="20"/>
        </w:rPr>
        <w:t>N w miejscowości</w:t>
      </w:r>
      <w:r w:rsidR="00DF221D">
        <w:rPr>
          <w:rFonts w:ascii="Tahoma" w:hAnsi="Tahoma" w:cs="Tahoma"/>
          <w:b/>
          <w:sz w:val="20"/>
          <w:szCs w:val="20"/>
        </w:rPr>
        <w:t xml:space="preserve"> Nowe Kawkowo</w:t>
      </w:r>
      <w:bookmarkStart w:id="1" w:name="_GoBack"/>
      <w:bookmarkEnd w:id="1"/>
      <w:r w:rsidR="007279B5">
        <w:rPr>
          <w:rFonts w:ascii="Tahoma" w:hAnsi="Tahoma" w:cs="Tahoma"/>
          <w:b/>
          <w:sz w:val="20"/>
          <w:szCs w:val="20"/>
        </w:rPr>
        <w:t xml:space="preserv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197EAD"/>
    <w:rsid w:val="003658B4"/>
    <w:rsid w:val="003F7D78"/>
    <w:rsid w:val="005D252B"/>
    <w:rsid w:val="00605DF2"/>
    <w:rsid w:val="00640EF1"/>
    <w:rsid w:val="007279B5"/>
    <w:rsid w:val="00941725"/>
    <w:rsid w:val="009B04B7"/>
    <w:rsid w:val="00AE2DA0"/>
    <w:rsid w:val="00B300E5"/>
    <w:rsid w:val="00BE5625"/>
    <w:rsid w:val="00CA169C"/>
    <w:rsid w:val="00D7519D"/>
    <w:rsid w:val="00D86820"/>
    <w:rsid w:val="00DF221D"/>
    <w:rsid w:val="00E37EE8"/>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5679</Words>
  <Characters>34079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19</cp:revision>
  <dcterms:created xsi:type="dcterms:W3CDTF">2021-02-24T07:00:00Z</dcterms:created>
  <dcterms:modified xsi:type="dcterms:W3CDTF">2021-04-01T06:58:00Z</dcterms:modified>
</cp:coreProperties>
</file>