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7B" w:rsidRDefault="00573C20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:rsidR="001B337B" w:rsidRDefault="00573C2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OPIS PRZEDMIOTU ZAMÓWIENIA</w:t>
      </w:r>
    </w:p>
    <w:p w:rsidR="001B337B" w:rsidRDefault="001B337B">
      <w:pPr>
        <w:spacing w:after="0"/>
        <w:jc w:val="both"/>
        <w:rPr>
          <w:b/>
          <w:sz w:val="24"/>
          <w:szCs w:val="24"/>
        </w:rPr>
      </w:pPr>
    </w:p>
    <w:p w:rsidR="001B337B" w:rsidRDefault="00573C2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CZEŚĆ 1</w:t>
      </w:r>
    </w:p>
    <w:p w:rsidR="001B337B" w:rsidRDefault="00573C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Serwer obliczeniowy:</w:t>
      </w:r>
    </w:p>
    <w:p w:rsidR="001B337B" w:rsidRDefault="00573C20">
      <w:pPr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Obudowa </w:t>
      </w:r>
      <w:proofErr w:type="spellStart"/>
      <w:r>
        <w:rPr>
          <w:sz w:val="24"/>
          <w:szCs w:val="24"/>
        </w:rPr>
        <w:t>rack</w:t>
      </w:r>
      <w:proofErr w:type="spellEnd"/>
      <w:r>
        <w:rPr>
          <w:sz w:val="24"/>
          <w:szCs w:val="24"/>
        </w:rPr>
        <w:t xml:space="preserve">  nie mniej niż 2U</w:t>
      </w:r>
    </w:p>
    <w:p w:rsidR="001B337B" w:rsidRDefault="00573C20">
      <w:pPr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Procesor: 2 fizyczne procesory dedykowane do pracy z zaoferowanym serwerem:</w:t>
      </w:r>
    </w:p>
    <w:p w:rsidR="001B337B" w:rsidRDefault="00573C20">
      <w:pPr>
        <w:numPr>
          <w:ilvl w:val="0"/>
          <w:numId w:val="3"/>
        </w:numPr>
        <w:spacing w:after="0"/>
        <w:ind w:left="284" w:firstLine="0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Wynik testu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– CPU Mark </w:t>
      </w:r>
      <w:proofErr w:type="spellStart"/>
      <w:r>
        <w:t>Multiple</w:t>
      </w:r>
      <w:proofErr w:type="spellEnd"/>
      <w:r>
        <w:t xml:space="preserve"> CPU Systems, na dzień 12.08.2022, dla systemu z 2 procesorami</w:t>
      </w:r>
      <w:r>
        <w:rPr>
          <w:sz w:val="24"/>
          <w:szCs w:val="24"/>
        </w:rPr>
        <w:t xml:space="preserve"> min. 47105 pkt każdy, wyniki muszą być opublikowane na stronie https://www.cpubenchmark.net/</w:t>
      </w:r>
    </w:p>
    <w:p w:rsidR="001B337B" w:rsidRDefault="00573C20">
      <w:pPr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Pamięć RAM: zainstalowane co najmniej 4 x 64GB pamięci ECC (z korekcją błędów), możliwość obsługi do 1TB pamięci w 16 slotach. </w:t>
      </w:r>
    </w:p>
    <w:p w:rsidR="001B337B" w:rsidRDefault="00573C20">
      <w:pPr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Kontroler RAID:  Sprzętowy kontroler RAID.</w:t>
      </w:r>
    </w:p>
    <w:p w:rsidR="001B337B" w:rsidRDefault="00573C20">
      <w:pPr>
        <w:numPr>
          <w:ilvl w:val="0"/>
          <w:numId w:val="4"/>
        </w:numPr>
        <w:spacing w:after="0"/>
        <w:ind w:left="284" w:hanging="11"/>
        <w:jc w:val="both"/>
        <w:rPr>
          <w:sz w:val="24"/>
          <w:szCs w:val="24"/>
        </w:rPr>
      </w:pPr>
      <w:r>
        <w:rPr>
          <w:sz w:val="24"/>
          <w:szCs w:val="24"/>
        </w:rPr>
        <w:t>Pamięć cache: min. 4 GB</w:t>
      </w:r>
    </w:p>
    <w:p w:rsidR="001B337B" w:rsidRDefault="00573C20">
      <w:pPr>
        <w:numPr>
          <w:ilvl w:val="0"/>
          <w:numId w:val="4"/>
        </w:numPr>
        <w:spacing w:after="0"/>
        <w:ind w:left="284" w:hanging="11"/>
        <w:jc w:val="both"/>
        <w:rPr>
          <w:sz w:val="24"/>
          <w:szCs w:val="24"/>
        </w:rPr>
      </w:pPr>
      <w:r>
        <w:rPr>
          <w:sz w:val="24"/>
          <w:szCs w:val="24"/>
        </w:rPr>
        <w:t>Obsługiwane  poziomy RAID: 0/1/5/6/10/50/60</w:t>
      </w:r>
    </w:p>
    <w:p w:rsidR="001B337B" w:rsidRDefault="00573C20">
      <w:pPr>
        <w:numPr>
          <w:ilvl w:val="0"/>
          <w:numId w:val="4"/>
        </w:numPr>
        <w:spacing w:after="0"/>
        <w:ind w:left="284" w:hanging="11"/>
        <w:jc w:val="both"/>
        <w:rPr>
          <w:sz w:val="24"/>
          <w:szCs w:val="24"/>
        </w:rPr>
      </w:pPr>
      <w:r>
        <w:rPr>
          <w:sz w:val="24"/>
          <w:szCs w:val="24"/>
        </w:rPr>
        <w:t>Obsługiwane rodzaje dysków: 12Gb/s SAS, 6Gb/s SAS/SATA, 3Gb/s SAS/SATA</w:t>
      </w:r>
    </w:p>
    <w:p w:rsidR="001B337B" w:rsidRDefault="00573C20">
      <w:pPr>
        <w:numPr>
          <w:ilvl w:val="0"/>
          <w:numId w:val="4"/>
        </w:numPr>
        <w:spacing w:after="0"/>
        <w:ind w:left="284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Wsparcie PCI: min </w:t>
      </w:r>
      <w:proofErr w:type="spellStart"/>
      <w:r>
        <w:rPr>
          <w:sz w:val="24"/>
          <w:szCs w:val="24"/>
        </w:rPr>
        <w:t>PCIe</w:t>
      </w:r>
      <w:proofErr w:type="spellEnd"/>
      <w:r>
        <w:rPr>
          <w:sz w:val="24"/>
          <w:szCs w:val="24"/>
        </w:rPr>
        <w:t xml:space="preserve"> Gen. 3</w:t>
      </w:r>
    </w:p>
    <w:p w:rsidR="001B337B" w:rsidRDefault="00573C20">
      <w:pPr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Dyski i napędy: zainstalowane co najmniej 6 x 960GB SSD SATA 2,5”, możliwość zamontowania 16 dysków HDD lub SSD w ramce 2.5".</w:t>
      </w:r>
    </w:p>
    <w:p w:rsidR="001B337B" w:rsidRDefault="00573C20">
      <w:pPr>
        <w:numPr>
          <w:ilvl w:val="0"/>
          <w:numId w:val="5"/>
        </w:numPr>
        <w:spacing w:after="0"/>
        <w:ind w:left="284" w:hanging="11"/>
        <w:jc w:val="both"/>
        <w:rPr>
          <w:sz w:val="24"/>
          <w:szCs w:val="24"/>
        </w:rPr>
      </w:pPr>
      <w:r>
        <w:rPr>
          <w:sz w:val="24"/>
          <w:szCs w:val="24"/>
        </w:rPr>
        <w:t>Pojemność pojedynczego dysku min 960 GB</w:t>
      </w:r>
    </w:p>
    <w:p w:rsidR="001B337B" w:rsidRDefault="00573C20">
      <w:pPr>
        <w:numPr>
          <w:ilvl w:val="0"/>
          <w:numId w:val="5"/>
        </w:numPr>
        <w:spacing w:after="0"/>
        <w:ind w:left="284" w:hanging="11"/>
        <w:jc w:val="both"/>
        <w:rPr>
          <w:sz w:val="24"/>
          <w:szCs w:val="24"/>
        </w:rPr>
      </w:pPr>
      <w:r>
        <w:rPr>
          <w:sz w:val="24"/>
          <w:szCs w:val="24"/>
        </w:rPr>
        <w:t>Rozmiar dysku 2.5"</w:t>
      </w:r>
    </w:p>
    <w:p w:rsidR="001B337B" w:rsidRDefault="00573C20">
      <w:pPr>
        <w:numPr>
          <w:ilvl w:val="0"/>
          <w:numId w:val="5"/>
        </w:numPr>
        <w:spacing w:after="0"/>
        <w:ind w:left="284" w:hanging="11"/>
        <w:jc w:val="both"/>
        <w:rPr>
          <w:sz w:val="24"/>
          <w:szCs w:val="24"/>
        </w:rPr>
      </w:pPr>
      <w:r>
        <w:rPr>
          <w:sz w:val="24"/>
          <w:szCs w:val="24"/>
        </w:rPr>
        <w:t>Interfejs SATA 6Gb/s</w:t>
      </w:r>
    </w:p>
    <w:p w:rsidR="001B337B" w:rsidRDefault="00573C20">
      <w:pPr>
        <w:numPr>
          <w:ilvl w:val="0"/>
          <w:numId w:val="5"/>
        </w:numPr>
        <w:spacing w:after="0"/>
        <w:ind w:left="284" w:hanging="11"/>
        <w:jc w:val="both"/>
        <w:rPr>
          <w:sz w:val="24"/>
          <w:szCs w:val="24"/>
        </w:rPr>
      </w:pPr>
      <w:r>
        <w:rPr>
          <w:sz w:val="24"/>
          <w:szCs w:val="24"/>
        </w:rPr>
        <w:t>Typ obudowy Hot-Plug</w:t>
      </w:r>
    </w:p>
    <w:p w:rsidR="001B337B" w:rsidRDefault="00573C20">
      <w:pPr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Karta sieciowa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Dwa zintegrowane porty 1Gb Base-T (RJ-45) i dedykowany slot na kartę w standardzie </w:t>
      </w:r>
      <w:r>
        <w:t xml:space="preserve">Open </w:t>
      </w:r>
      <w:proofErr w:type="spellStart"/>
      <w:r>
        <w:t>Compute</w:t>
      </w:r>
      <w:proofErr w:type="spellEnd"/>
      <w:r>
        <w:t xml:space="preserve"> Project</w:t>
      </w:r>
      <w:r>
        <w:rPr>
          <w:sz w:val="24"/>
          <w:szCs w:val="24"/>
        </w:rPr>
        <w:t xml:space="preserve"> OCP 3.0 z portami Base-T lub SFP+.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LOM DP (Zintegrowana)</w:t>
      </w:r>
    </w:p>
    <w:p w:rsidR="001B337B" w:rsidRDefault="00573C20">
      <w:pPr>
        <w:numPr>
          <w:ilvl w:val="0"/>
          <w:numId w:val="6"/>
        </w:numPr>
        <w:spacing w:after="0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Porty: 2x RJ-45</w:t>
      </w:r>
    </w:p>
    <w:p w:rsidR="001B337B" w:rsidRDefault="00573C20">
      <w:pPr>
        <w:numPr>
          <w:ilvl w:val="0"/>
          <w:numId w:val="6"/>
        </w:numPr>
        <w:spacing w:after="0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Przepustowość: min 1Gb/s</w:t>
      </w:r>
    </w:p>
    <w:p w:rsidR="001B337B" w:rsidRDefault="00573C20">
      <w:pPr>
        <w:numPr>
          <w:ilvl w:val="0"/>
          <w:numId w:val="6"/>
        </w:numPr>
        <w:spacing w:after="0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Standard: min 1000Base-T</w:t>
      </w:r>
    </w:p>
    <w:p w:rsidR="001B337B" w:rsidRDefault="00573C20">
      <w:pPr>
        <w:numPr>
          <w:ilvl w:val="0"/>
          <w:numId w:val="6"/>
        </w:numPr>
        <w:spacing w:after="0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Typ karty: Zintegrowana</w:t>
      </w:r>
    </w:p>
    <w:p w:rsidR="001B337B" w:rsidRDefault="00573C20">
      <w:pPr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Zdalne Zarządzanie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Moduł zdalnego zarządzania, diagnostyki i monitorowania pracy serwera z dedykowanym portem RJ-45 (1 x RJ-45)</w:t>
      </w:r>
    </w:p>
    <w:p w:rsidR="001B337B" w:rsidRDefault="00573C20">
      <w:pPr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Moduł SD: Czytnik kart Dual SD zapewniający przestrzeń rozruchową dla systemów </w:t>
      </w:r>
      <w:proofErr w:type="spellStart"/>
      <w:r>
        <w:rPr>
          <w:sz w:val="24"/>
          <w:szCs w:val="24"/>
        </w:rPr>
        <w:t>VMware</w:t>
      </w:r>
      <w:proofErr w:type="spellEnd"/>
      <w:r>
        <w:rPr>
          <w:sz w:val="24"/>
          <w:szCs w:val="24"/>
        </w:rPr>
        <w:t>.</w:t>
      </w:r>
    </w:p>
    <w:p w:rsidR="001B337B" w:rsidRDefault="00573C20">
      <w:pPr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Optymalizacja rozruchu: dodatkowa karta kontrolera z obsługą dwóch dysków M.2 SATA o pojemności min. 240 GB każdy z możliwością skonfigurowania RAID 1 do uruchamiania systemu operacyjnego serwera. (min 2 x 240GB M.2 SATA)</w:t>
      </w:r>
    </w:p>
    <w:p w:rsidR="001B337B" w:rsidRDefault="00573C20">
      <w:pPr>
        <w:numPr>
          <w:ilvl w:val="0"/>
          <w:numId w:val="2"/>
        </w:numPr>
        <w:spacing w:after="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Ramka zabezpieczająca: Ramka zabezpieczająca chroniąca dyski twarde przed nieuprawnionym wyjęciem. Ramka bez LCD</w:t>
      </w:r>
    </w:p>
    <w:p w:rsidR="001B337B" w:rsidRDefault="00573C20">
      <w:pPr>
        <w:numPr>
          <w:ilvl w:val="0"/>
          <w:numId w:val="2"/>
        </w:numPr>
        <w:spacing w:after="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Szyny Montażowe: Ruchome szyny montażowe</w:t>
      </w:r>
    </w:p>
    <w:p w:rsidR="001B337B" w:rsidRDefault="00573C20">
      <w:pPr>
        <w:numPr>
          <w:ilvl w:val="0"/>
          <w:numId w:val="2"/>
        </w:numPr>
        <w:spacing w:after="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Zasilanie: min 2x 800W (Hot-Plug), moc2x 800 W, </w:t>
      </w:r>
      <w:proofErr w:type="spellStart"/>
      <w:r>
        <w:rPr>
          <w:sz w:val="24"/>
          <w:szCs w:val="24"/>
        </w:rPr>
        <w:t>TypHot</w:t>
      </w:r>
      <w:proofErr w:type="spellEnd"/>
      <w:r>
        <w:rPr>
          <w:sz w:val="24"/>
          <w:szCs w:val="24"/>
        </w:rPr>
        <w:t>-Plug</w:t>
      </w:r>
    </w:p>
    <w:p w:rsidR="001B337B" w:rsidRDefault="00573C20">
      <w:pPr>
        <w:numPr>
          <w:ilvl w:val="0"/>
          <w:numId w:val="2"/>
        </w:numPr>
        <w:spacing w:after="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Zasilacz awaryjny UPS w architekturze </w:t>
      </w:r>
      <w:proofErr w:type="spellStart"/>
      <w:r>
        <w:rPr>
          <w:sz w:val="24"/>
          <w:szCs w:val="24"/>
        </w:rPr>
        <w:t>Rack</w:t>
      </w:r>
      <w:proofErr w:type="spellEnd"/>
      <w:r>
        <w:rPr>
          <w:sz w:val="24"/>
          <w:szCs w:val="24"/>
        </w:rPr>
        <w:t xml:space="preserve">: min. 2U: </w:t>
      </w:r>
      <w:proofErr w:type="spellStart"/>
      <w:r>
        <w:rPr>
          <w:sz w:val="24"/>
          <w:szCs w:val="24"/>
        </w:rPr>
        <w:t>architekturaco</w:t>
      </w:r>
      <w:proofErr w:type="spellEnd"/>
      <w:r>
        <w:rPr>
          <w:sz w:val="24"/>
          <w:szCs w:val="24"/>
        </w:rPr>
        <w:t xml:space="preserve"> najmniej </w:t>
      </w:r>
      <w:proofErr w:type="spellStart"/>
      <w:r>
        <w:rPr>
          <w:sz w:val="24"/>
          <w:szCs w:val="24"/>
        </w:rPr>
        <w:t>line-interactive</w:t>
      </w:r>
      <w:proofErr w:type="spellEnd"/>
      <w:r>
        <w:rPr>
          <w:sz w:val="24"/>
          <w:szCs w:val="24"/>
        </w:rPr>
        <w:t>, moc rzeczywista min. 1600W, moc pozorna min. 2000VA, min. 8 gniazd, czas podtrzymywania przy 100% obciążenia min. 7 minut, czas podtrzymywania przy 50% obciążenia min. 15 min., zimny start</w:t>
      </w:r>
    </w:p>
    <w:p w:rsidR="001B337B" w:rsidRDefault="00573C20">
      <w:pPr>
        <w:numPr>
          <w:ilvl w:val="0"/>
          <w:numId w:val="2"/>
        </w:numPr>
        <w:spacing w:after="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Gwarancja: gwarancja producenta realizowana w miejscu instalacji sprzętu z określonym czasem reakcji od przyjęcia zgłoszenia.</w:t>
      </w:r>
    </w:p>
    <w:p w:rsidR="001B337B" w:rsidRDefault="00573C20">
      <w:pPr>
        <w:numPr>
          <w:ilvl w:val="0"/>
          <w:numId w:val="7"/>
        </w:numPr>
        <w:spacing w:after="0"/>
        <w:ind w:left="284" w:hanging="11"/>
        <w:jc w:val="both"/>
        <w:rPr>
          <w:sz w:val="24"/>
          <w:szCs w:val="24"/>
        </w:rPr>
      </w:pPr>
      <w:r>
        <w:rPr>
          <w:sz w:val="24"/>
          <w:szCs w:val="24"/>
        </w:rPr>
        <w:t>Okres gwarancji: min. 2 lata</w:t>
      </w:r>
    </w:p>
    <w:p w:rsidR="001B337B" w:rsidRDefault="00573C20">
      <w:pPr>
        <w:numPr>
          <w:ilvl w:val="0"/>
          <w:numId w:val="7"/>
        </w:numPr>
        <w:spacing w:after="0"/>
        <w:ind w:left="284" w:hanging="11"/>
        <w:jc w:val="both"/>
        <w:rPr>
          <w:sz w:val="24"/>
          <w:szCs w:val="24"/>
        </w:rPr>
      </w:pPr>
      <w:r>
        <w:rPr>
          <w:sz w:val="24"/>
          <w:szCs w:val="24"/>
        </w:rPr>
        <w:t>Czas reakcji: Następny dzień roboczy</w:t>
      </w:r>
    </w:p>
    <w:p w:rsidR="001B337B" w:rsidRDefault="001B337B">
      <w:pPr>
        <w:spacing w:after="0"/>
        <w:jc w:val="both"/>
        <w:rPr>
          <w:sz w:val="24"/>
          <w:szCs w:val="24"/>
        </w:rPr>
      </w:pPr>
    </w:p>
    <w:p w:rsidR="001B337B" w:rsidRDefault="001B337B">
      <w:pPr>
        <w:spacing w:after="0"/>
        <w:ind w:left="426"/>
        <w:jc w:val="both"/>
        <w:rPr>
          <w:sz w:val="24"/>
          <w:szCs w:val="24"/>
        </w:rPr>
      </w:pPr>
    </w:p>
    <w:p w:rsidR="001B337B" w:rsidRDefault="00573C2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CZĘŚĆ 2</w:t>
      </w:r>
    </w:p>
    <w:p w:rsidR="001B337B" w:rsidRDefault="00573C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dostawa serwera obliczeniowego wraz z zasilaczem awaryjnym UPS. Zastosowanie: obliczenia o wysokiej wydajności (high performance </w:t>
      </w:r>
      <w:proofErr w:type="spellStart"/>
      <w:r>
        <w:rPr>
          <w:sz w:val="24"/>
          <w:szCs w:val="24"/>
        </w:rPr>
        <w:t>computing</w:t>
      </w:r>
      <w:proofErr w:type="spellEnd"/>
      <w:r>
        <w:rPr>
          <w:sz w:val="24"/>
          <w:szCs w:val="24"/>
        </w:rPr>
        <w:t xml:space="preserve">) związane z prowadzonymi badaniami naukowymi w dziedzinie metod sztucznej inteligencji, </w:t>
      </w:r>
      <w:r>
        <w:rPr>
          <w:sz w:val="24"/>
          <w:szCs w:val="24"/>
        </w:rPr>
        <w:br/>
        <w:t xml:space="preserve">a w szczególności tzw. </w:t>
      </w:r>
      <w:proofErr w:type="spellStart"/>
      <w:r>
        <w:rPr>
          <w:sz w:val="24"/>
          <w:szCs w:val="24"/>
        </w:rPr>
        <w:t>Deep</w:t>
      </w:r>
      <w:proofErr w:type="spellEnd"/>
      <w:r>
        <w:rPr>
          <w:sz w:val="24"/>
          <w:szCs w:val="24"/>
        </w:rPr>
        <w:t xml:space="preserve"> Learningu z ukierunkowaniem na trenowanie sieci.</w:t>
      </w:r>
    </w:p>
    <w:p w:rsidR="001B337B" w:rsidRDefault="00573C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Oferowany sprzęt ma być fabrycznie nowy, nieużywany oraz nieeksponowany na wystawach lub imprezach targowych, sprawny technicznie, bezpieczny, kompletny i gotowy do pracy,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spełniający poniższe wymagania techniczno-funkcjonalne:</w:t>
      </w:r>
    </w:p>
    <w:p w:rsidR="001B337B" w:rsidRDefault="00573C20">
      <w:pPr>
        <w:numPr>
          <w:ilvl w:val="0"/>
          <w:numId w:val="1"/>
        </w:numPr>
        <w:spacing w:after="0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zainstalowane dwa identyczne procesory klasy x86-64, każdy osiągający w teście SPEC CPU2017 </w:t>
      </w:r>
      <w:proofErr w:type="spellStart"/>
      <w:r>
        <w:rPr>
          <w:sz w:val="24"/>
          <w:szCs w:val="24"/>
        </w:rPr>
        <w:t>Integer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Rates</w:t>
      </w:r>
      <w:proofErr w:type="spellEnd"/>
      <w:r>
        <w:rPr>
          <w:sz w:val="24"/>
          <w:szCs w:val="24"/>
        </w:rPr>
        <w:t xml:space="preserve"> min. 444 pkt. Base w konfiguracji dwuprocesorowej, wyniki muszą </w:t>
      </w:r>
      <w:r>
        <w:rPr>
          <w:sz w:val="24"/>
          <w:szCs w:val="24"/>
        </w:rPr>
        <w:lastRenderedPageBreak/>
        <w:t>być opublikowane na stronie https://www.spec.org/. Zamawiający nie wymaga opublikowanych na stronie organizacji SPEC wyników dla oferowanego modelu procesora w oferowanej platformie. Procesory wraz z chłodzeniem aktywnym adekwatnym do mocy zaoferowanych procesorów, przepływ powietrza nie może być skierowany w stronę zainstalowanych kart rozszerzeń.  Data wprowadzenia na rynek: nie wcześniej niż 2021r.</w:t>
      </w:r>
    </w:p>
    <w:p w:rsidR="001B337B" w:rsidRDefault="00573C20">
      <w:pPr>
        <w:numPr>
          <w:ilvl w:val="0"/>
          <w:numId w:val="1"/>
        </w:numPr>
        <w:spacing w:after="0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zainstalowane minimum 512GB pamięci operacyjnej RAM w jednakowych kościach obsadzonych równomiernie na wszystkie kanały oferowanych kontrolerów pamięci RAM; moduły pamięci klasy serwerowej RDIMM (</w:t>
      </w:r>
      <w:proofErr w:type="spellStart"/>
      <w:r>
        <w:rPr>
          <w:sz w:val="24"/>
          <w:szCs w:val="24"/>
        </w:rPr>
        <w:t>RegDIMM</w:t>
      </w:r>
      <w:proofErr w:type="spellEnd"/>
      <w:r>
        <w:rPr>
          <w:sz w:val="24"/>
          <w:szCs w:val="24"/>
        </w:rPr>
        <w:t xml:space="preserve">) z systemem kodowania korekcyjnego ECC, w pełni kompatybilne z oferowanym modelem procesora. </w:t>
      </w:r>
    </w:p>
    <w:p w:rsidR="001B337B" w:rsidRDefault="00573C20">
      <w:pPr>
        <w:numPr>
          <w:ilvl w:val="0"/>
          <w:numId w:val="1"/>
        </w:numPr>
        <w:spacing w:after="0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zainstalowany dysk formatu M.2 z interfejsem </w:t>
      </w:r>
      <w:proofErr w:type="spellStart"/>
      <w:r>
        <w:rPr>
          <w:sz w:val="24"/>
          <w:szCs w:val="24"/>
        </w:rPr>
        <w:t>NVMe</w:t>
      </w:r>
      <w:proofErr w:type="spellEnd"/>
      <w:r>
        <w:rPr>
          <w:sz w:val="24"/>
          <w:szCs w:val="24"/>
        </w:rPr>
        <w:t xml:space="preserve"> Gen4. o pojemności min. 1 TB z przeznaczeniem na system operacyjny. </w:t>
      </w:r>
    </w:p>
    <w:p w:rsidR="001B337B" w:rsidRDefault="00573C20">
      <w:pPr>
        <w:spacing w:after="0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Minimalne parametry wydajnościowe: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Odczyt sekwencyjny: 6800 MB/s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Zapis sekwencyjny: 4000 MB/s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Losowy odczyt: 1 mln. IOPS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Losowy zapis: 180 tyś. IOPS</w:t>
      </w:r>
    </w:p>
    <w:p w:rsidR="001B337B" w:rsidRDefault="00573C20">
      <w:pPr>
        <w:numPr>
          <w:ilvl w:val="0"/>
          <w:numId w:val="1"/>
        </w:numPr>
        <w:spacing w:after="0"/>
        <w:ind w:left="284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zainstalowane dwa dyski formatu U.2 2,5” z interfejsem </w:t>
      </w:r>
      <w:proofErr w:type="spellStart"/>
      <w:r>
        <w:rPr>
          <w:sz w:val="24"/>
          <w:szCs w:val="24"/>
        </w:rPr>
        <w:t>NVMe</w:t>
      </w:r>
      <w:proofErr w:type="spellEnd"/>
      <w:r>
        <w:rPr>
          <w:sz w:val="24"/>
          <w:szCs w:val="24"/>
        </w:rPr>
        <w:t xml:space="preserve"> Gen4. O pojemności min. 3.84 TB każdy oraz wytrzymałości min. 1 DWPD na 5 lat.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Minimalne parametry wydajnościowe każdego dysku: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Odczyt sekwencyjny: 6800 MB/s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Zapis sekwencyjny: 4000 MB/s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Losowy odczyt: 1 mln. IOPS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Losowy zapis: 180 tyś. IOPS</w:t>
      </w:r>
    </w:p>
    <w:p w:rsidR="001B337B" w:rsidRDefault="00573C20">
      <w:pPr>
        <w:numPr>
          <w:ilvl w:val="0"/>
          <w:numId w:val="1"/>
        </w:numPr>
        <w:spacing w:after="0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zainstalowany sprzętowy kontroler RAID z min. 1GB własnej pamięci cache, umożliwiający utworzenie RAID: JBOD, 0, 1, 10, 5, 50, 6, 60. Pozwalający na podłączenia min. 8 dysków SAS 12Gb/s lub SATA 6Gb/s w kieszeniach hot-</w:t>
      </w:r>
      <w:proofErr w:type="spellStart"/>
      <w:r>
        <w:rPr>
          <w:sz w:val="24"/>
          <w:szCs w:val="24"/>
        </w:rPr>
        <w:t>swap</w:t>
      </w:r>
      <w:proofErr w:type="spellEnd"/>
      <w:r>
        <w:rPr>
          <w:sz w:val="24"/>
          <w:szCs w:val="24"/>
        </w:rPr>
        <w:t xml:space="preserve"> 3,5” oferowanej obudowy wraz z czteroma dyskami twardymi klasy Enterprise, przeznaczonymi przez producenta do pracy w reżimie 24/7, każdy o parametrach min.:</w:t>
      </w:r>
    </w:p>
    <w:p w:rsidR="001B337B" w:rsidRDefault="00573C20">
      <w:pPr>
        <w:spacing w:after="0"/>
        <w:ind w:left="282" w:firstLine="1"/>
        <w:jc w:val="both"/>
        <w:rPr>
          <w:sz w:val="24"/>
          <w:szCs w:val="24"/>
        </w:rPr>
      </w:pPr>
      <w:r>
        <w:rPr>
          <w:sz w:val="24"/>
          <w:szCs w:val="24"/>
        </w:rPr>
        <w:t>- pojemność min. 12TB</w:t>
      </w:r>
    </w:p>
    <w:p w:rsidR="001B337B" w:rsidRDefault="00573C20">
      <w:pPr>
        <w:spacing w:after="0"/>
        <w:ind w:left="282" w:firstLine="1"/>
        <w:jc w:val="both"/>
        <w:rPr>
          <w:sz w:val="24"/>
          <w:szCs w:val="24"/>
        </w:rPr>
      </w:pPr>
      <w:r>
        <w:rPr>
          <w:sz w:val="24"/>
          <w:szCs w:val="24"/>
        </w:rPr>
        <w:t>- interfejs SAS 12GB/s,</w:t>
      </w:r>
    </w:p>
    <w:p w:rsidR="001B337B" w:rsidRDefault="00573C20">
      <w:pPr>
        <w:spacing w:after="0"/>
        <w:ind w:left="282" w:firstLine="1"/>
        <w:jc w:val="both"/>
        <w:rPr>
          <w:sz w:val="24"/>
          <w:szCs w:val="24"/>
        </w:rPr>
      </w:pPr>
      <w:r>
        <w:rPr>
          <w:sz w:val="24"/>
          <w:szCs w:val="24"/>
        </w:rPr>
        <w:t>- średni czas do wystąpienia awarii: 2 500 000 godzin</w:t>
      </w:r>
    </w:p>
    <w:p w:rsidR="001B337B" w:rsidRDefault="00573C20">
      <w:pPr>
        <w:spacing w:after="0"/>
        <w:ind w:left="282" w:firstLine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 nie dopuszcza zaoferowania dysków talerzowych wykorzystujących system zachodzących ścieżek na talerzach magnetycznych (SMR)</w:t>
      </w:r>
    </w:p>
    <w:p w:rsidR="001B337B" w:rsidRDefault="00573C20">
      <w:pPr>
        <w:numPr>
          <w:ilvl w:val="0"/>
          <w:numId w:val="1"/>
        </w:numPr>
        <w:spacing w:after="0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zainstalowane dwie identyczne karty graficzne połączone ze sobą dedykowanym złączem o przepustowości dwukierunkowej min. 112 GB/s, każda o parametrach minimalnych:</w:t>
      </w:r>
    </w:p>
    <w:p w:rsidR="001B337B" w:rsidRDefault="00573C20">
      <w:pPr>
        <w:spacing w:after="0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pamięć wewnętrzna karty min. 48GB z korekcją błędów ECC - interfejs </w:t>
      </w:r>
      <w:proofErr w:type="spellStart"/>
      <w:r>
        <w:rPr>
          <w:sz w:val="24"/>
          <w:szCs w:val="24"/>
        </w:rPr>
        <w:t>Pcie</w:t>
      </w:r>
      <w:proofErr w:type="spellEnd"/>
      <w:r>
        <w:rPr>
          <w:sz w:val="24"/>
          <w:szCs w:val="24"/>
        </w:rPr>
        <w:t xml:space="preserve"> Gen4.,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wsparcie dla sprzętowej wirtualizacji GPU,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co najmniej 336 rdzeni tensor,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szczytowa wydajność FP32 co najmniej 38,7 TFLOPS,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- aktywne chłodzenie 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każda karta zajmująca nie więcej niż 2 </w:t>
      </w:r>
      <w:proofErr w:type="spellStart"/>
      <w:r>
        <w:rPr>
          <w:sz w:val="24"/>
          <w:szCs w:val="24"/>
        </w:rPr>
        <w:t>sloty</w:t>
      </w:r>
      <w:proofErr w:type="spellEnd"/>
      <w:r>
        <w:rPr>
          <w:sz w:val="24"/>
          <w:szCs w:val="24"/>
        </w:rPr>
        <w:t>,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 wyjścia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min. 1.4a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pobór prądu do 300W, 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wsparcie dla technologii: DirectX min.12, </w:t>
      </w:r>
      <w:proofErr w:type="spellStart"/>
      <w:r>
        <w:rPr>
          <w:sz w:val="24"/>
          <w:szCs w:val="24"/>
        </w:rPr>
        <w:t>Shader</w:t>
      </w:r>
      <w:proofErr w:type="spellEnd"/>
      <w:r>
        <w:rPr>
          <w:sz w:val="24"/>
          <w:szCs w:val="24"/>
        </w:rPr>
        <w:t xml:space="preserve"> Model min. 5, </w:t>
      </w:r>
      <w:proofErr w:type="spellStart"/>
      <w:r>
        <w:rPr>
          <w:sz w:val="24"/>
          <w:szCs w:val="24"/>
        </w:rPr>
        <w:t>OpenGL</w:t>
      </w:r>
      <w:proofErr w:type="spellEnd"/>
      <w:r>
        <w:rPr>
          <w:sz w:val="24"/>
          <w:szCs w:val="24"/>
        </w:rPr>
        <w:t xml:space="preserve"> min. 4.6, </w:t>
      </w:r>
      <w:proofErr w:type="spellStart"/>
      <w:r>
        <w:rPr>
          <w:sz w:val="24"/>
          <w:szCs w:val="24"/>
        </w:rPr>
        <w:t>Vulkan</w:t>
      </w:r>
      <w:proofErr w:type="spellEnd"/>
      <w:r>
        <w:rPr>
          <w:sz w:val="24"/>
          <w:szCs w:val="24"/>
        </w:rPr>
        <w:t xml:space="preserve"> min. 1.1, </w:t>
      </w:r>
    </w:p>
    <w:p w:rsidR="001B337B" w:rsidRDefault="00573C20">
      <w:pPr>
        <w:numPr>
          <w:ilvl w:val="0"/>
          <w:numId w:val="1"/>
        </w:numPr>
        <w:spacing w:after="0"/>
        <w:ind w:left="281" w:hanging="283"/>
        <w:jc w:val="both"/>
        <w:rPr>
          <w:sz w:val="24"/>
          <w:szCs w:val="24"/>
        </w:rPr>
      </w:pPr>
      <w:r>
        <w:rPr>
          <w:sz w:val="24"/>
          <w:szCs w:val="24"/>
        </w:rPr>
        <w:t>zainstalowana płyta główna, kompatybilna z pozostałymi oferowanymi elementami posiadająca minimalnie: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- 14 portów SATA 6Gb/s</w:t>
      </w:r>
    </w:p>
    <w:p w:rsidR="001B337B" w:rsidRDefault="00573C20">
      <w:pPr>
        <w:spacing w:after="0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 slotów </w:t>
      </w:r>
      <w:proofErr w:type="spellStart"/>
      <w:r>
        <w:rPr>
          <w:sz w:val="24"/>
          <w:szCs w:val="24"/>
        </w:rPr>
        <w:t>Pcie</w:t>
      </w:r>
      <w:proofErr w:type="spellEnd"/>
      <w:r>
        <w:rPr>
          <w:sz w:val="24"/>
          <w:szCs w:val="24"/>
        </w:rPr>
        <w:t xml:space="preserve"> rozmiaru i przepustowości x16 Gen4,</w:t>
      </w:r>
    </w:p>
    <w:p w:rsidR="001B337B" w:rsidRDefault="00573C20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 </w:t>
      </w:r>
      <w:proofErr w:type="spellStart"/>
      <w:r>
        <w:rPr>
          <w:sz w:val="24"/>
          <w:szCs w:val="24"/>
        </w:rPr>
        <w:t>sloty</w:t>
      </w:r>
      <w:proofErr w:type="spellEnd"/>
      <w:r>
        <w:rPr>
          <w:sz w:val="24"/>
          <w:szCs w:val="24"/>
        </w:rPr>
        <w:t xml:space="preserve"> na dyski M.2 </w:t>
      </w:r>
      <w:proofErr w:type="spellStart"/>
      <w:r>
        <w:rPr>
          <w:sz w:val="24"/>
          <w:szCs w:val="24"/>
        </w:rPr>
        <w:t>NVMe</w:t>
      </w:r>
      <w:proofErr w:type="spellEnd"/>
      <w:r>
        <w:rPr>
          <w:sz w:val="24"/>
          <w:szCs w:val="24"/>
        </w:rPr>
        <w:t xml:space="preserve"> Gen4. Pozwalające na instalację dysków rozmiaru do 22110</w:t>
      </w:r>
    </w:p>
    <w:p w:rsidR="001B337B" w:rsidRDefault="00573C20">
      <w:pPr>
        <w:numPr>
          <w:ilvl w:val="0"/>
          <w:numId w:val="1"/>
        </w:numPr>
        <w:spacing w:after="0"/>
        <w:ind w:left="284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zainstalowane i aktywne, niezajmujące dostępnych slotów rozszerzeń </w:t>
      </w:r>
      <w:proofErr w:type="spellStart"/>
      <w:r>
        <w:rPr>
          <w:sz w:val="24"/>
          <w:szCs w:val="24"/>
        </w:rPr>
        <w:t>Pcie</w:t>
      </w:r>
      <w:proofErr w:type="spellEnd"/>
      <w:r>
        <w:rPr>
          <w:sz w:val="24"/>
          <w:szCs w:val="24"/>
        </w:rPr>
        <w:t>, min.:</w:t>
      </w:r>
      <w:r>
        <w:rPr>
          <w:sz w:val="24"/>
          <w:szCs w:val="24"/>
        </w:rPr>
        <w:br/>
        <w:t xml:space="preserve">- dwa porty o szybkości 10GbE RJ-45, kompatybilne z 5GbE, 2.5GbE, 1GbE oraz100MbE; wsparcie dla: </w:t>
      </w:r>
      <w:proofErr w:type="spellStart"/>
      <w:r>
        <w:rPr>
          <w:sz w:val="24"/>
          <w:szCs w:val="24"/>
        </w:rPr>
        <w:t>QoS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Flexible</w:t>
      </w:r>
      <w:proofErr w:type="spellEnd"/>
      <w:r>
        <w:rPr>
          <w:sz w:val="24"/>
          <w:szCs w:val="24"/>
        </w:rPr>
        <w:t xml:space="preserve"> Port </w:t>
      </w:r>
      <w:proofErr w:type="spellStart"/>
      <w:r>
        <w:rPr>
          <w:sz w:val="24"/>
          <w:szCs w:val="24"/>
        </w:rPr>
        <w:t>Partitioning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VMDq</w:t>
      </w:r>
      <w:proofErr w:type="spellEnd"/>
      <w:r>
        <w:rPr>
          <w:sz w:val="24"/>
          <w:szCs w:val="24"/>
        </w:rPr>
        <w:t>, SR-IOV</w:t>
      </w:r>
    </w:p>
    <w:p w:rsidR="001B337B" w:rsidRDefault="00573C20">
      <w:pPr>
        <w:spacing w:after="0"/>
        <w:ind w:left="282" w:firstLine="1"/>
        <w:jc w:val="both"/>
        <w:rPr>
          <w:sz w:val="24"/>
          <w:szCs w:val="24"/>
        </w:rPr>
      </w:pPr>
      <w:r>
        <w:rPr>
          <w:sz w:val="24"/>
          <w:szCs w:val="24"/>
        </w:rPr>
        <w:t>- dwa porty 1GbE RJ-45</w:t>
      </w:r>
    </w:p>
    <w:p w:rsidR="001B337B" w:rsidRDefault="00573C20">
      <w:pPr>
        <w:numPr>
          <w:ilvl w:val="0"/>
          <w:numId w:val="1"/>
        </w:numPr>
        <w:spacing w:after="0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wbudowany niezależny od systemu operacyjnego moduł zarządzania zdalnego wraz z dedykowanym interfejsem sieciowym min. 1Gb/s RJ-45 (niewspółdzielony z pozostałymi interfejsami sieciowymi), pozwalający na monitorowanie parametrów pracy serwera ze wsparciem dla co najmniej: IPMI, SNMP, KVM oraz udostępniający interfejs </w:t>
      </w:r>
      <w:proofErr w:type="spellStart"/>
      <w:r>
        <w:rPr>
          <w:sz w:val="24"/>
          <w:szCs w:val="24"/>
        </w:rPr>
        <w:t>WebUI</w:t>
      </w:r>
      <w:proofErr w:type="spellEnd"/>
    </w:p>
    <w:p w:rsidR="001B337B" w:rsidRDefault="00573C20">
      <w:pPr>
        <w:numPr>
          <w:ilvl w:val="0"/>
          <w:numId w:val="1"/>
        </w:numPr>
        <w:spacing w:after="0"/>
        <w:ind w:left="284" w:hanging="425"/>
        <w:jc w:val="both"/>
        <w:rPr>
          <w:sz w:val="24"/>
          <w:szCs w:val="24"/>
        </w:rPr>
      </w:pPr>
      <w:r>
        <w:rPr>
          <w:sz w:val="24"/>
          <w:szCs w:val="24"/>
        </w:rPr>
        <w:t>zainstalowane min. dwa zasilacze redundantne hot-</w:t>
      </w:r>
      <w:proofErr w:type="spellStart"/>
      <w:r>
        <w:rPr>
          <w:sz w:val="24"/>
          <w:szCs w:val="24"/>
        </w:rPr>
        <w:t>swap</w:t>
      </w:r>
      <w:proofErr w:type="spellEnd"/>
      <w:r>
        <w:rPr>
          <w:sz w:val="24"/>
          <w:szCs w:val="24"/>
        </w:rPr>
        <w:t xml:space="preserve"> o mocy min. 2000W klasy 80 Plus Platinum  dostarczone wraz z wolnostojącym zasilaczem awaryjnym, z możliwością instalacji w szafie RACK 19” zajmujący nie więcej niż 2U (w komplecie wraz z niezbędnymi akcesoriami instalacyjnymi), o mocy min. 3000VA (2700W), współczynniku mocy </w:t>
      </w:r>
      <w:r>
        <w:rPr>
          <w:sz w:val="24"/>
          <w:szCs w:val="24"/>
        </w:rPr>
        <w:lastRenderedPageBreak/>
        <w:t xml:space="preserve">wyjściowej 0.9, regulacja woltażu (w trybie bateryjnym) +/-5%, złącze wejściowe IEC C20, złącza wyjścia: min 8 szt. IEC C13 i 1szt. IEC C19. </w:t>
      </w:r>
    </w:p>
    <w:p w:rsidR="001B337B" w:rsidRDefault="00573C20">
      <w:pPr>
        <w:numPr>
          <w:ilvl w:val="0"/>
          <w:numId w:val="1"/>
        </w:numPr>
        <w:spacing w:after="0"/>
        <w:ind w:left="28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Zasilacz awaryjny, z zainstalowanymi bateriami, o efektywności min. 98% w trybie zasilania z sieci, możliwość pracy w trybie ECO, szybkość przełączania między trybami pracy maksymalnie do 10ms, złącza dodatkowe: RJ-11, RJ-45, RS-232, USB. Wydajność bateryjna zasilacza awaryjnego min. 3 minuty podtrzymania pod pełnym obciążeniem, min. 7 minut podtrzymania przy połowicznym obciążeniu, czas ładowania do baterii do 90% maksymalnie 4h, możliwość podłączenia dodatkowych zestawów baterii. </w:t>
      </w:r>
    </w:p>
    <w:p w:rsidR="001B337B" w:rsidRDefault="00573C20">
      <w:pPr>
        <w:numPr>
          <w:ilvl w:val="0"/>
          <w:numId w:val="1"/>
        </w:numPr>
        <w:spacing w:after="0"/>
        <w:ind w:left="284" w:hanging="425"/>
        <w:jc w:val="both"/>
        <w:rPr>
          <w:sz w:val="24"/>
          <w:szCs w:val="24"/>
        </w:rPr>
      </w:pPr>
      <w:r>
        <w:rPr>
          <w:sz w:val="24"/>
          <w:szCs w:val="24"/>
        </w:rPr>
        <w:t>obudowa wolnostojąca typu Tower z możliwością instalacji w szafie RACK 19” wraz z kompletem szyn montażowych, posiadająca min. 8 zatok na dyski 3,5” typu hot-</w:t>
      </w:r>
      <w:proofErr w:type="spellStart"/>
      <w:r>
        <w:rPr>
          <w:sz w:val="24"/>
          <w:szCs w:val="24"/>
        </w:rPr>
        <w:t>swap</w:t>
      </w:r>
      <w:proofErr w:type="spellEnd"/>
      <w:r>
        <w:rPr>
          <w:sz w:val="24"/>
          <w:szCs w:val="24"/>
        </w:rPr>
        <w:t xml:space="preserve"> na dyski SAS 12Gb/s i SATA 6Gb/s, z możliwością rozbudowy o kolejne 4 zatoki, front obudowy zabezpieczony przed nieuprawnionym dostępem co najmniej drzwiczkami zamykanymi na klucz. Obudowa musi być przystosowana do instalacji co najmniej czterech </w:t>
      </w:r>
      <w:proofErr w:type="spellStart"/>
      <w:r>
        <w:rPr>
          <w:sz w:val="24"/>
          <w:szCs w:val="24"/>
        </w:rPr>
        <w:t>dwuslotowych</w:t>
      </w:r>
      <w:proofErr w:type="spellEnd"/>
      <w:r>
        <w:rPr>
          <w:sz w:val="24"/>
          <w:szCs w:val="24"/>
        </w:rPr>
        <w:t xml:space="preserve"> wysokowydajnych kart GPU, również chłodzonych pasywnie (musi zawierać odpowiednie wysokowydajne wentylatory wewnątrz obudowy oraz zestaw wentylatorów na sekcję kart wyciągających powietrze przez karty). </w:t>
      </w:r>
    </w:p>
    <w:p w:rsidR="001B337B" w:rsidRDefault="00573C20">
      <w:pPr>
        <w:numPr>
          <w:ilvl w:val="0"/>
          <w:numId w:val="1"/>
        </w:numPr>
        <w:spacing w:after="0"/>
        <w:ind w:left="284" w:hanging="425"/>
        <w:jc w:val="both"/>
        <w:rPr>
          <w:sz w:val="24"/>
          <w:szCs w:val="24"/>
        </w:rPr>
      </w:pPr>
      <w:r>
        <w:rPr>
          <w:sz w:val="24"/>
          <w:szCs w:val="24"/>
        </w:rPr>
        <w:t>zainstalowany moduł TPM w wersji min. 2.0</w:t>
      </w:r>
    </w:p>
    <w:p w:rsidR="001B337B" w:rsidRDefault="00573C20">
      <w:pPr>
        <w:numPr>
          <w:ilvl w:val="0"/>
          <w:numId w:val="1"/>
        </w:numPr>
        <w:spacing w:after="0"/>
        <w:ind w:left="28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serwer obliczeniowy zgodny z systemami operacyjnymi co najmniej: Red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Enterprise Linux i </w:t>
      </w:r>
      <w:proofErr w:type="spellStart"/>
      <w:r>
        <w:rPr>
          <w:sz w:val="24"/>
          <w:szCs w:val="24"/>
        </w:rPr>
        <w:t>Ubuntu</w:t>
      </w:r>
      <w:proofErr w:type="spellEnd"/>
      <w:r>
        <w:rPr>
          <w:sz w:val="24"/>
          <w:szCs w:val="24"/>
        </w:rPr>
        <w:t xml:space="preserve"> Server w najnowszych dostępnych wersjach oraz Windows Server w wersji co najmniej 2019.</w:t>
      </w:r>
    </w:p>
    <w:p w:rsidR="001B337B" w:rsidRDefault="00573C20">
      <w:pPr>
        <w:numPr>
          <w:ilvl w:val="0"/>
          <w:numId w:val="1"/>
        </w:numPr>
        <w:spacing w:after="0"/>
        <w:ind w:left="284" w:hanging="425"/>
        <w:jc w:val="both"/>
        <w:rPr>
          <w:sz w:val="24"/>
          <w:szCs w:val="24"/>
        </w:rPr>
      </w:pPr>
      <w:r>
        <w:rPr>
          <w:sz w:val="24"/>
          <w:szCs w:val="24"/>
        </w:rPr>
        <w:t>minimalnie 24 miesięcy gwarancji producenta z czasem reakcji najpóźniej w następnym dniu roboczym.</w:t>
      </w:r>
    </w:p>
    <w:sectPr w:rsidR="001B337B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46" w:rsidRDefault="00573C20">
      <w:pPr>
        <w:spacing w:after="0" w:line="240" w:lineRule="auto"/>
      </w:pPr>
      <w:r>
        <w:separator/>
      </w:r>
    </w:p>
  </w:endnote>
  <w:endnote w:type="continuationSeparator" w:id="0">
    <w:p w:rsidR="005C1A46" w:rsidRDefault="005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7B" w:rsidRDefault="00573C20">
    <w:pPr>
      <w:widowControl w:val="0"/>
      <w:spacing w:after="0" w:line="240" w:lineRule="auto"/>
      <w:ind w:left="11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color w:val="231F20"/>
        <w:sz w:val="14"/>
        <w:szCs w:val="14"/>
      </w:rPr>
      <w:t xml:space="preserve">Politechnika Lubelska, ul. Nadbystrzycka 38D, 20-618 Lublin, </w:t>
    </w:r>
    <w:hyperlink r:id="rId1">
      <w:r>
        <w:rPr>
          <w:rFonts w:ascii="Arial" w:eastAsia="Arial" w:hAnsi="Arial" w:cs="Arial"/>
          <w:color w:val="231F20"/>
          <w:sz w:val="14"/>
          <w:szCs w:val="14"/>
        </w:rPr>
        <w:t>www.pollub.pl</w:t>
      </w:r>
    </w:hyperlink>
  </w:p>
  <w:p w:rsidR="001B337B" w:rsidRDefault="00573C20">
    <w:pPr>
      <w:widowControl w:val="0"/>
      <w:spacing w:before="19" w:after="0" w:line="240" w:lineRule="auto"/>
      <w:ind w:left="110"/>
      <w:rPr>
        <w:rFonts w:ascii="Arial" w:eastAsia="Arial" w:hAnsi="Arial" w:cs="Arial"/>
        <w:color w:val="231F20"/>
        <w:sz w:val="14"/>
        <w:szCs w:val="14"/>
      </w:rPr>
    </w:pPr>
    <w:r>
      <w:rPr>
        <w:rFonts w:ascii="Arial" w:eastAsia="Arial" w:hAnsi="Arial" w:cs="Arial"/>
        <w:color w:val="231F20"/>
        <w:sz w:val="14"/>
        <w:szCs w:val="14"/>
      </w:rPr>
      <w:t xml:space="preserve">tel.: +48 (81) 538 41 03, e-mail: </w:t>
    </w:r>
    <w:hyperlink r:id="rId2">
      <w:r>
        <w:rPr>
          <w:rFonts w:ascii="Arial" w:eastAsia="Arial" w:hAnsi="Arial" w:cs="Arial"/>
          <w:color w:val="0000FF"/>
          <w:sz w:val="14"/>
          <w:szCs w:val="14"/>
          <w:u w:val="single"/>
        </w:rPr>
        <w:t>bzp@pollub.pl</w:t>
      </w:r>
    </w:hyperlink>
  </w:p>
  <w:p w:rsidR="001B337B" w:rsidRDefault="00573C20">
    <w:pPr>
      <w:widowControl w:val="0"/>
      <w:spacing w:before="19" w:after="0" w:line="240" w:lineRule="auto"/>
      <w:ind w:left="110"/>
      <w:rPr>
        <w:rFonts w:ascii="Arial" w:eastAsia="Arial" w:hAnsi="Arial" w:cs="Arial"/>
        <w:color w:val="231F20"/>
        <w:sz w:val="14"/>
        <w:szCs w:val="14"/>
      </w:rPr>
    </w:pPr>
    <w:r>
      <w:rPr>
        <w:rFonts w:ascii="Arial" w:eastAsia="Arial" w:hAnsi="Arial" w:cs="Arial"/>
        <w:color w:val="231F20"/>
        <w:sz w:val="14"/>
        <w:szCs w:val="14"/>
      </w:rPr>
      <w:t>NIP: 71201004651, REGON: 000001726</w:t>
    </w:r>
  </w:p>
  <w:p w:rsidR="001B337B" w:rsidRDefault="00573C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301A0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301A0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</w:p>
  <w:p w:rsidR="001B337B" w:rsidRDefault="001B33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46" w:rsidRDefault="00573C20">
      <w:pPr>
        <w:spacing w:after="0" w:line="240" w:lineRule="auto"/>
      </w:pPr>
      <w:r>
        <w:separator/>
      </w:r>
    </w:p>
  </w:footnote>
  <w:footnote w:type="continuationSeparator" w:id="0">
    <w:p w:rsidR="005C1A46" w:rsidRDefault="005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7B" w:rsidRDefault="001B337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tbl>
    <w:tblPr>
      <w:tblStyle w:val="a"/>
      <w:tblW w:w="10530" w:type="dxa"/>
      <w:tblInd w:w="-607" w:type="dxa"/>
      <w:tblLayout w:type="fixed"/>
      <w:tblLook w:val="0000" w:firstRow="0" w:lastRow="0" w:firstColumn="0" w:lastColumn="0" w:noHBand="0" w:noVBand="0"/>
    </w:tblPr>
    <w:tblGrid>
      <w:gridCol w:w="1762"/>
      <w:gridCol w:w="8768"/>
    </w:tblGrid>
    <w:tr w:rsidR="001B337B">
      <w:trPr>
        <w:trHeight w:val="432"/>
      </w:trPr>
      <w:tc>
        <w:tcPr>
          <w:tcW w:w="1762" w:type="dxa"/>
          <w:vAlign w:val="center"/>
        </w:tcPr>
        <w:p w:rsidR="001B337B" w:rsidRDefault="00573C20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284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  <w:p w:rsidR="001B337B" w:rsidRDefault="00573C20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284"/>
            <w:rPr>
              <w:rFonts w:ascii="Arial" w:eastAsia="Arial" w:hAnsi="Arial" w:cs="Arial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774700</wp:posOffset>
                    </wp:positionH>
                    <wp:positionV relativeFrom="paragraph">
                      <wp:posOffset>76200</wp:posOffset>
                    </wp:positionV>
                    <wp:extent cx="899795" cy="235585"/>
                    <wp:effectExtent l="0" t="0" r="0" b="0"/>
                    <wp:wrapNone/>
                    <wp:docPr id="6" name="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99795" cy="235585"/>
                              <a:chOff x="4896103" y="3662208"/>
                              <a:chExt cx="899795" cy="235585"/>
                            </a:xfrm>
                          </wpg:grpSpPr>
                          <wpg:grpSp>
                            <wpg:cNvPr id="1" name="Grupa 1"/>
                            <wpg:cNvGrpSpPr/>
                            <wpg:grpSpPr>
                              <a:xfrm>
                                <a:off x="4896103" y="3662208"/>
                                <a:ext cx="899795" cy="235585"/>
                                <a:chOff x="2646" y="131"/>
                                <a:chExt cx="1417" cy="371"/>
                              </a:xfrm>
                            </wpg:grpSpPr>
                            <wps:wsp>
                              <wps:cNvPr id="2" name="Prostokąt 2"/>
                              <wps:cNvSpPr/>
                              <wps:spPr>
                                <a:xfrm>
                                  <a:off x="2646" y="131"/>
                                  <a:ext cx="140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337B" w:rsidRDefault="001B337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Shape 5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646" y="131"/>
                                  <a:ext cx="240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Shape 6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920" y="131"/>
                                  <a:ext cx="519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Shape 7"/>
                                <pic:cNvPicPr preferRelativeResize="0"/>
                              </pic:nvPicPr>
                              <pic:blipFill rotWithShape="1">
                                <a:blip r:embed="rId3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471" y="134"/>
                                  <a:ext cx="108" cy="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Shape 8"/>
                                <pic:cNvPicPr preferRelativeResize="0"/>
                              </pic:nvPicPr>
                              <pic:blipFill rotWithShape="1">
                                <a:blip r:embed="rId4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618" y="134"/>
                                  <a:ext cx="108" cy="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" name="Prostokąt 4"/>
                              <wps:cNvSpPr/>
                              <wps:spPr>
                                <a:xfrm>
                                  <a:off x="3764" y="134"/>
                                  <a:ext cx="19" cy="1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337B" w:rsidRDefault="001B337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821" y="134"/>
                                  <a:ext cx="242" cy="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Shape 11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646" y="352"/>
                                  <a:ext cx="221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Shape 12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903" y="352"/>
                                  <a:ext cx="107" cy="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Dowolny kształt 9"/>
                              <wps:cNvSpPr/>
                              <wps:spPr>
                                <a:xfrm>
                                  <a:off x="3040" y="352"/>
                                  <a:ext cx="92" cy="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" h="147" extrusionOk="0">
                                      <a:moveTo>
                                        <a:pt x="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91" y="146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18" y="130"/>
                                      </a:lnTo>
                                      <a:lnTo>
                                        <a:pt x="18" y="80"/>
                                      </a:lnTo>
                                      <a:lnTo>
                                        <a:pt x="81" y="80"/>
                                      </a:lnTo>
                                      <a:lnTo>
                                        <a:pt x="81" y="64"/>
                                      </a:lnTo>
                                      <a:lnTo>
                                        <a:pt x="18" y="64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91" y="16"/>
                                      </a:lnTo>
                                      <a:lnTo>
                                        <a:pt x="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Shape 14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162" y="349"/>
                                  <a:ext cx="216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Shape 15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410" y="352"/>
                                  <a:ext cx="242" cy="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wg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774700</wp:posOffset>
                    </wp:positionH>
                    <wp:positionV relativeFrom="paragraph">
                      <wp:posOffset>76200</wp:posOffset>
                    </wp:positionV>
                    <wp:extent cx="899795" cy="235585"/>
                    <wp:effectExtent b="0" l="0" r="0" t="0"/>
                    <wp:wrapNone/>
                    <wp:docPr id="6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99795" cy="23558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hidden="0" allowOverlap="1">
                    <wp:simplePos x="0" y="0"/>
                    <wp:positionH relativeFrom="column">
                      <wp:posOffset>-355599</wp:posOffset>
                    </wp:positionH>
                    <wp:positionV relativeFrom="paragraph">
                      <wp:posOffset>63500</wp:posOffset>
                    </wp:positionV>
                    <wp:extent cx="491490" cy="544830"/>
                    <wp:effectExtent l="0" t="0" r="0" b="0"/>
                    <wp:wrapNone/>
                    <wp:docPr id="7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05018" y="3512348"/>
                              <a:ext cx="481965" cy="535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9" h="843" extrusionOk="0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-355599</wp:posOffset>
                    </wp:positionH>
                    <wp:positionV relativeFrom="paragraph">
                      <wp:posOffset>63500</wp:posOffset>
                    </wp:positionV>
                    <wp:extent cx="491490" cy="544830"/>
                    <wp:effectExtent b="0" l="0" r="0" t="0"/>
                    <wp:wrapNone/>
                    <wp:docPr id="7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1490" cy="54483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hidden="0" allowOverlap="1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63500</wp:posOffset>
                    </wp:positionV>
                    <wp:extent cx="491490" cy="544830"/>
                    <wp:effectExtent l="0" t="0" r="0" b="0"/>
                    <wp:wrapNone/>
                    <wp:docPr id="5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05018" y="3512348"/>
                              <a:ext cx="481965" cy="535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9" h="843" extrusionOk="0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63500</wp:posOffset>
                    </wp:positionV>
                    <wp:extent cx="491490" cy="544830"/>
                    <wp:effectExtent b="0" l="0" r="0" t="0"/>
                    <wp:wrapNone/>
                    <wp:docPr id="5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1490" cy="54483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1B337B" w:rsidRDefault="001B337B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284"/>
            <w:rPr>
              <w:rFonts w:ascii="Arial" w:eastAsia="Arial" w:hAnsi="Arial" w:cs="Arial"/>
            </w:rPr>
          </w:pPr>
        </w:p>
        <w:p w:rsidR="001B337B" w:rsidRDefault="001B337B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284"/>
            <w:rPr>
              <w:rFonts w:ascii="Arial" w:eastAsia="Arial" w:hAnsi="Arial" w:cs="Arial"/>
            </w:rPr>
          </w:pPr>
        </w:p>
        <w:p w:rsidR="001B337B" w:rsidRDefault="001B337B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284"/>
            <w:rPr>
              <w:rFonts w:ascii="Arial" w:eastAsia="Arial" w:hAnsi="Arial" w:cs="Arial"/>
            </w:rPr>
          </w:pPr>
        </w:p>
        <w:p w:rsidR="001B337B" w:rsidRDefault="001B337B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284"/>
            <w:rPr>
              <w:rFonts w:ascii="Arial" w:eastAsia="Arial" w:hAnsi="Arial" w:cs="Arial"/>
            </w:rPr>
          </w:pPr>
        </w:p>
        <w:p w:rsidR="001B337B" w:rsidRDefault="001B337B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284"/>
            <w:rPr>
              <w:rFonts w:ascii="Arial" w:eastAsia="Arial" w:hAnsi="Arial" w:cs="Arial"/>
            </w:rPr>
          </w:pPr>
        </w:p>
        <w:p w:rsidR="001B337B" w:rsidRDefault="001B337B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284"/>
            <w:rPr>
              <w:rFonts w:ascii="Arial" w:eastAsia="Arial" w:hAnsi="Arial" w:cs="Arial"/>
            </w:rPr>
          </w:pPr>
        </w:p>
        <w:p w:rsidR="001B337B" w:rsidRDefault="001B337B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284"/>
            <w:rPr>
              <w:rFonts w:ascii="Arial" w:eastAsia="Arial" w:hAnsi="Arial" w:cs="Arial"/>
            </w:rPr>
          </w:pPr>
        </w:p>
      </w:tc>
      <w:tc>
        <w:tcPr>
          <w:tcW w:w="8768" w:type="dxa"/>
          <w:vAlign w:val="center"/>
        </w:tcPr>
        <w:p w:rsidR="001B337B" w:rsidRDefault="00573C20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ind w:left="-284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</w:t>
          </w:r>
        </w:p>
      </w:tc>
    </w:tr>
  </w:tbl>
  <w:p w:rsidR="001B337B" w:rsidRDefault="001B33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1B337B" w:rsidRDefault="001B33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1B337B" w:rsidRDefault="001B33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04C0"/>
    <w:multiLevelType w:val="multilevel"/>
    <w:tmpl w:val="F808F46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DA76BA"/>
    <w:multiLevelType w:val="multilevel"/>
    <w:tmpl w:val="2418FD4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07B6A15"/>
    <w:multiLevelType w:val="multilevel"/>
    <w:tmpl w:val="FE42EA3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46527AB4"/>
    <w:multiLevelType w:val="multilevel"/>
    <w:tmpl w:val="4DD42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E2A69F9"/>
    <w:multiLevelType w:val="multilevel"/>
    <w:tmpl w:val="9BDCD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8AD72A9"/>
    <w:multiLevelType w:val="multilevel"/>
    <w:tmpl w:val="1FC8A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9FB73F0"/>
    <w:multiLevelType w:val="multilevel"/>
    <w:tmpl w:val="3CBA0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7B"/>
    <w:rsid w:val="001B337B"/>
    <w:rsid w:val="002301A0"/>
    <w:rsid w:val="00573C20"/>
    <w:rsid w:val="005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1457"/>
  <w15:docId w15:val="{397E7813-76AF-4B9F-9E06-8AF4611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C01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link w:val="Nagwek2"/>
    <w:uiPriority w:val="9"/>
    <w:rsid w:val="00C01BF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roduct-short-cat-desc">
    <w:name w:val="product-short-cat-desc"/>
    <w:basedOn w:val="Normalny"/>
    <w:rsid w:val="00C01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eft">
    <w:name w:val="left"/>
    <w:basedOn w:val="Domylnaczcionkaakapitu"/>
    <w:rsid w:val="00C01BF1"/>
  </w:style>
  <w:style w:type="character" w:customStyle="1" w:styleId="right">
    <w:name w:val="right"/>
    <w:basedOn w:val="Domylnaczcionkaakapitu"/>
    <w:rsid w:val="00C01BF1"/>
  </w:style>
  <w:style w:type="character" w:styleId="Pogrubienie">
    <w:name w:val="Strong"/>
    <w:uiPriority w:val="22"/>
    <w:qFormat/>
    <w:rsid w:val="00AB77B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7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mall">
    <w:name w:val="small"/>
    <w:basedOn w:val="Normalny"/>
    <w:rsid w:val="00AB7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1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149"/>
  </w:style>
  <w:style w:type="paragraph" w:styleId="Stopka">
    <w:name w:val="footer"/>
    <w:basedOn w:val="Normalny"/>
    <w:link w:val="StopkaZnak"/>
    <w:uiPriority w:val="99"/>
    <w:unhideWhenUsed/>
    <w:rsid w:val="001D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149"/>
  </w:style>
  <w:style w:type="character" w:styleId="Odwoaniedokomentarza">
    <w:name w:val="annotation reference"/>
    <w:uiPriority w:val="99"/>
    <w:semiHidden/>
    <w:unhideWhenUsed/>
    <w:rsid w:val="007A1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1B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A11B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1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11B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11B7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rsid w:val="00DF2B4E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30.png"/><Relationship Id="rId5" Type="http://schemas.openxmlformats.org/officeDocument/2006/relationships/image" Target="media/image5.png"/><Relationship Id="rId10" Type="http://schemas.openxmlformats.org/officeDocument/2006/relationships/image" Target="media/image2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0UNTAgPoYvvKf0gm8zWyr5gq9w==">AMUW2mUiRRW7+8rMxQmKKrWjvzy2tFiR2ETThsWSLYDQ/Q9SihIpAY92Rlt+Ua544q0iFHbZaIf5ie0EfCD4DTOwtw4WgTahjQ6WtGCMZY48ybkCOf1mruumRIhuHtnIyBXxo7dxzoLx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Piotr Sękowski</cp:lastModifiedBy>
  <cp:revision>3</cp:revision>
  <dcterms:created xsi:type="dcterms:W3CDTF">2022-08-18T07:47:00Z</dcterms:created>
  <dcterms:modified xsi:type="dcterms:W3CDTF">2022-08-18T07:48:00Z</dcterms:modified>
</cp:coreProperties>
</file>