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9603" w14:textId="45D314AD" w:rsidR="00B81985" w:rsidRDefault="00B81985" w:rsidP="00F10F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Kołbaskowo, dn. </w:t>
      </w:r>
      <w:r>
        <w:rPr>
          <w:rFonts w:ascii="Arial" w:hAnsi="Arial" w:cs="Arial"/>
        </w:rPr>
        <w:t>22</w:t>
      </w:r>
      <w:r w:rsidRPr="006C71A6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.2022</w:t>
      </w:r>
      <w:r w:rsidRPr="006C71A6">
        <w:rPr>
          <w:rFonts w:ascii="Arial" w:hAnsi="Arial" w:cs="Arial"/>
        </w:rPr>
        <w:t xml:space="preserve"> r.</w:t>
      </w:r>
    </w:p>
    <w:p w14:paraId="4DCD19E6" w14:textId="77777777" w:rsidR="00F10F85" w:rsidRPr="006C71A6" w:rsidRDefault="00F10F85" w:rsidP="00F10F85">
      <w:pPr>
        <w:jc w:val="right"/>
        <w:rPr>
          <w:rFonts w:ascii="Arial" w:hAnsi="Arial" w:cs="Arial"/>
        </w:rPr>
      </w:pPr>
    </w:p>
    <w:p w14:paraId="7A4FBF50" w14:textId="77777777" w:rsidR="00B81985" w:rsidRPr="00362921" w:rsidRDefault="00B81985" w:rsidP="00B81985">
      <w:pPr>
        <w:jc w:val="center"/>
        <w:rPr>
          <w:rFonts w:ascii="Arial" w:hAnsi="Arial" w:cs="Arial"/>
          <w:b/>
          <w:sz w:val="24"/>
          <w:szCs w:val="24"/>
        </w:rPr>
      </w:pPr>
      <w:r w:rsidRPr="00362921">
        <w:rPr>
          <w:rFonts w:ascii="Arial" w:hAnsi="Arial" w:cs="Arial"/>
          <w:b/>
          <w:sz w:val="24"/>
          <w:szCs w:val="24"/>
        </w:rPr>
        <w:t>Zmiana Nr 1 do treści Specyfikacji Warunków Zamówienia</w:t>
      </w:r>
    </w:p>
    <w:p w14:paraId="606B522D" w14:textId="46FB9452" w:rsidR="00B81985" w:rsidRPr="00B81985" w:rsidRDefault="00B81985" w:rsidP="00B8198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62921">
        <w:rPr>
          <w:rFonts w:ascii="Arial" w:hAnsi="Arial" w:cs="Arial"/>
          <w:b/>
          <w:sz w:val="24"/>
          <w:szCs w:val="24"/>
        </w:rPr>
        <w:t>w postępowaniu przetargowym pn.: „</w:t>
      </w:r>
      <w:bookmarkStart w:id="0" w:name="_Hlk74040586"/>
      <w:r w:rsidRPr="00B81985">
        <w:rPr>
          <w:rFonts w:ascii="Arial" w:hAnsi="Arial" w:cs="Arial"/>
          <w:b/>
          <w:bCs/>
          <w:sz w:val="24"/>
          <w:szCs w:val="24"/>
        </w:rPr>
        <w:t xml:space="preserve">Odbiór, transport i zagospodarowanie odpadów komunalnych od właścicieli nieruchomości zamieszkałych oraz ze wskazanych nieruchomości niezamieszkałych </w:t>
      </w:r>
      <w:r w:rsidRPr="00B81985">
        <w:rPr>
          <w:rFonts w:ascii="Arial" w:hAnsi="Arial" w:cs="Arial"/>
          <w:b/>
          <w:sz w:val="24"/>
          <w:szCs w:val="24"/>
        </w:rPr>
        <w:t>na terenie Gminy Kołbaskowo</w:t>
      </w:r>
      <w:bookmarkEnd w:id="0"/>
      <w:r w:rsidRPr="00362921">
        <w:rPr>
          <w:rFonts w:ascii="Arial" w:hAnsi="Arial" w:cs="Arial"/>
          <w:b/>
          <w:sz w:val="24"/>
          <w:szCs w:val="24"/>
        </w:rPr>
        <w:t>”</w:t>
      </w:r>
    </w:p>
    <w:p w14:paraId="7B3E72B0" w14:textId="5E79236E" w:rsidR="00B81985" w:rsidRPr="00362921" w:rsidRDefault="00B81985" w:rsidP="00B8198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62921">
        <w:rPr>
          <w:rFonts w:ascii="Arial" w:hAnsi="Arial" w:cs="Arial"/>
          <w:sz w:val="24"/>
          <w:szCs w:val="24"/>
        </w:rPr>
        <w:t>Informuję, że</w:t>
      </w:r>
      <w:r>
        <w:rPr>
          <w:rFonts w:ascii="Arial" w:hAnsi="Arial" w:cs="Arial"/>
          <w:sz w:val="24"/>
          <w:szCs w:val="24"/>
        </w:rPr>
        <w:t xml:space="preserve"> w</w:t>
      </w:r>
      <w:r w:rsidRPr="00362921">
        <w:rPr>
          <w:rFonts w:ascii="Arial" w:hAnsi="Arial" w:cs="Arial"/>
          <w:sz w:val="24"/>
          <w:szCs w:val="24"/>
        </w:rPr>
        <w:t xml:space="preserve"> Specyfikacji Warunków Zamówienia:</w:t>
      </w:r>
    </w:p>
    <w:p w14:paraId="25C2C0B3" w14:textId="3F820C71" w:rsidR="00B81985" w:rsidRPr="00362921" w:rsidRDefault="00B81985" w:rsidP="009166E5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362921">
        <w:rPr>
          <w:rFonts w:ascii="Arial" w:hAnsi="Arial" w:cs="Arial"/>
        </w:rPr>
        <w:t xml:space="preserve">Rozdział </w:t>
      </w:r>
      <w:r>
        <w:rPr>
          <w:rFonts w:ascii="Arial" w:hAnsi="Arial" w:cs="Arial"/>
        </w:rPr>
        <w:t>V</w:t>
      </w:r>
      <w:r w:rsidRPr="00362921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(Podstawy wykluczenia) dodaje się punkt 4 o treści :</w:t>
      </w:r>
    </w:p>
    <w:p w14:paraId="3B67691F" w14:textId="77777777" w:rsidR="00B81985" w:rsidRPr="00362921" w:rsidRDefault="00B81985" w:rsidP="00B81985">
      <w:pPr>
        <w:pStyle w:val="Akapitzlist"/>
        <w:jc w:val="both"/>
        <w:rPr>
          <w:rFonts w:ascii="Arial" w:hAnsi="Arial" w:cs="Arial"/>
        </w:rPr>
      </w:pPr>
    </w:p>
    <w:p w14:paraId="0A04D9F1" w14:textId="7DC2F5F2" w:rsidR="009166E5" w:rsidRPr="009166E5" w:rsidRDefault="009166E5" w:rsidP="009166E5">
      <w:pPr>
        <w:pStyle w:val="Akapitzlist"/>
        <w:widowControl w:val="0"/>
        <w:numPr>
          <w:ilvl w:val="0"/>
          <w:numId w:val="8"/>
        </w:numPr>
        <w:ind w:right="-1"/>
        <w:contextualSpacing/>
        <w:jc w:val="both"/>
        <w:rPr>
          <w:rFonts w:eastAsia="Trebuchet MS"/>
          <w:lang w:bidi="pl-PL"/>
        </w:rPr>
      </w:pPr>
      <w:r w:rsidRPr="009166E5">
        <w:rPr>
          <w:rFonts w:eastAsia="Trebuchet MS"/>
          <w:b/>
          <w:lang w:bidi="pl-PL"/>
        </w:rPr>
        <w:t>Zamawiający wykluczy z postępowania Wykonawców, wobec których zachodzą podstawy wykluczenia, o których mowa w art.</w:t>
      </w:r>
      <w:r w:rsidRPr="009166E5">
        <w:rPr>
          <w:rFonts w:eastAsia="Trebuchet MS"/>
          <w:b/>
          <w:bCs/>
          <w:lang w:bidi="pl-PL"/>
        </w:rPr>
        <w:t xml:space="preserve"> 7 ust. 1 </w:t>
      </w:r>
      <w:r w:rsidRPr="009166E5">
        <w:rPr>
          <w:rFonts w:eastAsia="Trebuchet MS"/>
          <w:lang w:bidi="pl-PL"/>
        </w:rPr>
        <w:t>ustawy z dnia 13 kwietnia 2022 r. o szczególnych rozwiązaniach w zakresie przeciwdziałania wspieraniu agresji na Ukrainę oraz służących ochronie bezpieczeństwa narodowego (Dz. U. z 2022 r. poz. 835), tj.:</w:t>
      </w:r>
    </w:p>
    <w:p w14:paraId="7729B695" w14:textId="77777777" w:rsidR="009166E5" w:rsidRPr="009166E5" w:rsidRDefault="009166E5" w:rsidP="009166E5">
      <w:pPr>
        <w:widowControl w:val="0"/>
        <w:spacing w:after="0" w:line="240" w:lineRule="auto"/>
        <w:ind w:left="720" w:right="-1"/>
        <w:contextualSpacing/>
        <w:jc w:val="both"/>
        <w:rPr>
          <w:rFonts w:ascii="Times New Roman" w:eastAsia="Trebuchet MS" w:hAnsi="Times New Roman"/>
          <w:sz w:val="24"/>
          <w:szCs w:val="24"/>
          <w:lang w:bidi="pl-PL"/>
        </w:rPr>
      </w:pPr>
      <w:r w:rsidRPr="009166E5">
        <w:rPr>
          <w:rFonts w:ascii="Times New Roman" w:eastAsia="Trebuchet MS" w:hAnsi="Times New Roman"/>
          <w:sz w:val="24"/>
          <w:szCs w:val="24"/>
          <w:lang w:bidi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164E6FA3" w14:textId="77777777" w:rsidR="009166E5" w:rsidRPr="009166E5" w:rsidRDefault="009166E5" w:rsidP="009166E5">
      <w:pPr>
        <w:widowControl w:val="0"/>
        <w:spacing w:after="0" w:line="240" w:lineRule="auto"/>
        <w:ind w:left="720" w:right="-1"/>
        <w:contextualSpacing/>
        <w:jc w:val="both"/>
        <w:rPr>
          <w:rFonts w:ascii="Times New Roman" w:eastAsia="Trebuchet MS" w:hAnsi="Times New Roman"/>
          <w:sz w:val="24"/>
          <w:szCs w:val="24"/>
          <w:lang w:bidi="pl-PL"/>
        </w:rPr>
      </w:pPr>
      <w:r w:rsidRPr="009166E5">
        <w:rPr>
          <w:rFonts w:ascii="Times New Roman" w:eastAsia="Trebuchet MS" w:hAnsi="Times New Roman"/>
          <w:sz w:val="24"/>
          <w:szCs w:val="24"/>
          <w:lang w:bidi="pl-PL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5B4A3EA5" w14:textId="06AFD7E7" w:rsidR="00B81985" w:rsidRPr="00DD7291" w:rsidRDefault="009166E5" w:rsidP="00DD7291">
      <w:pPr>
        <w:widowControl w:val="0"/>
        <w:spacing w:after="0" w:line="240" w:lineRule="auto"/>
        <w:ind w:left="720" w:right="-1"/>
        <w:contextualSpacing/>
        <w:jc w:val="both"/>
        <w:rPr>
          <w:rFonts w:ascii="Times New Roman" w:eastAsia="Trebuchet MS" w:hAnsi="Times New Roman"/>
          <w:sz w:val="24"/>
          <w:szCs w:val="24"/>
          <w:lang w:bidi="pl-PL"/>
        </w:rPr>
      </w:pPr>
      <w:r w:rsidRPr="009166E5">
        <w:rPr>
          <w:rFonts w:ascii="Times New Roman" w:eastAsia="Trebuchet MS" w:hAnsi="Times New Roman"/>
          <w:sz w:val="24"/>
          <w:szCs w:val="24"/>
          <w:lang w:bidi="pl-PL"/>
        </w:rPr>
        <w:t xml:space="preserve"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</w:t>
      </w:r>
      <w:r w:rsidR="00F10F85">
        <w:rPr>
          <w:rFonts w:ascii="Times New Roman" w:eastAsia="Trebuchet MS" w:hAnsi="Times New Roman"/>
          <w:sz w:val="24"/>
          <w:szCs w:val="24"/>
          <w:lang w:bidi="pl-PL"/>
        </w:rPr>
        <w:t>3.</w:t>
      </w:r>
    </w:p>
    <w:p w14:paraId="4A5221CC" w14:textId="7C48E061" w:rsidR="00B81985" w:rsidRDefault="00B81985" w:rsidP="009166E5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bookmarkStart w:id="1" w:name="_Hlk98502913"/>
      <w:r w:rsidRPr="009166E5">
        <w:rPr>
          <w:rFonts w:ascii="Arial" w:hAnsi="Arial" w:cs="Arial"/>
        </w:rPr>
        <w:t xml:space="preserve">W załączniku nr </w:t>
      </w:r>
      <w:r w:rsidR="00F10F85">
        <w:rPr>
          <w:rFonts w:ascii="Arial" w:hAnsi="Arial" w:cs="Arial"/>
        </w:rPr>
        <w:t>2</w:t>
      </w:r>
      <w:r w:rsidRPr="009166E5">
        <w:rPr>
          <w:rFonts w:ascii="Arial" w:hAnsi="Arial" w:cs="Arial"/>
        </w:rPr>
        <w:t xml:space="preserve"> do SWZ </w:t>
      </w:r>
      <w:bookmarkEnd w:id="1"/>
      <w:r w:rsidRPr="009166E5">
        <w:rPr>
          <w:rFonts w:ascii="Arial" w:hAnsi="Arial" w:cs="Arial"/>
        </w:rPr>
        <w:t xml:space="preserve">– </w:t>
      </w:r>
      <w:r w:rsidR="00F10F85">
        <w:rPr>
          <w:rFonts w:ascii="Arial" w:hAnsi="Arial" w:cs="Arial"/>
        </w:rPr>
        <w:t>Jednolity Europejski Dokument Zamówienia (JEDZ) w części III D dodaje się zapis o treści:</w:t>
      </w:r>
    </w:p>
    <w:p w14:paraId="2B178C2E" w14:textId="05DEC933" w:rsidR="00F10F85" w:rsidRPr="00F10F85" w:rsidRDefault="00F10F85" w:rsidP="00F10F85">
      <w:pPr>
        <w:jc w:val="both"/>
        <w:rPr>
          <w:rFonts w:ascii="Arial" w:hAnsi="Arial" w:cs="Arial"/>
        </w:rPr>
      </w:pPr>
      <w:r w:rsidRPr="001A3A5F">
        <w:rPr>
          <w:rFonts w:eastAsia="Calibri" w:cstheme="minorHAnsi"/>
          <w:sz w:val="20"/>
          <w:szCs w:val="20"/>
          <w:lang w:eastAsia="en-GB"/>
        </w:rPr>
        <w:t xml:space="preserve">Czy mają zastosowanie </w:t>
      </w:r>
      <w:r w:rsidRPr="001A3A5F">
        <w:rPr>
          <w:rFonts w:eastAsia="Calibri" w:cstheme="minorHAnsi"/>
          <w:b/>
          <w:sz w:val="20"/>
          <w:szCs w:val="20"/>
          <w:lang w:eastAsia="en-GB"/>
        </w:rPr>
        <w:t>podstawy wykluczenia</w:t>
      </w:r>
      <w:r>
        <w:rPr>
          <w:rFonts w:eastAsia="Calibri" w:cstheme="minorHAnsi"/>
          <w:b/>
          <w:sz w:val="20"/>
          <w:szCs w:val="20"/>
          <w:lang w:eastAsia="en-GB"/>
        </w:rPr>
        <w:t xml:space="preserve"> </w:t>
      </w:r>
      <w:r>
        <w:rPr>
          <w:rFonts w:eastAsia="Calibri" w:cstheme="minorHAnsi"/>
          <w:bCs/>
          <w:sz w:val="20"/>
          <w:szCs w:val="20"/>
          <w:lang w:eastAsia="en-GB"/>
        </w:rPr>
        <w:t xml:space="preserve">wynikające z art. 7 ust. 1 ustawy z dnia 13 kwietnia 2022 r. </w:t>
      </w:r>
      <w:r w:rsidRPr="007C743A">
        <w:rPr>
          <w:rFonts w:eastAsia="Calibri" w:cstheme="minorHAnsi"/>
          <w:b/>
          <w:sz w:val="20"/>
          <w:szCs w:val="20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eastAsia="Calibri" w:cstheme="minorHAnsi"/>
          <w:bCs/>
          <w:sz w:val="20"/>
          <w:szCs w:val="20"/>
          <w:lang w:eastAsia="en-GB"/>
        </w:rPr>
        <w:t xml:space="preserve"> (Dz. U. z 2022 r. poz. 835).</w:t>
      </w:r>
      <w:r>
        <w:rPr>
          <w:rFonts w:eastAsia="Calibri" w:cstheme="minorHAnsi"/>
          <w:bCs/>
          <w:sz w:val="20"/>
          <w:szCs w:val="20"/>
          <w:lang w:eastAsia="en-GB"/>
        </w:rPr>
        <w:t xml:space="preserve"> </w:t>
      </w:r>
      <w:r w:rsidRPr="00F10F85">
        <w:rPr>
          <w:rFonts w:ascii="Calibri" w:eastAsia="Calibri" w:hAnsi="Calibri" w:cs="Calibri"/>
          <w:sz w:val="20"/>
          <w:szCs w:val="20"/>
          <w:lang w:eastAsia="en-GB"/>
        </w:rPr>
        <w:t>[] Tak [] Nie</w:t>
      </w:r>
    </w:p>
    <w:p w14:paraId="51F7B7EF" w14:textId="029A7AB2" w:rsidR="00F10F85" w:rsidRPr="00DD7291" w:rsidRDefault="00F10F85" w:rsidP="00DD7291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załączniku nr 6 do SWZ dodaje się tiret  treści :</w:t>
      </w:r>
    </w:p>
    <w:p w14:paraId="23178918" w14:textId="77777777" w:rsidR="00F10F85" w:rsidRPr="00E821C6" w:rsidRDefault="00F10F85" w:rsidP="00F10F85">
      <w:pPr>
        <w:numPr>
          <w:ilvl w:val="4"/>
          <w:numId w:val="10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art. 7 ust. 1 ustawy z dnia 13 kwietnia 2022 r. o szczególnych rozwiązaniach w zakresie przeciwdziałania wspieraniu agresji na Ukrainę oraz służących ochronie bezpieczeństwa narodowego (Dz. U. z 2022 r. poz. 835).</w:t>
      </w:r>
    </w:p>
    <w:p w14:paraId="25EC70BB" w14:textId="77777777" w:rsidR="00F10F85" w:rsidRPr="00F10F85" w:rsidRDefault="00F10F85" w:rsidP="00F10F85">
      <w:pPr>
        <w:pStyle w:val="Akapitzlist"/>
        <w:ind w:left="284"/>
        <w:jc w:val="both"/>
        <w:rPr>
          <w:rFonts w:ascii="Arial" w:hAnsi="Arial" w:cs="Arial"/>
          <w:lang w:val="pl-PL"/>
        </w:rPr>
      </w:pPr>
    </w:p>
    <w:p w14:paraId="08F9B536" w14:textId="72D200F5" w:rsidR="00B81985" w:rsidRDefault="00B81985" w:rsidP="00B81985">
      <w:pPr>
        <w:spacing w:after="0" w:line="240" w:lineRule="auto"/>
        <w:ind w:left="735"/>
        <w:jc w:val="both"/>
        <w:rPr>
          <w:rFonts w:ascii="Arial" w:eastAsia="Times New Roman" w:hAnsi="Arial" w:cs="Arial"/>
          <w:sz w:val="24"/>
          <w:szCs w:val="24"/>
        </w:rPr>
      </w:pPr>
    </w:p>
    <w:p w14:paraId="7D7BA5BF" w14:textId="0B927C36" w:rsidR="00F10F85" w:rsidRDefault="00F10F85" w:rsidP="00B81985">
      <w:pPr>
        <w:spacing w:after="0" w:line="240" w:lineRule="auto"/>
        <w:ind w:left="735"/>
        <w:jc w:val="both"/>
        <w:rPr>
          <w:rFonts w:ascii="Arial" w:eastAsia="Times New Roman" w:hAnsi="Arial" w:cs="Arial"/>
          <w:sz w:val="24"/>
          <w:szCs w:val="24"/>
        </w:rPr>
      </w:pPr>
    </w:p>
    <w:p w14:paraId="06FAAA4E" w14:textId="77777777" w:rsidR="00B81985" w:rsidRPr="00362921" w:rsidRDefault="00B81985" w:rsidP="00B81985">
      <w:pPr>
        <w:pStyle w:val="Akapitzlist"/>
        <w:jc w:val="both"/>
        <w:rPr>
          <w:rFonts w:ascii="Arial" w:hAnsi="Arial" w:cs="Arial"/>
          <w:bCs/>
        </w:rPr>
      </w:pPr>
    </w:p>
    <w:p w14:paraId="59641D1E" w14:textId="77777777" w:rsidR="00B81985" w:rsidRPr="00362921" w:rsidRDefault="00B81985" w:rsidP="00F10F8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362921">
        <w:rPr>
          <w:rFonts w:ascii="Arial" w:hAnsi="Arial" w:cs="Arial"/>
        </w:rPr>
        <w:lastRenderedPageBreak/>
        <w:t>W związku z wprowadzoną wyżej zmianą, zmianie ulegają daty otwarcia ofert oraz związania ofertą :</w:t>
      </w:r>
    </w:p>
    <w:p w14:paraId="70BDFD3C" w14:textId="77777777" w:rsidR="00B81985" w:rsidRPr="008F170F" w:rsidRDefault="00B81985" w:rsidP="00B81985">
      <w:pPr>
        <w:pStyle w:val="Akapitzlist"/>
        <w:rPr>
          <w:rFonts w:ascii="Arial" w:hAnsi="Arial" w:cs="Arial"/>
        </w:rPr>
      </w:pPr>
    </w:p>
    <w:p w14:paraId="43A8D1DF" w14:textId="77777777" w:rsidR="00B81985" w:rsidRPr="00362921" w:rsidRDefault="00B81985" w:rsidP="00B81985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362921">
        <w:rPr>
          <w:rFonts w:ascii="Arial" w:hAnsi="Arial" w:cs="Arial"/>
        </w:rPr>
        <w:t xml:space="preserve">Rozdział XII SWZ : </w:t>
      </w:r>
    </w:p>
    <w:p w14:paraId="3E882138" w14:textId="2BC4EBCA" w:rsidR="00B81985" w:rsidRPr="00362921" w:rsidRDefault="00B81985" w:rsidP="00B81985">
      <w:pPr>
        <w:pStyle w:val="Akapitzlist"/>
        <w:numPr>
          <w:ilvl w:val="0"/>
          <w:numId w:val="5"/>
        </w:numPr>
        <w:ind w:left="1276" w:right="-1" w:hanging="283"/>
        <w:contextualSpacing/>
        <w:jc w:val="both"/>
        <w:rPr>
          <w:rFonts w:ascii="Arial" w:eastAsia="Times New Roman" w:hAnsi="Arial" w:cs="Arial"/>
          <w:color w:val="FF0000"/>
          <w:lang w:eastAsia="ar-SA"/>
        </w:rPr>
      </w:pPr>
      <w:r w:rsidRPr="00362921">
        <w:rPr>
          <w:rFonts w:ascii="Arial" w:eastAsia="Courier New" w:hAnsi="Arial" w:cs="Arial"/>
          <w:lang w:eastAsia="pl-PL" w:bidi="pl-PL"/>
        </w:rPr>
        <w:t xml:space="preserve">Wykonawca jest związany ofertą od dnia upływu terminu składania ofert do dnia </w:t>
      </w:r>
      <w:r w:rsidR="00DD7291">
        <w:rPr>
          <w:rFonts w:ascii="Arial" w:eastAsia="Courier New" w:hAnsi="Arial" w:cs="Arial"/>
          <w:b/>
          <w:bCs/>
          <w:lang w:eastAsia="pl-PL" w:bidi="pl-PL"/>
        </w:rPr>
        <w:t>20</w:t>
      </w:r>
      <w:r w:rsidRPr="00362921">
        <w:rPr>
          <w:rFonts w:ascii="Arial" w:eastAsia="Courier New" w:hAnsi="Arial" w:cs="Arial"/>
          <w:b/>
          <w:bCs/>
          <w:lang w:eastAsia="pl-PL" w:bidi="pl-PL"/>
        </w:rPr>
        <w:t>.0</w:t>
      </w:r>
      <w:r w:rsidR="00DD7291">
        <w:rPr>
          <w:rFonts w:ascii="Arial" w:eastAsia="Courier New" w:hAnsi="Arial" w:cs="Arial"/>
          <w:b/>
          <w:bCs/>
          <w:lang w:eastAsia="pl-PL" w:bidi="pl-PL"/>
        </w:rPr>
        <w:t>8</w:t>
      </w:r>
      <w:r w:rsidRPr="00362921">
        <w:rPr>
          <w:rFonts w:ascii="Arial" w:eastAsia="Courier New" w:hAnsi="Arial" w:cs="Arial"/>
          <w:b/>
          <w:bCs/>
          <w:lang w:eastAsia="pl-PL" w:bidi="pl-PL"/>
        </w:rPr>
        <w:t xml:space="preserve">.2022 </w:t>
      </w:r>
      <w:r w:rsidRPr="00362921">
        <w:rPr>
          <w:rFonts w:ascii="Arial" w:eastAsia="Courier New" w:hAnsi="Arial" w:cs="Arial"/>
          <w:b/>
          <w:lang w:eastAsia="pl-PL" w:bidi="pl-PL"/>
        </w:rPr>
        <w:t>roku.</w:t>
      </w:r>
    </w:p>
    <w:p w14:paraId="076F2695" w14:textId="77777777" w:rsidR="00B81985" w:rsidRPr="00362921" w:rsidRDefault="00B81985" w:rsidP="00B8198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62921">
        <w:rPr>
          <w:rFonts w:ascii="Arial" w:hAnsi="Arial" w:cs="Arial"/>
          <w:sz w:val="24"/>
          <w:szCs w:val="24"/>
        </w:rPr>
        <w:t>-  Rozdział XIV SWZ:</w:t>
      </w:r>
    </w:p>
    <w:p w14:paraId="4E27CF4F" w14:textId="1530BBE4" w:rsidR="00B81985" w:rsidRPr="00362921" w:rsidRDefault="00B81985" w:rsidP="00B81985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2921">
        <w:rPr>
          <w:rFonts w:ascii="Arial" w:hAnsi="Arial" w:cs="Arial"/>
          <w:sz w:val="24"/>
          <w:szCs w:val="24"/>
        </w:rPr>
        <w:t xml:space="preserve">Ofertę należy złożyć w terminie do dnia </w:t>
      </w:r>
      <w:r w:rsidR="005314D0">
        <w:rPr>
          <w:rFonts w:ascii="Arial" w:hAnsi="Arial" w:cs="Arial"/>
          <w:b/>
          <w:bCs/>
          <w:sz w:val="24"/>
          <w:szCs w:val="24"/>
        </w:rPr>
        <w:t>23</w:t>
      </w:r>
      <w:r w:rsidRPr="00362921">
        <w:rPr>
          <w:rFonts w:ascii="Arial" w:hAnsi="Arial" w:cs="Arial"/>
          <w:b/>
          <w:bCs/>
          <w:sz w:val="24"/>
          <w:szCs w:val="24"/>
        </w:rPr>
        <w:t>.0</w:t>
      </w:r>
      <w:r w:rsidR="005314D0">
        <w:rPr>
          <w:rFonts w:ascii="Arial" w:hAnsi="Arial" w:cs="Arial"/>
          <w:b/>
          <w:bCs/>
          <w:sz w:val="24"/>
          <w:szCs w:val="24"/>
        </w:rPr>
        <w:t>5</w:t>
      </w:r>
      <w:r w:rsidRPr="00362921">
        <w:rPr>
          <w:rFonts w:ascii="Arial" w:hAnsi="Arial" w:cs="Arial"/>
          <w:b/>
          <w:bCs/>
          <w:sz w:val="24"/>
          <w:szCs w:val="24"/>
        </w:rPr>
        <w:t>.2022 r.</w:t>
      </w:r>
      <w:r w:rsidRPr="00362921">
        <w:rPr>
          <w:rFonts w:ascii="Arial" w:hAnsi="Arial" w:cs="Arial"/>
          <w:sz w:val="24"/>
          <w:szCs w:val="24"/>
        </w:rPr>
        <w:t xml:space="preserve"> do godz. </w:t>
      </w:r>
      <w:r w:rsidRPr="00362921">
        <w:rPr>
          <w:rFonts w:ascii="Arial" w:hAnsi="Arial" w:cs="Arial"/>
          <w:b/>
          <w:bCs/>
          <w:sz w:val="24"/>
          <w:szCs w:val="24"/>
        </w:rPr>
        <w:t>10.50.</w:t>
      </w:r>
    </w:p>
    <w:p w14:paraId="6848F7D7" w14:textId="749B7B14" w:rsidR="00B81985" w:rsidRPr="00362921" w:rsidRDefault="00B81985" w:rsidP="00B81985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2921">
        <w:rPr>
          <w:rFonts w:ascii="Arial" w:hAnsi="Arial" w:cs="Arial"/>
          <w:sz w:val="24"/>
          <w:szCs w:val="24"/>
        </w:rPr>
        <w:t xml:space="preserve">Otwarcie ofert nastąpi w dniu </w:t>
      </w:r>
      <w:r w:rsidR="005314D0">
        <w:rPr>
          <w:rFonts w:ascii="Arial" w:hAnsi="Arial" w:cs="Arial"/>
          <w:b/>
          <w:bCs/>
          <w:sz w:val="24"/>
          <w:szCs w:val="24"/>
        </w:rPr>
        <w:t>2</w:t>
      </w:r>
      <w:r w:rsidRPr="00362921">
        <w:rPr>
          <w:rFonts w:ascii="Arial" w:hAnsi="Arial" w:cs="Arial"/>
          <w:b/>
          <w:bCs/>
          <w:sz w:val="24"/>
          <w:szCs w:val="24"/>
        </w:rPr>
        <w:t>3.0</w:t>
      </w:r>
      <w:r w:rsidR="005314D0">
        <w:rPr>
          <w:rFonts w:ascii="Arial" w:hAnsi="Arial" w:cs="Arial"/>
          <w:b/>
          <w:bCs/>
          <w:sz w:val="24"/>
          <w:szCs w:val="24"/>
        </w:rPr>
        <w:t>5</w:t>
      </w:r>
      <w:r w:rsidRPr="00362921">
        <w:rPr>
          <w:rFonts w:ascii="Arial" w:hAnsi="Arial" w:cs="Arial"/>
          <w:b/>
          <w:bCs/>
          <w:sz w:val="24"/>
          <w:szCs w:val="24"/>
        </w:rPr>
        <w:t>.2022 r.</w:t>
      </w:r>
      <w:r w:rsidRPr="00362921">
        <w:rPr>
          <w:rFonts w:ascii="Arial" w:hAnsi="Arial" w:cs="Arial"/>
          <w:sz w:val="24"/>
          <w:szCs w:val="24"/>
        </w:rPr>
        <w:t xml:space="preserve"> o godz. </w:t>
      </w:r>
      <w:r w:rsidRPr="00362921">
        <w:rPr>
          <w:rFonts w:ascii="Arial" w:hAnsi="Arial" w:cs="Arial"/>
          <w:b/>
          <w:bCs/>
          <w:sz w:val="24"/>
          <w:szCs w:val="24"/>
        </w:rPr>
        <w:t>11.00</w:t>
      </w:r>
      <w:r w:rsidRPr="00362921">
        <w:rPr>
          <w:rFonts w:ascii="Arial" w:hAnsi="Arial" w:cs="Arial"/>
          <w:sz w:val="24"/>
          <w:szCs w:val="24"/>
        </w:rPr>
        <w:t xml:space="preserve"> poprzez odszyfrowanie wczytanych na Platformie ofert.</w:t>
      </w:r>
    </w:p>
    <w:p w14:paraId="5258F3C2" w14:textId="77777777" w:rsidR="00B81985" w:rsidRPr="00362921" w:rsidRDefault="00B81985" w:rsidP="00B819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98C2E99" w14:textId="77777777" w:rsidR="00B81985" w:rsidRPr="00C5057E" w:rsidRDefault="00B81985" w:rsidP="00B81985">
      <w:pPr>
        <w:spacing w:line="240" w:lineRule="auto"/>
        <w:ind w:left="735"/>
        <w:jc w:val="both"/>
        <w:rPr>
          <w:rFonts w:ascii="Arial" w:hAnsi="Arial" w:cs="Arial"/>
        </w:rPr>
      </w:pPr>
    </w:p>
    <w:p w14:paraId="51E4643F" w14:textId="77777777" w:rsidR="00B81985" w:rsidRPr="00683DB9" w:rsidRDefault="00B81985" w:rsidP="00B81985">
      <w:pPr>
        <w:spacing w:line="240" w:lineRule="auto"/>
        <w:ind w:left="735"/>
        <w:jc w:val="both"/>
        <w:rPr>
          <w:rFonts w:ascii="Arial" w:hAnsi="Arial" w:cs="Arial"/>
        </w:rPr>
      </w:pPr>
    </w:p>
    <w:p w14:paraId="41E6955C" w14:textId="77777777" w:rsidR="00B81985" w:rsidRPr="008F6B37" w:rsidRDefault="00B81985" w:rsidP="00B819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F6B37">
        <w:rPr>
          <w:rFonts w:ascii="Arial" w:hAnsi="Arial" w:cs="Arial"/>
          <w:sz w:val="24"/>
          <w:szCs w:val="24"/>
        </w:rPr>
        <w:t>………………………………</w:t>
      </w:r>
    </w:p>
    <w:p w14:paraId="06767DFD" w14:textId="77777777" w:rsidR="0096521C" w:rsidRDefault="0096521C"/>
    <w:sectPr w:rsidR="0096521C" w:rsidSect="00256232">
      <w:headerReference w:type="default" r:id="rId7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C5AEE" w14:textId="77777777" w:rsidR="00E50B71" w:rsidRDefault="00E50B71" w:rsidP="00B81985">
      <w:pPr>
        <w:spacing w:after="0" w:line="240" w:lineRule="auto"/>
      </w:pPr>
      <w:r>
        <w:separator/>
      </w:r>
    </w:p>
  </w:endnote>
  <w:endnote w:type="continuationSeparator" w:id="0">
    <w:p w14:paraId="057E6868" w14:textId="77777777" w:rsidR="00E50B71" w:rsidRDefault="00E50B71" w:rsidP="00B8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3430F" w14:textId="77777777" w:rsidR="00E50B71" w:rsidRDefault="00E50B71" w:rsidP="00B81985">
      <w:pPr>
        <w:spacing w:after="0" w:line="240" w:lineRule="auto"/>
      </w:pPr>
      <w:r>
        <w:separator/>
      </w:r>
    </w:p>
  </w:footnote>
  <w:footnote w:type="continuationSeparator" w:id="0">
    <w:p w14:paraId="2E146CEF" w14:textId="77777777" w:rsidR="00E50B71" w:rsidRDefault="00E50B71" w:rsidP="00B81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CC768" w14:textId="62437027" w:rsidR="00672589" w:rsidRDefault="00E50B71" w:rsidP="00672589">
    <w:pPr>
      <w:pStyle w:val="Nagwek"/>
    </w:pPr>
    <w:r>
      <w:t>ZP.271.</w:t>
    </w:r>
    <w:r w:rsidR="00B81985">
      <w:t>6</w:t>
    </w:r>
    <w:r>
      <w:t>.202</w:t>
    </w:r>
    <w:r>
      <w:t>2</w:t>
    </w:r>
    <w:r>
      <w:t>.</w:t>
    </w:r>
    <w:r>
      <w:t>A</w:t>
    </w:r>
    <w:r>
      <w:t>S</w:t>
    </w:r>
  </w:p>
  <w:p w14:paraId="0D7ACA95" w14:textId="77777777" w:rsidR="00672589" w:rsidRDefault="00E50B71" w:rsidP="00672589">
    <w:pPr>
      <w:pStyle w:val="Nagwek"/>
    </w:pPr>
  </w:p>
  <w:p w14:paraId="3ABA7BE3" w14:textId="77777777" w:rsidR="00672589" w:rsidRDefault="00E50B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560EEBF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051362A"/>
    <w:multiLevelType w:val="multilevel"/>
    <w:tmpl w:val="6AB4D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7F53AF8"/>
    <w:multiLevelType w:val="hybridMultilevel"/>
    <w:tmpl w:val="149ACCA2"/>
    <w:lvl w:ilvl="0" w:tplc="B210BDA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83FE6"/>
    <w:multiLevelType w:val="hybridMultilevel"/>
    <w:tmpl w:val="5BF41448"/>
    <w:lvl w:ilvl="0" w:tplc="F80453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E3419"/>
    <w:multiLevelType w:val="hybridMultilevel"/>
    <w:tmpl w:val="0EB6C7F8"/>
    <w:lvl w:ilvl="0" w:tplc="086A3D7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F22E12"/>
    <w:multiLevelType w:val="hybridMultilevel"/>
    <w:tmpl w:val="9E8CCAC2"/>
    <w:lvl w:ilvl="0" w:tplc="80F256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42886"/>
    <w:multiLevelType w:val="hybridMultilevel"/>
    <w:tmpl w:val="5B8C732A"/>
    <w:lvl w:ilvl="0" w:tplc="06123E24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5D616F"/>
    <w:multiLevelType w:val="hybridMultilevel"/>
    <w:tmpl w:val="2B18A134"/>
    <w:lvl w:ilvl="0" w:tplc="52ACF3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03C72"/>
    <w:multiLevelType w:val="hybridMultilevel"/>
    <w:tmpl w:val="B2D408F8"/>
    <w:lvl w:ilvl="0" w:tplc="546C10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95FAC"/>
    <w:multiLevelType w:val="hybridMultilevel"/>
    <w:tmpl w:val="50F8A57A"/>
    <w:lvl w:ilvl="0" w:tplc="0415000F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num w:numId="1" w16cid:durableId="1831748942">
    <w:abstractNumId w:val="5"/>
  </w:num>
  <w:num w:numId="2" w16cid:durableId="253975879">
    <w:abstractNumId w:val="6"/>
  </w:num>
  <w:num w:numId="3" w16cid:durableId="928808663">
    <w:abstractNumId w:val="10"/>
  </w:num>
  <w:num w:numId="4" w16cid:durableId="1351642985">
    <w:abstractNumId w:val="7"/>
  </w:num>
  <w:num w:numId="5" w16cid:durableId="1308895132">
    <w:abstractNumId w:val="9"/>
  </w:num>
  <w:num w:numId="6" w16cid:durableId="1326518318">
    <w:abstractNumId w:val="1"/>
  </w:num>
  <w:num w:numId="7" w16cid:durableId="2108841778">
    <w:abstractNumId w:val="3"/>
  </w:num>
  <w:num w:numId="8" w16cid:durableId="1031228693">
    <w:abstractNumId w:val="4"/>
  </w:num>
  <w:num w:numId="9" w16cid:durableId="1836257786">
    <w:abstractNumId w:val="8"/>
  </w:num>
  <w:num w:numId="10" w16cid:durableId="1382055432">
    <w:abstractNumId w:val="0"/>
  </w:num>
  <w:num w:numId="11" w16cid:durableId="1415979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85"/>
    <w:rsid w:val="00264DDE"/>
    <w:rsid w:val="005314D0"/>
    <w:rsid w:val="009166E5"/>
    <w:rsid w:val="0096521C"/>
    <w:rsid w:val="00B81985"/>
    <w:rsid w:val="00DD7291"/>
    <w:rsid w:val="00E50B71"/>
    <w:rsid w:val="00F1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6CC45"/>
  <w15:chartTrackingRefBased/>
  <w15:docId w15:val="{7B0A4827-4D20-4800-A292-73EA6F15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985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Nagłowek 3"/>
    <w:basedOn w:val="Normalny"/>
    <w:link w:val="AkapitzlistZnak"/>
    <w:uiPriority w:val="34"/>
    <w:qFormat/>
    <w:rsid w:val="00B81985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paragraph" w:styleId="Nagwek">
    <w:name w:val="header"/>
    <w:basedOn w:val="Normalny"/>
    <w:link w:val="NagwekZnak"/>
    <w:uiPriority w:val="99"/>
    <w:unhideWhenUsed/>
    <w:rsid w:val="00B81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985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1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85"/>
    <w:rPr>
      <w:rFonts w:eastAsiaTheme="minorEastAsia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819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81985"/>
    <w:rPr>
      <w:rFonts w:eastAsiaTheme="minorEastAsia" w:cs="Times New Roman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B81985"/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819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81985"/>
    <w:rPr>
      <w:rFonts w:eastAsiaTheme="minorEastAsia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2022-04-22T10:17:00Z</dcterms:created>
  <dcterms:modified xsi:type="dcterms:W3CDTF">2022-04-22T10:58:00Z</dcterms:modified>
</cp:coreProperties>
</file>