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2B74E815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bookmarkStart w:id="1" w:name="_Hlk182312264"/>
            <w:r w:rsidR="00FD4F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komory klimatycznej</w:t>
            </w:r>
            <w:bookmarkEnd w:id="1"/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5FDB43B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2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FD4F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</w:t>
            </w:r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6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2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D6B393C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61B5F39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71F49CE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1436B5A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EA5082A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A26056B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BDB0E1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231C1CF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AC680F2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3E41DC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F54D21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CC5F9B8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32625A9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216BC4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DF4A5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F65592E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D79B489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5C93B96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354C3D1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21424D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FE30E97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65E5E5F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87945F0" w14:textId="77777777" w:rsidR="00E87590" w:rsidRDefault="00E87590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F40D377" w14:textId="77777777" w:rsidR="00E87590" w:rsidRPr="00E87590" w:rsidRDefault="00E87590" w:rsidP="00E87590">
      <w:pPr>
        <w:spacing w:before="720" w:after="120" w:line="240" w:lineRule="auto"/>
        <w:ind w:left="0" w:firstLine="0"/>
        <w:jc w:val="right"/>
        <w:rPr>
          <w:rFonts w:eastAsia="Calibri" w:cs="Arial"/>
          <w:color w:val="222A35"/>
          <w:szCs w:val="20"/>
          <w:lang w:eastAsia="pl-PL"/>
        </w:rPr>
      </w:pPr>
      <w:r w:rsidRPr="00E87590">
        <w:rPr>
          <w:rFonts w:eastAsia="Calibri" w:cs="Arial"/>
          <w:color w:val="222A35"/>
          <w:szCs w:val="20"/>
          <w:lang w:eastAsia="pl-PL"/>
        </w:rPr>
        <w:t xml:space="preserve">Zatwierdzam: </w:t>
      </w:r>
    </w:p>
    <w:p w14:paraId="2F506208" w14:textId="676BD7C0" w:rsidR="000F0C12" w:rsidRPr="00E87590" w:rsidRDefault="00E87590" w:rsidP="00E87590">
      <w:pPr>
        <w:spacing w:before="720" w:after="120" w:line="240" w:lineRule="auto"/>
        <w:ind w:left="0" w:firstLine="0"/>
        <w:jc w:val="right"/>
        <w:rPr>
          <w:rFonts w:eastAsia="Calibri" w:cs="Arial"/>
          <w:i/>
          <w:color w:val="222A35" w:themeColor="text2" w:themeShade="80"/>
          <w:szCs w:val="20"/>
          <w:lang w:eastAsia="pl-PL"/>
        </w:rPr>
      </w:pPr>
      <w:r w:rsidRPr="00E87590">
        <w:rPr>
          <w:rFonts w:eastAsia="Calibri" w:cs="Arial"/>
          <w:i/>
          <w:color w:val="222A35"/>
          <w:szCs w:val="20"/>
          <w:lang w:eastAsia="pl-PL"/>
        </w:rPr>
        <w:t>Agnieszka Maj-Z-ca Kanclerza</w:t>
      </w:r>
    </w:p>
    <w:p w14:paraId="63129DB7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22171B40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3BE5E87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0E961AD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6919BF1D" w14:textId="1BC5B3CC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A8F610B" w14:textId="398AA4DC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7EE010A" w14:textId="4A563B37" w:rsidR="00CE60FA" w:rsidRDefault="00CE60FA" w:rsidP="0095586B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692A9820" w14:textId="77777777" w:rsidR="00FD4F6C" w:rsidRDefault="00FD4F6C" w:rsidP="0095586B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6C94FAC1" w14:textId="2A649DA6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60EBCC24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FD4F6C">
        <w:rPr>
          <w:rFonts w:eastAsia="Calibri" w:cs="Arial"/>
          <w:color w:val="222A35"/>
          <w:szCs w:val="20"/>
          <w:lang w:eastAsia="pl-PL"/>
        </w:rPr>
        <w:t>listopad</w:t>
      </w:r>
      <w:r w:rsidR="000E65F5">
        <w:rPr>
          <w:rFonts w:eastAsia="Calibri" w:cs="Arial"/>
          <w:color w:val="222A35"/>
          <w:szCs w:val="20"/>
          <w:lang w:eastAsia="pl-PL"/>
        </w:rPr>
        <w:t xml:space="preserve"> 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0969002" w14:textId="7DB224ED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44DB8673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354E1223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1CBAA86B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2F4282F4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339CE939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67935EF2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2852B67A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5B5E8F3D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01459AC7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38516232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61B5093D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3408D9E3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06859F82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7E3F681A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7EEAD16C" w:rsidR="00266C63" w:rsidRPr="00266C63" w:rsidRDefault="00E8759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714AE24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70BD93ED" w14:textId="77777777" w:rsidR="00CE60FA" w:rsidRDefault="00CE60FA" w:rsidP="00CE60FA">
      <w:pPr>
        <w:tabs>
          <w:tab w:val="left" w:pos="284"/>
          <w:tab w:val="left" w:pos="6237"/>
        </w:tabs>
        <w:spacing w:before="100" w:beforeAutospacing="1" w:after="312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E85B4D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102113056"/>
      <w:r w:rsidRPr="005B5BDF">
        <w:lastRenderedPageBreak/>
        <w:t>Postanowienia ogólne</w:t>
      </w:r>
      <w:bookmarkEnd w:id="3"/>
      <w:bookmarkEnd w:id="4"/>
      <w:bookmarkEnd w:id="5"/>
      <w:r w:rsidRPr="005B5BDF">
        <w:t>.</w:t>
      </w:r>
      <w:bookmarkStart w:id="7" w:name="_Toc362736425"/>
      <w:bookmarkEnd w:id="6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7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03E93B05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105F9E">
        <w:rPr>
          <w:lang w:eastAsia="pl-PL"/>
        </w:rPr>
        <w:t>4</w:t>
      </w:r>
      <w:r w:rsidR="005E7402" w:rsidRPr="005E7402">
        <w:rPr>
          <w:lang w:eastAsia="pl-PL"/>
        </w:rPr>
        <w:t xml:space="preserve"> poz. 1</w:t>
      </w:r>
      <w:r w:rsidR="00105F9E">
        <w:rPr>
          <w:lang w:eastAsia="pl-PL"/>
        </w:rPr>
        <w:t>320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 xml:space="preserve">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CD2E49">
        <w:rPr>
          <w:rFonts w:eastAsia="Calibri"/>
        </w:rPr>
        <w:t>Pzp</w:t>
      </w:r>
      <w:proofErr w:type="spellEnd"/>
      <w:r w:rsidRPr="00CD2E49">
        <w:rPr>
          <w:rFonts w:eastAsia="Calibri"/>
        </w:rPr>
        <w:t xml:space="preserve"> (wariant I)</w:t>
      </w:r>
      <w:r w:rsidR="007051BA" w:rsidRPr="00CD2E49">
        <w:rPr>
          <w:rFonts w:eastAsia="Calibri"/>
        </w:rPr>
        <w:t xml:space="preserve"> oraz z uwzględnieniem przepisów Działu II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 xml:space="preserve">, na podstawie przepisu art. 266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>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79BD5136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98672B" w:rsidRPr="0098672B">
        <w:rPr>
          <w:rFonts w:eastAsia="Calibri"/>
          <w:b/>
        </w:rPr>
        <w:t>Dostawa</w:t>
      </w:r>
      <w:r w:rsidR="00FD4F6C" w:rsidRPr="00FD4F6C">
        <w:t xml:space="preserve"> </w:t>
      </w:r>
      <w:r w:rsidR="00FD4F6C" w:rsidRPr="00FD4F6C">
        <w:rPr>
          <w:rFonts w:eastAsia="Calibri"/>
          <w:b/>
        </w:rPr>
        <w:t>komory klimatycznej</w:t>
      </w:r>
      <w:r w:rsidR="00103256" w:rsidRPr="00403FD7">
        <w:rPr>
          <w:rFonts w:eastAsia="Calibri"/>
          <w:b/>
        </w:rPr>
        <w:t>”;</w:t>
      </w:r>
    </w:p>
    <w:p w14:paraId="6DEB84FD" w14:textId="384E4518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FD4F6C">
        <w:rPr>
          <w:b/>
        </w:rPr>
        <w:t>10</w:t>
      </w:r>
      <w:r w:rsidR="00D751FB">
        <w:rPr>
          <w:b/>
        </w:rPr>
        <w:t>6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40AB1996" w14:textId="1C6752D2" w:rsidR="00F85C46" w:rsidRPr="005B5BDF" w:rsidRDefault="00F85C46" w:rsidP="00E85B4D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102113057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C801D25" w14:textId="4C9C315C" w:rsidR="0098672B" w:rsidRPr="00414B25" w:rsidRDefault="00274FBA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2" w:name="_Hlk66189265"/>
      <w:r w:rsidR="0098672B"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="0098672B" w:rsidRPr="00414B25">
        <w:rPr>
          <w:rFonts w:eastAsia="Times New Roman" w:cs="Times New Roman"/>
          <w:b/>
          <w:bCs/>
          <w:szCs w:val="26"/>
          <w:lang w:eastAsia="pl-PL"/>
        </w:rPr>
        <w:t>dostawa</w:t>
      </w:r>
      <w:r w:rsidR="00D751FB" w:rsidRPr="00D751FB">
        <w:t xml:space="preserve"> </w:t>
      </w:r>
      <w:r w:rsidR="00FD4F6C" w:rsidRPr="00FD4F6C">
        <w:rPr>
          <w:b/>
        </w:rPr>
        <w:t>komory klimatycznej</w:t>
      </w:r>
      <w:r w:rsidR="00FD4F6C" w:rsidRPr="00FD4F6C"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(1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szt.)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-określon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w załączniku nr 2 do SWZ,  zwan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dalej urządzeni</w:t>
      </w:r>
      <w:r w:rsidR="0095586B">
        <w:rPr>
          <w:rFonts w:eastAsia="Times New Roman" w:cs="Times New Roman"/>
          <w:bCs/>
          <w:szCs w:val="26"/>
          <w:lang w:eastAsia="pl-PL"/>
        </w:rPr>
        <w:t>em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6860CD3" w14:textId="295A382A" w:rsidR="0098672B" w:rsidRPr="0098672B" w:rsidRDefault="0098672B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Oferowane urządzeni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mus</w:t>
      </w:r>
      <w:r w:rsidR="0095586B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nowe i nieużywane, pochodzić z bieżącej produkcji                      (nie starsze niż  202</w:t>
      </w:r>
      <w:r w:rsidR="00D751FB">
        <w:rPr>
          <w:rFonts w:eastAsia="Times New Roman" w:cs="Times New Roman"/>
          <w:bCs/>
          <w:szCs w:val="26"/>
          <w:lang w:eastAsia="pl-PL"/>
        </w:rPr>
        <w:t>3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</w:t>
      </w:r>
      <w:r w:rsidR="00237CC5">
        <w:rPr>
          <w:rFonts w:eastAsia="Times New Roman" w:cs="Times New Roman"/>
          <w:bCs/>
          <w:szCs w:val="26"/>
          <w:lang w:eastAsia="pl-PL"/>
        </w:rPr>
        <w:t xml:space="preserve">, normy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dopuszczające je do sprzedaży i użytkowania na terenie RP.</w:t>
      </w:r>
    </w:p>
    <w:p w14:paraId="3FA6E32D" w14:textId="1D00BB7A" w:rsidR="0098672B" w:rsidRPr="00862801" w:rsidRDefault="0098672B" w:rsidP="005741C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/>
          <w:bCs/>
          <w:szCs w:val="26"/>
          <w:lang w:eastAsia="pl-PL"/>
        </w:rPr>
        <w:t xml:space="preserve">Zakres zamówienia </w:t>
      </w:r>
      <w:r w:rsidRPr="00862801">
        <w:rPr>
          <w:rFonts w:eastAsia="Times New Roman" w:cs="Times New Roman"/>
          <w:b/>
          <w:bCs/>
          <w:szCs w:val="26"/>
          <w:lang w:eastAsia="pl-PL"/>
        </w:rPr>
        <w:t>obejmuje</w:t>
      </w:r>
      <w:r w:rsidRPr="00862801">
        <w:rPr>
          <w:rFonts w:eastAsia="Times New Roman" w:cs="Times New Roman"/>
          <w:bCs/>
          <w:szCs w:val="26"/>
          <w:lang w:eastAsia="pl-PL"/>
        </w:rPr>
        <w:t>: zakup urządzenia wraz z jego dostarczeniem, transportem, rozładunkiem i wniesieniem do miejsca wskazanego przez Zamawiającego</w:t>
      </w:r>
      <w:r w:rsidR="00015B4D" w:rsidRPr="00862801">
        <w:rPr>
          <w:rFonts w:eastAsia="Times New Roman" w:cs="Times New Roman"/>
          <w:bCs/>
          <w:szCs w:val="26"/>
          <w:lang w:eastAsia="pl-PL"/>
        </w:rPr>
        <w:t>, a także</w:t>
      </w:r>
      <w:r w:rsidR="00D751FB" w:rsidRPr="00862801">
        <w:rPr>
          <w:rFonts w:eastAsia="Times New Roman" w:cs="Times New Roman"/>
          <w:bCs/>
          <w:szCs w:val="26"/>
          <w:lang w:eastAsia="pl-PL"/>
        </w:rPr>
        <w:t xml:space="preserve"> instalację</w:t>
      </w:r>
      <w:r w:rsidR="00105F9E" w:rsidRPr="00105F9E">
        <w:rPr>
          <w:rFonts w:eastAsia="Times New Roman" w:cs="Times New Roman"/>
          <w:bCs/>
          <w:szCs w:val="26"/>
          <w:lang w:eastAsia="pl-PL"/>
        </w:rPr>
        <w:t xml:space="preserve">, uruchomienie urządzenia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oraz</w:t>
      </w:r>
      <w:bookmarkStart w:id="13" w:name="_Hlk138681184"/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szkoleni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e z obsługi urządzenia 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dla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3 osób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w dniu dostarczenia </w:t>
      </w:r>
      <w:bookmarkEnd w:id="13"/>
      <w:r w:rsidR="00053FBE" w:rsidRPr="00977266">
        <w:rPr>
          <w:rFonts w:eastAsia="Times New Roman" w:cs="Times New Roman"/>
          <w:bCs/>
          <w:szCs w:val="26"/>
          <w:lang w:eastAsia="pl-PL"/>
        </w:rPr>
        <w:t>urządzenia</w:t>
      </w:r>
      <w:r w:rsidR="00015B4D" w:rsidRPr="00977266">
        <w:rPr>
          <w:rFonts w:eastAsia="Times New Roman" w:cs="Times New Roman"/>
          <w:bCs/>
          <w:szCs w:val="26"/>
          <w:lang w:eastAsia="pl-PL"/>
        </w:rPr>
        <w:t xml:space="preserve">. </w:t>
      </w:r>
      <w:r w:rsidRPr="00862801">
        <w:rPr>
          <w:rFonts w:eastAsia="Times New Roman" w:cs="Times New Roman"/>
          <w:bCs/>
          <w:szCs w:val="26"/>
          <w:lang w:eastAsia="pl-PL"/>
        </w:rPr>
        <w:t>Wykonawca jest zobowiązany zapewnić bezpłatny serwis gwarancyjny</w:t>
      </w:r>
      <w:r w:rsidR="00DC5B91" w:rsidRPr="00862801">
        <w:rPr>
          <w:rFonts w:eastAsia="Times New Roman" w:cs="Times New Roman"/>
          <w:bCs/>
          <w:szCs w:val="26"/>
          <w:lang w:eastAsia="pl-PL"/>
        </w:rPr>
        <w:t xml:space="preserve"> i wsparcie techniczne w okresie gwarancji</w:t>
      </w:r>
      <w:r w:rsidR="002D1E0A" w:rsidRPr="00862801">
        <w:rPr>
          <w:rFonts w:eastAsia="Times New Roman" w:cs="Times New Roman"/>
          <w:bCs/>
          <w:szCs w:val="26"/>
          <w:lang w:eastAsia="pl-PL"/>
        </w:rPr>
        <w:t>;</w:t>
      </w:r>
    </w:p>
    <w:bookmarkEnd w:id="12"/>
    <w:p w14:paraId="4A8C3F4B" w14:textId="493BB04B" w:rsidR="00274FBA" w:rsidRPr="00862801" w:rsidRDefault="00274FBA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16624C6D" w:rsidR="006F213D" w:rsidRPr="00862801" w:rsidRDefault="00274FBA" w:rsidP="0063185A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105F9E" w:rsidRPr="00105F9E">
        <w:t xml:space="preserve"> </w:t>
      </w:r>
      <w:r w:rsidR="00105F9E" w:rsidRPr="00105F9E">
        <w:rPr>
          <w:rFonts w:eastAsia="Calibri" w:cs="Times New Roman"/>
          <w:b/>
          <w:bCs/>
          <w:szCs w:val="26"/>
          <w:lang w:eastAsia="x-none"/>
        </w:rPr>
        <w:t>42123000-7</w:t>
      </w:r>
      <w:r w:rsidR="0098672B" w:rsidRPr="00862801">
        <w:t xml:space="preserve"> </w:t>
      </w:r>
      <w:r w:rsidR="0063185A" w:rsidRPr="00862801">
        <w:rPr>
          <w:rFonts w:eastAsia="Calibri" w:cs="Times New Roman"/>
          <w:b/>
          <w:bCs/>
          <w:szCs w:val="26"/>
          <w:lang w:eastAsia="x-none"/>
        </w:rPr>
        <w:t xml:space="preserve"> </w:t>
      </w:r>
      <w:r w:rsidR="00105F9E" w:rsidRPr="00105F9E">
        <w:rPr>
          <w:rFonts w:eastAsia="Calibri" w:cs="Times New Roman"/>
          <w:b/>
          <w:bCs/>
          <w:szCs w:val="26"/>
          <w:lang w:eastAsia="x-none"/>
        </w:rPr>
        <w:t>Sprężarki</w:t>
      </w:r>
    </w:p>
    <w:p w14:paraId="276985F9" w14:textId="12AC3D1D" w:rsidR="00170642" w:rsidRPr="00862801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862801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0E1E8C30" w:rsidR="00F85C46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 w:rsidRPr="00862801">
        <w:rPr>
          <w:lang w:val="pl-PL"/>
        </w:rPr>
        <w:t>S</w:t>
      </w:r>
      <w:proofErr w:type="spellStart"/>
      <w:r w:rsidR="00F85C46" w:rsidRPr="00862801">
        <w:t>zczegółowy</w:t>
      </w:r>
      <w:proofErr w:type="spellEnd"/>
      <w:r w:rsidR="00F85C46" w:rsidRPr="00862801">
        <w:t xml:space="preserve"> opis przedmiotu zamówie</w:t>
      </w:r>
      <w:r w:rsidR="00170642" w:rsidRPr="00862801">
        <w:t>nia stanowi załącznik nr 2 do S</w:t>
      </w:r>
      <w:r w:rsidR="00F85C46" w:rsidRPr="00862801">
        <w:t>WZ;</w:t>
      </w:r>
      <w:r w:rsidR="00274FBA" w:rsidRPr="00862801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862801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 w:rsidRPr="00862801">
        <w:rPr>
          <w:lang w:val="pl-PL"/>
        </w:rPr>
        <w:t>W</w:t>
      </w:r>
      <w:r w:rsidR="00274FBA" w:rsidRPr="00862801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862801">
        <w:br/>
      </w:r>
      <w:r w:rsidR="00274FBA" w:rsidRPr="00862801">
        <w:lastRenderedPageBreak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 w:rsidRPr="00862801">
        <w:rPr>
          <w:lang w:val="pl-PL"/>
        </w:rPr>
        <w:t xml:space="preserve">                       </w:t>
      </w:r>
      <w:r w:rsidR="00274FBA" w:rsidRPr="00862801">
        <w:t>w celu oceny równoważności;</w:t>
      </w:r>
    </w:p>
    <w:p w14:paraId="5F7DD6A0" w14:textId="7B974EDD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 w:rsidRPr="00862801">
        <w:rPr>
          <w:lang w:val="pl-PL"/>
        </w:rPr>
        <w:t xml:space="preserve">W </w:t>
      </w:r>
      <w:r w:rsidR="00274FBA" w:rsidRPr="00862801">
        <w:t xml:space="preserve">sytuacjach, kiedy Zamawiający opisuje przedmiot zamówienia poprzez odniesienie się </w:t>
      </w:r>
      <w:r w:rsidR="00274FBA" w:rsidRPr="00862801">
        <w:br/>
        <w:t xml:space="preserve">do norm, ocen technicznych, specyfikacji technicznych i systemów referencji technicznych, o których mowa w art. 101 ust. 1 pkt 2 i ust. 3 6 ustawy </w:t>
      </w:r>
      <w:proofErr w:type="spellStart"/>
      <w:r w:rsidR="00274FBA" w:rsidRPr="00862801">
        <w:t>Pzp</w:t>
      </w:r>
      <w:proofErr w:type="spellEnd"/>
      <w:r w:rsidR="00274FBA" w:rsidRPr="00862801">
        <w:t xml:space="preserve">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 w:rsidRPr="00862801">
        <w:rPr>
          <w:lang w:val="pl-PL"/>
        </w:rPr>
        <w:t>W</w:t>
      </w:r>
      <w:proofErr w:type="spellStart"/>
      <w:r w:rsidR="00274FBA" w:rsidRPr="00862801">
        <w:t>ykonawca</w:t>
      </w:r>
      <w:proofErr w:type="spellEnd"/>
      <w:r w:rsidR="00274FBA" w:rsidRPr="00862801">
        <w:t xml:space="preserve"> załączy do oferty wykaz zaproponowanych rozwiązań równoważnych wraz z ich opisem lub wskazaniem właściwych norm;</w:t>
      </w:r>
    </w:p>
    <w:p w14:paraId="799FAE95" w14:textId="2BDDFC85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 w:rsidRPr="00862801">
        <w:rPr>
          <w:lang w:val="pl-PL"/>
        </w:rPr>
        <w:t>W</w:t>
      </w:r>
      <w:r w:rsidR="00274FBA" w:rsidRPr="00862801">
        <w:t xml:space="preserve"> przypadku, kiedy Zamawiający w opisie przedmiotu zamówienia określa dopuszczalny margines tolerancji lub minimalny zakres wymaganych parametrów technicznych – parametry oferowan</w:t>
      </w:r>
      <w:r w:rsidR="005F26F5" w:rsidRPr="00862801">
        <w:rPr>
          <w:lang w:val="pl-PL"/>
        </w:rPr>
        <w:t>ego urządzenia</w:t>
      </w:r>
      <w:r w:rsidR="00274FBA" w:rsidRPr="00862801">
        <w:t xml:space="preserve"> </w:t>
      </w:r>
      <w:r w:rsidR="00A03E2C" w:rsidRPr="00862801">
        <w:rPr>
          <w:lang w:val="pl-PL"/>
        </w:rPr>
        <w:t>po</w:t>
      </w:r>
      <w:r w:rsidR="00274FBA" w:rsidRPr="00862801">
        <w:t>winny mieścić się we wskazanych przez Zamawiającego w załączniku nr 2 do SWZ</w:t>
      </w:r>
      <w:r w:rsidR="00274FBA" w:rsidRPr="00862801">
        <w:rPr>
          <w:rFonts w:eastAsia="Calibri"/>
        </w:rPr>
        <w:t xml:space="preserve"> przedziałach i zakresach tolerancji pod rygorem odrzucenia oferty</w:t>
      </w:r>
      <w:r w:rsidR="00274FBA" w:rsidRPr="00862801">
        <w:rPr>
          <w:rFonts w:eastAsia="Calibri"/>
          <w:lang w:val="pl-PL"/>
        </w:rPr>
        <w:t>;</w:t>
      </w:r>
    </w:p>
    <w:p w14:paraId="24854E9F" w14:textId="6F5DF5BA" w:rsidR="00FB3F58" w:rsidRPr="00862801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>Opis części zamówienia. Oferty wariantowe.</w:t>
      </w:r>
    </w:p>
    <w:p w14:paraId="59E949D6" w14:textId="3B027989" w:rsidR="00E56DA1" w:rsidRPr="00862801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862801">
        <w:rPr>
          <w:bCs/>
          <w:lang w:eastAsia="x-none"/>
        </w:rPr>
        <w:t xml:space="preserve">Zamawiający </w:t>
      </w:r>
      <w:r w:rsidR="003F5E14" w:rsidRPr="00862801">
        <w:rPr>
          <w:bCs/>
          <w:lang w:eastAsia="x-none"/>
        </w:rPr>
        <w:t xml:space="preserve"> nie </w:t>
      </w:r>
      <w:r w:rsidRPr="00862801">
        <w:rPr>
          <w:bCs/>
          <w:lang w:eastAsia="x-none"/>
        </w:rPr>
        <w:t>dopuszcza możliwoś</w:t>
      </w:r>
      <w:r w:rsidR="003F5E14" w:rsidRPr="00862801">
        <w:rPr>
          <w:bCs/>
          <w:lang w:eastAsia="x-none"/>
        </w:rPr>
        <w:t>ci</w:t>
      </w:r>
      <w:r w:rsidRPr="00862801">
        <w:rPr>
          <w:bCs/>
          <w:lang w:eastAsia="x-none"/>
        </w:rPr>
        <w:t xml:space="preserve"> składania ofert częściowych, </w:t>
      </w:r>
      <w:bookmarkStart w:id="14" w:name="_Hlk122085643"/>
      <w:r w:rsidR="00DD019B" w:rsidRPr="00862801">
        <w:rPr>
          <w:bCs/>
          <w:lang w:eastAsia="x-none"/>
        </w:rPr>
        <w:t>ponieważ mamy do czynienia z zamówieniem jednorodnym i niepodzielnym. Przedmiotowe zamówienie  jest częścią większego zamówienia udzielanego w częściach.</w:t>
      </w:r>
    </w:p>
    <w:bookmarkEnd w:id="14"/>
    <w:p w14:paraId="1753AF65" w14:textId="5799B211" w:rsidR="00E56DA1" w:rsidRPr="00862801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86280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862801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62801">
        <w:rPr>
          <w:color w:val="auto"/>
        </w:rPr>
        <w:t>Informacja o zamówieniach na dod</w:t>
      </w:r>
      <w:r w:rsidR="0055317F" w:rsidRPr="00862801">
        <w:rPr>
          <w:color w:val="auto"/>
        </w:rPr>
        <w:t>atkowe dostawy w rozumieniu</w:t>
      </w:r>
      <w:r w:rsidR="0080582A" w:rsidRPr="00862801">
        <w:rPr>
          <w:color w:val="auto"/>
        </w:rPr>
        <w:t xml:space="preserve"> art. 214 ust. 1 pkt 8 w zw. z art. 304 ustawy</w:t>
      </w:r>
      <w:r w:rsidRPr="00862801">
        <w:rPr>
          <w:color w:val="auto"/>
        </w:rPr>
        <w:t xml:space="preserve"> Pzp.</w:t>
      </w:r>
      <w:r w:rsidR="00FD62F5" w:rsidRPr="00862801">
        <w:rPr>
          <w:color w:val="auto"/>
        </w:rPr>
        <w:t xml:space="preserve"> </w:t>
      </w:r>
      <w:r w:rsidR="00FD62F5" w:rsidRPr="0086280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47C47EFE" w:rsidR="00AA08D1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862801">
        <w:rPr>
          <w:color w:val="auto"/>
        </w:rPr>
        <w:t>Termin realizacji zamówienia</w:t>
      </w:r>
      <w:r w:rsidRPr="007B6F01">
        <w:rPr>
          <w:b w:val="0"/>
          <w:color w:val="auto"/>
        </w:rPr>
        <w:t xml:space="preserve">: </w:t>
      </w:r>
      <w:r w:rsidR="003F5E14" w:rsidRPr="007B6F01">
        <w:rPr>
          <w:b w:val="0"/>
          <w:color w:val="auto"/>
        </w:rPr>
        <w:t xml:space="preserve"> </w:t>
      </w:r>
      <w:r w:rsidR="001E10B1" w:rsidRPr="007B6F01">
        <w:rPr>
          <w:rFonts w:eastAsia="Calibri"/>
          <w:b w:val="0"/>
          <w:color w:val="auto"/>
        </w:rPr>
        <w:t xml:space="preserve"> </w:t>
      </w:r>
      <w:bookmarkStart w:id="15" w:name="_Hlk66189668"/>
      <w:r w:rsidR="00AA08D1" w:rsidRPr="007B6F01">
        <w:rPr>
          <w:rFonts w:eastAsia="Calibri"/>
          <w:b w:val="0"/>
          <w:color w:val="auto"/>
        </w:rPr>
        <w:t xml:space="preserve">do </w:t>
      </w:r>
      <w:r w:rsidR="00053FBE" w:rsidRPr="007B6F01">
        <w:rPr>
          <w:rFonts w:eastAsia="Calibri"/>
          <w:b w:val="0"/>
          <w:color w:val="auto"/>
        </w:rPr>
        <w:t>7</w:t>
      </w:r>
      <w:r w:rsidR="00AA08D1" w:rsidRPr="007B6F01">
        <w:rPr>
          <w:rFonts w:eastAsia="Calibri"/>
          <w:b w:val="0"/>
          <w:color w:val="auto"/>
        </w:rPr>
        <w:t xml:space="preserve"> tygodni od daty zawarcia umowy.</w:t>
      </w:r>
    </w:p>
    <w:p w14:paraId="5848B07C" w14:textId="4CC185B8" w:rsidR="007B6F01" w:rsidRPr="007B6F01" w:rsidRDefault="007B6F01" w:rsidP="007B6F01">
      <w:pPr>
        <w:ind w:left="284" w:firstLine="0"/>
        <w:rPr>
          <w:lang w:eastAsia="x-none"/>
        </w:rPr>
      </w:pPr>
      <w:r w:rsidRPr="007B6F01">
        <w:rPr>
          <w:lang w:eastAsia="x-none"/>
        </w:rPr>
        <w:t xml:space="preserve">Termin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stanowi obok ceny i </w:t>
      </w:r>
      <w:r>
        <w:rPr>
          <w:lang w:eastAsia="x-none"/>
        </w:rPr>
        <w:t xml:space="preserve">terminu gwarancji </w:t>
      </w:r>
      <w:r w:rsidRPr="007B6F01">
        <w:rPr>
          <w:lang w:eastAsia="x-none"/>
        </w:rPr>
        <w:t xml:space="preserve"> kryterium oceny ofert. Wykonawca może zaoferować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w stosunku do ww. terminu. Oferta Wykonawcy, który zaoferuje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, otrzyma punkty w  ramach tego kryterium oceny.</w:t>
      </w:r>
    </w:p>
    <w:bookmarkEnd w:id="15"/>
    <w:p w14:paraId="21F074F7" w14:textId="74A32776" w:rsidR="00F0343C" w:rsidRPr="00862801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 xml:space="preserve">Warunki realizacji zamówienia, termin gwarancji, warunki płatności. </w:t>
      </w:r>
    </w:p>
    <w:p w14:paraId="5A42E2E7" w14:textId="76D7A58F" w:rsidR="00572D77" w:rsidRPr="00862801" w:rsidRDefault="00F85C46" w:rsidP="00053FBE">
      <w:pPr>
        <w:pStyle w:val="Nagwek3"/>
        <w:widowControl w:val="0"/>
        <w:numPr>
          <w:ilvl w:val="3"/>
          <w:numId w:val="41"/>
        </w:numPr>
        <w:ind w:left="567" w:hanging="283"/>
      </w:pPr>
      <w:r w:rsidRPr="00053FBE">
        <w:rPr>
          <w:b/>
        </w:rPr>
        <w:t>Adres dostawy</w:t>
      </w:r>
      <w:r w:rsidR="006A3421" w:rsidRPr="00862801">
        <w:t xml:space="preserve">: </w:t>
      </w:r>
      <w:bookmarkStart w:id="16" w:name="_Hlk64364983"/>
      <w:r w:rsidR="004D3896" w:rsidRPr="00862801">
        <w:t>Uniwersytet Śląski w Katowicach</w:t>
      </w:r>
      <w:bookmarkEnd w:id="16"/>
      <w:r w:rsidR="00572D77" w:rsidRPr="00862801">
        <w:t xml:space="preserve">, </w:t>
      </w:r>
      <w:r w:rsidR="001667E4" w:rsidRPr="00862801">
        <w:t>Wydział Nauk Ścisłych i Technicznych</w:t>
      </w:r>
      <w:r w:rsidR="00053FBE" w:rsidRPr="00053FBE">
        <w:t xml:space="preserve"> ul. 75 Pułku Piechoty 1a, 41-500 Chorzów (główny budynek SMCEBI) pokój: e/1/03</w:t>
      </w:r>
    </w:p>
    <w:p w14:paraId="1581F716" w14:textId="0F560D10" w:rsidR="00FD62F5" w:rsidRPr="00862801" w:rsidRDefault="00687243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</w:pPr>
      <w:r w:rsidRPr="00862801">
        <w:rPr>
          <w:b/>
        </w:rPr>
        <w:t>Wymagany minimalny termin gwarancji</w:t>
      </w:r>
      <w:r w:rsidR="00EE05AC" w:rsidRPr="00862801">
        <w:t>:</w:t>
      </w:r>
      <w:r w:rsidR="001156FB" w:rsidRPr="00862801">
        <w:t xml:space="preserve"> </w:t>
      </w:r>
      <w:r w:rsidR="00053FBE">
        <w:t>24</w:t>
      </w:r>
      <w:r w:rsidR="004D3896" w:rsidRPr="00862801">
        <w:t xml:space="preserve"> m-c</w:t>
      </w:r>
      <w:r w:rsidR="00053FBE">
        <w:t>e</w:t>
      </w:r>
      <w:r w:rsidR="00EE05AC" w:rsidRPr="00862801">
        <w:t>.</w:t>
      </w:r>
    </w:p>
    <w:p w14:paraId="40902D02" w14:textId="6060DDB0" w:rsidR="00CB45CD" w:rsidRPr="00862801" w:rsidRDefault="00CB45CD" w:rsidP="007B6F01">
      <w:pPr>
        <w:pStyle w:val="Tekstpodstawowy"/>
        <w:ind w:left="709" w:hanging="142"/>
        <w:rPr>
          <w:rFonts w:ascii="Bahnschrift" w:hAnsi="Bahnschrift"/>
          <w:sz w:val="20"/>
          <w:lang w:val="pl-PL" w:eastAsia="x-none"/>
        </w:rPr>
      </w:pPr>
      <w:bookmarkStart w:id="17" w:name="_Hlk170335752"/>
      <w:r w:rsidRPr="00862801">
        <w:rPr>
          <w:rFonts w:ascii="Bahnschrift" w:hAnsi="Bahnschrift"/>
          <w:sz w:val="20"/>
          <w:lang w:val="pl-PL" w:eastAsia="x-none"/>
        </w:rPr>
        <w:t xml:space="preserve">Termin gwarancji stanowi obok ceny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i </w:t>
      </w:r>
      <w:r w:rsidR="007B6F01">
        <w:rPr>
          <w:rFonts w:ascii="Bahnschrift" w:hAnsi="Bahnschrift"/>
          <w:sz w:val="20"/>
          <w:lang w:val="pl-PL" w:eastAsia="x-none"/>
        </w:rPr>
        <w:t xml:space="preserve">terminu realizacji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kryterium oceny ofert.</w:t>
      </w:r>
      <w:r w:rsidR="007B6F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Wykonawca może zaoferować dłuższy  termin  gwarancji  w stosunku do ww. terminu. Oferta Wykonawcy, który zaoferuje dłuższy termin  gwarancji , otrzyma punkty w  ramach tego kryterium oceny.</w:t>
      </w:r>
    </w:p>
    <w:bookmarkEnd w:id="17"/>
    <w:p w14:paraId="440E065C" w14:textId="07FA5BC2" w:rsidR="00F85C46" w:rsidRPr="005B5BDF" w:rsidRDefault="00F85C46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rFonts w:eastAsia="Calibri"/>
          <w:noProof/>
        </w:rPr>
      </w:pPr>
      <w:r w:rsidRPr="00862801">
        <w:rPr>
          <w:rFonts w:eastAsia="Calibri"/>
          <w:noProof/>
        </w:rPr>
        <w:t xml:space="preserve">Szczegółowe warunki realizacji zamówienia oraz warunki płatności </w:t>
      </w:r>
      <w:r w:rsidRPr="005B5BDF">
        <w:rPr>
          <w:rFonts w:eastAsia="Calibri"/>
          <w:noProof/>
        </w:rPr>
        <w:t>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ykonawców, </w:t>
      </w:r>
      <w:r w:rsidR="00593C25" w:rsidRPr="005B5BDF">
        <w:rPr>
          <w:rFonts w:eastAsia="Calibri"/>
        </w:rPr>
        <w:lastRenderedPageBreak/>
        <w:t>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8" w:name="_Toc102113058"/>
      <w:r w:rsidRPr="005B5BDF">
        <w:t>Przedmiotowe środki dowodowe.</w:t>
      </w:r>
      <w:bookmarkEnd w:id="18"/>
    </w:p>
    <w:p w14:paraId="69D83601" w14:textId="77777777" w:rsidR="00E4751B" w:rsidRP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8967850" w14:textId="6A091E47" w:rsidR="00E4751B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urządze</w:t>
            </w:r>
            <w:r w:rsidR="00CB45CD">
              <w:rPr>
                <w:b w:val="0"/>
                <w:sz w:val="18"/>
                <w:szCs w:val="18"/>
              </w:rPr>
              <w:t>nia</w:t>
            </w:r>
            <w:r w:rsidRPr="00FA6B17">
              <w:rPr>
                <w:b w:val="0"/>
                <w:sz w:val="18"/>
                <w:szCs w:val="18"/>
              </w:rPr>
              <w:t xml:space="preserve">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 xml:space="preserve">w opisie przedmiotu zamówienia.  </w:t>
            </w:r>
          </w:p>
          <w:p w14:paraId="2F9267B6" w14:textId="5EA2CD78" w:rsidR="00E4751B" w:rsidRPr="00FA6B17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 xml:space="preserve">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19" w:name="_Toc375581634"/>
      <w:bookmarkStart w:id="20" w:name="_Toc375581816"/>
      <w:bookmarkStart w:id="21" w:name="_Toc375582133"/>
      <w:bookmarkStart w:id="22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9"/>
      <w:bookmarkEnd w:id="20"/>
      <w:bookmarkEnd w:id="21"/>
      <w:bookmarkEnd w:id="22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 xml:space="preserve">ykonawca, </w:t>
      </w:r>
      <w:r w:rsidR="006A1250" w:rsidRPr="0093164C">
        <w:rPr>
          <w:b w:val="0"/>
          <w:color w:val="auto"/>
        </w:rPr>
        <w:lastRenderedPageBreak/>
        <w:t>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 xml:space="preserve">ustawy </w:t>
      </w:r>
      <w:proofErr w:type="spellStart"/>
      <w:r w:rsidR="00D0074D" w:rsidRPr="005B5BDF">
        <w:rPr>
          <w:rFonts w:eastAsia="Calibri"/>
        </w:rPr>
        <w:t>Pzp</w:t>
      </w:r>
      <w:proofErr w:type="spellEnd"/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="00635695" w:rsidRPr="00636F3B">
        <w:rPr>
          <w:rFonts w:eastAsia="Calibri"/>
        </w:rPr>
        <w:t>Pzp</w:t>
      </w:r>
      <w:proofErr w:type="spellEnd"/>
      <w:r w:rsidR="00635695" w:rsidRPr="00636F3B">
        <w:rPr>
          <w:rFonts w:eastAsia="Calibri"/>
        </w:rPr>
        <w:t>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wstępnego, o którym mowa w art. 125 ust. 1 ustawy </w:t>
      </w:r>
      <w:proofErr w:type="spellStart"/>
      <w:r w:rsidRPr="00636F3B">
        <w:rPr>
          <w:rFonts w:eastAsia="Calibri"/>
        </w:rPr>
        <w:t>Pzp</w:t>
      </w:r>
      <w:proofErr w:type="spellEnd"/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30D2DA1D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Dz.U. 2023 poz. </w:t>
      </w:r>
      <w:r w:rsidR="005F26F5" w:rsidRPr="005F26F5">
        <w:rPr>
          <w:rFonts w:ascii="Bahnschrift" w:hAnsi="Bahnschrift"/>
          <w:sz w:val="20"/>
          <w:lang w:val="pl-PL" w:eastAsia="x-none"/>
        </w:rPr>
        <w:t>1497 ze zm.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3" w:name="_Toc102113060"/>
      <w:r w:rsidRPr="005B5BDF">
        <w:t>Kwalifikacja podmiotowa – warunki udziału w postępowaniu.</w:t>
      </w:r>
      <w:bookmarkEnd w:id="23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4" w:name="_Toc102113061"/>
      <w:r w:rsidRPr="005B5BDF">
        <w:rPr>
          <w:noProof/>
        </w:rPr>
        <w:t>Oświadczenie wstępne, podmiotowe środki dowodowe oraz inne dokumenty.</w:t>
      </w:r>
      <w:bookmarkEnd w:id="24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 xml:space="preserve">Zgodnie z dyspozycją przepisu art. 273 ust. 2 ustawy </w:t>
      </w:r>
      <w:proofErr w:type="spellStart"/>
      <w:r w:rsidR="006364F5" w:rsidRPr="005B5BDF">
        <w:t>Pzp</w:t>
      </w:r>
      <w:proofErr w:type="spellEnd"/>
      <w:r w:rsidR="006364F5"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</w:t>
      </w:r>
      <w:r w:rsidR="006364F5" w:rsidRPr="005B5BDF">
        <w:lastRenderedPageBreak/>
        <w:t>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5" w:name="_Toc102113062"/>
      <w:r w:rsidRPr="005B5BDF">
        <w:t>Wymagania dotyczące wadium.</w:t>
      </w:r>
      <w:bookmarkStart w:id="26" w:name="OLE_LINK1"/>
      <w:bookmarkEnd w:id="25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7" w:name="_Toc102113063"/>
      <w:bookmarkEnd w:id="26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7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 xml:space="preserve">ykonawcami, </w:t>
      </w:r>
      <w:r w:rsidRPr="005B5BDF">
        <w:lastRenderedPageBreak/>
        <w:t>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0A8D4FBD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CB45CD" w:rsidRPr="00CB45CD">
        <w:rPr>
          <w:b/>
          <w:lang w:val="pl"/>
        </w:rPr>
        <w:t>mgr Małgorzata Wróblewska, m</w:t>
      </w:r>
      <w:r w:rsidR="00301EA8" w:rsidRPr="00CB45CD">
        <w:rPr>
          <w:b/>
          <w:color w:val="222A35" w:themeColor="text2" w:themeShade="80"/>
          <w:lang w:val="pl"/>
        </w:rPr>
        <w:t>gr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 xml:space="preserve">Justyna </w:t>
      </w:r>
      <w:r w:rsidR="00BE6370" w:rsidRPr="00BE6370">
        <w:rPr>
          <w:b/>
          <w:color w:val="222A35" w:themeColor="text2" w:themeShade="80"/>
          <w:lang w:val="pl"/>
        </w:rPr>
        <w:lastRenderedPageBreak/>
        <w:t>Rutkowska – Zawada</w:t>
      </w:r>
      <w:r w:rsidR="00301EA8" w:rsidRPr="00636F3B">
        <w:rPr>
          <w:b/>
          <w:color w:val="222A35" w:themeColor="text2" w:themeShade="80"/>
          <w:lang w:val="pl"/>
        </w:rPr>
        <w:t>, mgr Damian Ludwikowski</w:t>
      </w:r>
      <w:r w:rsidR="00E9373B" w:rsidRPr="00636F3B">
        <w:rPr>
          <w:b/>
          <w:color w:val="222A35" w:themeColor="text2" w:themeShade="80"/>
          <w:lang w:val="pl"/>
        </w:rPr>
        <w:t xml:space="preserve">, mgr </w:t>
      </w:r>
      <w:r w:rsidR="00BE6370" w:rsidRPr="00636F3B">
        <w:rPr>
          <w:b/>
          <w:color w:val="222A35" w:themeColor="text2" w:themeShade="80"/>
          <w:lang w:val="pl"/>
        </w:rPr>
        <w:t>Kalina Rożek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 xml:space="preserve">zakładce „Instrukcje </w:t>
      </w:r>
      <w:r w:rsidRPr="005B5BDF">
        <w:rPr>
          <w:rFonts w:eastAsia="Calibri"/>
          <w:lang w:val="pl"/>
        </w:rPr>
        <w:lastRenderedPageBreak/>
        <w:t>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7369EC4C" w14:textId="4B960213" w:rsidR="007206AE" w:rsidRPr="005B5BDF" w:rsidRDefault="001C43D0" w:rsidP="00E85B4D">
      <w:pPr>
        <w:pStyle w:val="Nagwek1"/>
      </w:pPr>
      <w:bookmarkStart w:id="28" w:name="_wp2umuqo1p7z" w:colFirst="0" w:colLast="0"/>
      <w:bookmarkStart w:id="29" w:name="_Toc102113064"/>
      <w:bookmarkEnd w:id="28"/>
      <w:r w:rsidRPr="005B5BDF">
        <w:t>Opis sposobu przygotowania ofert.</w:t>
      </w:r>
      <w:bookmarkEnd w:id="29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</w:t>
      </w:r>
      <w:r w:rsidR="00002F1C" w:rsidRPr="005B5BDF">
        <w:lastRenderedPageBreak/>
        <w:t>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4159B91E" w14:textId="77777777" w:rsidR="00F856D2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F856D2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75A6175" w:rsidR="00297EB3" w:rsidRPr="005B5BDF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64C40155" w14:textId="69BF406D" w:rsidR="00190E91" w:rsidRPr="00190E91" w:rsidRDefault="00190E9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 w:rsidRPr="00190E91">
        <w:rPr>
          <w:rFonts w:eastAsia="Arial Unicode MS"/>
        </w:rPr>
        <w:t xml:space="preserve">Wykonawca powinien skonkretyzować w formularzu oferty (załącznik nr 1A do SWZ) oferowany produkt, podając </w:t>
      </w:r>
      <w:r w:rsidRPr="00190E91">
        <w:rPr>
          <w:rFonts w:eastAsia="Arial Unicode MS"/>
          <w:b/>
        </w:rPr>
        <w:t xml:space="preserve">nazwę producenta, modelu lub  innych, przypisanych wyłącznie temu produktowi </w:t>
      </w:r>
      <w:r w:rsidRPr="00190E91">
        <w:rPr>
          <w:rFonts w:eastAsia="Arial Unicode MS"/>
          <w:b/>
        </w:rPr>
        <w:lastRenderedPageBreak/>
        <w:t>cech (np. nr katalogowy),</w:t>
      </w:r>
      <w:r w:rsidRPr="00190E91">
        <w:rPr>
          <w:rFonts w:eastAsia="Arial Unicode MS"/>
        </w:rPr>
        <w:t xml:space="preserve"> jednoznacznie identyfikujących zaoferowane </w:t>
      </w:r>
      <w:r>
        <w:rPr>
          <w:rFonts w:eastAsia="Arial Unicode MS"/>
        </w:rPr>
        <w:t>urządzeni</w:t>
      </w:r>
      <w:r w:rsidR="00CB45CD">
        <w:rPr>
          <w:rFonts w:eastAsia="Arial Unicode MS"/>
        </w:rPr>
        <w:t>e</w:t>
      </w:r>
      <w:r w:rsidRPr="00190E91">
        <w:rPr>
          <w:rFonts w:eastAsia="Arial Unicode MS"/>
        </w:rPr>
        <w:t>;</w:t>
      </w:r>
    </w:p>
    <w:p w14:paraId="1D73CE36" w14:textId="0D801C7D" w:rsidR="00C540B8" w:rsidRDefault="00915A9C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D63E8AB" w14:textId="4697B509" w:rsidR="00B9277E" w:rsidRPr="009C5614" w:rsidRDefault="00B9277E" w:rsidP="005741C5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B9277E">
        <w:rPr>
          <w:rFonts w:eastAsia="Times New Roman" w:cs="Times New Roman"/>
          <w:bCs/>
          <w:szCs w:val="26"/>
          <w:lang w:eastAsia="x-none"/>
        </w:rPr>
        <w:t xml:space="preserve">Cena podana w ofercie </w:t>
      </w:r>
      <w:r>
        <w:rPr>
          <w:rFonts w:eastAsia="Times New Roman" w:cs="Times New Roman"/>
          <w:bCs/>
          <w:szCs w:val="26"/>
          <w:lang w:eastAsia="x-none"/>
        </w:rPr>
        <w:t>po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winna zawierać wszelkie koszty poniesione w celu należytego i pełnego wykonania zamówienia, zgodnie z wymaganiami opisanymi w dokumentach zamówienia,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               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 szczególności: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>koszt urządzenia wraz z dostarczeniem, koszt rozładunku i wniesienia w miejsce wskazane przez Zamawiającego, koszt instalacji,</w:t>
      </w:r>
      <w:r w:rsidR="00814DC5" w:rsidRPr="009C5614">
        <w:rPr>
          <w:rFonts w:eastAsia="Times New Roman" w:cs="Times New Roman"/>
          <w:szCs w:val="26"/>
          <w:lang w:eastAsia="x-none"/>
        </w:rPr>
        <w:t xml:space="preserve"> </w:t>
      </w:r>
      <w:r w:rsidR="00814DC5" w:rsidRPr="00814DC5">
        <w:rPr>
          <w:rFonts w:eastAsia="Times New Roman" w:cs="Times New Roman"/>
          <w:bCs/>
          <w:szCs w:val="26"/>
          <w:lang w:eastAsia="x-none"/>
        </w:rPr>
        <w:t>uruchomieni</w:t>
      </w:r>
      <w:r w:rsidR="00814DC5">
        <w:rPr>
          <w:rFonts w:eastAsia="Times New Roman" w:cs="Times New Roman"/>
          <w:bCs/>
          <w:szCs w:val="26"/>
          <w:lang w:eastAsia="x-none"/>
        </w:rPr>
        <w:t xml:space="preserve">a,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 xml:space="preserve"> koszt szkolenia, koszt zapewnienia bezpłatnego serwisu technicznego oraz wsparcia technicznego  w okresie gwarancyjnym</w:t>
      </w:r>
      <w:r w:rsidR="009C5614">
        <w:rPr>
          <w:rFonts w:eastAsia="Times New Roman" w:cs="Times New Roman"/>
          <w:bCs/>
          <w:szCs w:val="26"/>
          <w:lang w:eastAsia="x-none"/>
        </w:rPr>
        <w:t xml:space="preserve"> </w:t>
      </w:r>
      <w:r w:rsidRPr="009C5614">
        <w:rPr>
          <w:rFonts w:eastAsia="Times New Roman" w:cs="Times New Roman"/>
          <w:bCs/>
          <w:szCs w:val="26"/>
          <w:lang w:eastAsia="x-none"/>
        </w:rPr>
        <w:t>zgodnie z wymaganiami SWZ. Cena powinna również uwzględniać podatki, opłaty i</w:t>
      </w:r>
      <w:r w:rsidR="00A13067" w:rsidRPr="009C5614">
        <w:rPr>
          <w:rFonts w:eastAsia="Times New Roman" w:cs="Times New Roman"/>
          <w:bCs/>
          <w:szCs w:val="26"/>
          <w:lang w:eastAsia="x-none"/>
        </w:rPr>
        <w:t xml:space="preserve">  inne należności płatne przez W</w:t>
      </w:r>
      <w:r w:rsidRPr="009C5614">
        <w:rPr>
          <w:rFonts w:eastAsia="Times New Roman" w:cs="Times New Roman"/>
          <w:bCs/>
          <w:szCs w:val="26"/>
          <w:lang w:eastAsia="x-none"/>
        </w:rPr>
        <w:t>ykonawcę (w tym koszt ewentualnego cła) oraz wszelkie elementy ryzyka związane z realizacją zamówienia;</w:t>
      </w:r>
    </w:p>
    <w:p w14:paraId="196BA439" w14:textId="77777777" w:rsidR="007B0947" w:rsidRPr="009C5614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9C5614">
        <w:t>C</w:t>
      </w:r>
      <w:r w:rsidR="00A57F79" w:rsidRPr="009C5614">
        <w:t xml:space="preserve">ena </w:t>
      </w:r>
      <w:r w:rsidR="00942EA5" w:rsidRPr="009C5614">
        <w:t>po</w:t>
      </w:r>
      <w:r w:rsidR="00A57F79" w:rsidRPr="009C5614">
        <w:t>winna być wyrażona w złotych polskich. Rozli</w:t>
      </w:r>
      <w:r w:rsidR="00066CCC" w:rsidRPr="009C5614">
        <w:t xml:space="preserve">czenia pomiędzy Zamawiającym </w:t>
      </w:r>
      <w:r w:rsidR="00097E19" w:rsidRPr="009C5614">
        <w:t xml:space="preserve">                             </w:t>
      </w:r>
      <w:r w:rsidR="00066CCC" w:rsidRPr="009C5614">
        <w:t xml:space="preserve">a </w:t>
      </w:r>
      <w:r w:rsidR="00F47A89" w:rsidRPr="009C5614">
        <w:t>W</w:t>
      </w:r>
      <w:r w:rsidR="00A57F79" w:rsidRPr="009C5614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</w:t>
      </w:r>
      <w:r w:rsidRPr="005B5BDF">
        <w:lastRenderedPageBreak/>
        <w:t xml:space="preserve">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0" w:name="_Toc102113065"/>
      <w:r w:rsidRPr="005B5BDF">
        <w:t>Sposób oraz termin składania ofert.</w:t>
      </w:r>
      <w:bookmarkEnd w:id="30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1219BDFF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E87590" w:rsidRPr="00E87590">
        <w:rPr>
          <w:b/>
          <w:lang w:eastAsia="x-none"/>
        </w:rPr>
        <w:t>27.11.2024</w:t>
      </w:r>
      <w:r w:rsidR="00120932" w:rsidRPr="00E87590">
        <w:rPr>
          <w:b/>
          <w:lang w:eastAsia="x-none"/>
        </w:rPr>
        <w:t>r.</w:t>
      </w:r>
      <w:r w:rsidR="00120932">
        <w:rPr>
          <w:b/>
          <w:lang w:eastAsia="x-none"/>
        </w:rPr>
        <w:t xml:space="preserve">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1" w:name="_Toc102113066"/>
      <w:r w:rsidRPr="005B5BDF">
        <w:t>Termin i tryb otwarcia ofert.</w:t>
      </w:r>
      <w:bookmarkEnd w:id="31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6C86BDF8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E87590" w:rsidRPr="00E87590">
        <w:rPr>
          <w:rFonts w:eastAsia="Calibri"/>
          <w:b/>
        </w:rPr>
        <w:t>27.11.2024</w:t>
      </w:r>
      <w:r w:rsidR="008C76A4" w:rsidRPr="00E87590">
        <w:rPr>
          <w:b/>
        </w:rPr>
        <w:t>r</w:t>
      </w:r>
      <w:r w:rsidR="008C76A4">
        <w:rPr>
          <w:b/>
        </w:rPr>
        <w:t>.</w:t>
      </w:r>
      <w:r w:rsidR="00C13AFF" w:rsidRPr="00C13AFF">
        <w:rPr>
          <w:b/>
        </w:rPr>
        <w:t xml:space="preserve"> </w:t>
      </w:r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2" w:name="_Toc102113067"/>
      <w:r w:rsidRPr="005B5BDF">
        <w:t>Termin związania ofertą.</w:t>
      </w:r>
      <w:bookmarkEnd w:id="32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3A0E5B86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E87590" w:rsidRPr="00E87590">
        <w:t>26.12.2024</w:t>
      </w:r>
      <w:r w:rsidR="00A53226" w:rsidRPr="00E87590">
        <w:t>r.</w:t>
      </w:r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  <w:bookmarkStart w:id="33" w:name="_GoBack"/>
      <w:bookmarkEnd w:id="33"/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lastRenderedPageBreak/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4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4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D85215C" w:rsidR="00BF5EFD" w:rsidRPr="00D10246" w:rsidRDefault="007B6F01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realizacji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17914BC7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0703A641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  <w:tr w:rsidR="003C660F" w:rsidRPr="00D10246" w14:paraId="2B474E44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141FBA9" w14:textId="2DE5194F" w:rsidR="003C660F" w:rsidRPr="00D10246" w:rsidRDefault="003C660F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B604C92" w14:textId="462E7A52" w:rsidR="003C660F" w:rsidRPr="00D10246" w:rsidRDefault="003C660F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8667680" w14:textId="43469903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DDCD0E9" w14:textId="01F50A86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proofErr w:type="spellStart"/>
      <w:r w:rsidR="00D10246" w:rsidRPr="00D10246">
        <w:t>asady</w:t>
      </w:r>
      <w:proofErr w:type="spellEnd"/>
      <w:r w:rsidR="00D10246" w:rsidRPr="00D10246">
        <w:t xml:space="preserve">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729832AD" w:rsidR="00D10246" w:rsidRPr="000469C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0469C6">
        <w:rPr>
          <w:rFonts w:eastAsia="Times New Roman" w:cs="Times New Roman"/>
          <w:bCs/>
          <w:iCs/>
          <w:szCs w:val="20"/>
          <w:lang w:eastAsia="x-none"/>
        </w:rPr>
        <w:t>Z</w:t>
      </w:r>
      <w:proofErr w:type="spellStart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>asady</w:t>
      </w:r>
      <w:proofErr w:type="spellEnd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 xml:space="preserve"> przyznawania punktów w kryterium 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="007B6F01">
        <w:rPr>
          <w:rFonts w:eastAsia="Times New Roman" w:cs="Times New Roman"/>
          <w:b/>
          <w:bCs/>
          <w:iCs/>
          <w:szCs w:val="20"/>
          <w:lang w:eastAsia="x-none"/>
        </w:rPr>
        <w:t>Termin realizacji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”:</w:t>
      </w:r>
    </w:p>
    <w:p w14:paraId="09F35A78" w14:textId="12E945E5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0469C6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74380F" w:rsidRPr="000469C6">
        <w:rPr>
          <w:rFonts w:eastAsia="Times New Roman" w:cs="Arial"/>
          <w:szCs w:val="20"/>
        </w:rPr>
        <w:t>2</w:t>
      </w:r>
      <w:r w:rsidRPr="000469C6">
        <w:rPr>
          <w:rFonts w:eastAsia="Times New Roman" w:cs="Arial"/>
          <w:szCs w:val="20"/>
          <w:lang w:val="x-none"/>
        </w:rPr>
        <w:t>0 pkt;</w:t>
      </w:r>
      <w:r w:rsidRPr="000469C6">
        <w:rPr>
          <w:rFonts w:eastAsia="Times New Roman" w:cs="Arial"/>
          <w:szCs w:val="20"/>
        </w:rPr>
        <w:t xml:space="preserve"> </w:t>
      </w:r>
    </w:p>
    <w:p w14:paraId="632151E0" w14:textId="018D9990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0469C6">
        <w:rPr>
          <w:rFonts w:eastAsia="Times New Roman" w:cs="Arial"/>
          <w:szCs w:val="20"/>
          <w:lang w:val="x-none"/>
        </w:rPr>
        <w:t xml:space="preserve">Zgodnie z warunkami SWZ, maksymalny termin </w:t>
      </w:r>
      <w:r w:rsidR="00CC0EE0">
        <w:rPr>
          <w:rFonts w:eastAsia="Times New Roman" w:cs="Arial"/>
          <w:szCs w:val="20"/>
        </w:rPr>
        <w:t xml:space="preserve">realizacji zamówienia </w:t>
      </w:r>
      <w:r w:rsidR="007F68C5" w:rsidRPr="000469C6">
        <w:rPr>
          <w:rFonts w:eastAsia="Times New Roman" w:cs="Arial"/>
          <w:szCs w:val="20"/>
        </w:rPr>
        <w:t xml:space="preserve"> </w:t>
      </w:r>
      <w:r w:rsidRPr="000469C6">
        <w:rPr>
          <w:rFonts w:eastAsia="Times New Roman" w:cs="Arial"/>
          <w:szCs w:val="20"/>
          <w:lang w:val="x-none"/>
        </w:rPr>
        <w:t>wynosi</w:t>
      </w:r>
      <w:r w:rsidR="00383F19" w:rsidRPr="000469C6">
        <w:rPr>
          <w:rFonts w:eastAsia="Times New Roman" w:cs="Arial"/>
          <w:szCs w:val="20"/>
        </w:rPr>
        <w:t>:</w:t>
      </w:r>
      <w:r w:rsidR="003C660F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b/>
          <w:szCs w:val="20"/>
        </w:rPr>
        <w:t xml:space="preserve">do </w:t>
      </w:r>
      <w:r w:rsidR="001E3BE3">
        <w:rPr>
          <w:rFonts w:eastAsia="Times New Roman" w:cs="Arial"/>
          <w:b/>
          <w:bCs/>
          <w:szCs w:val="20"/>
        </w:rPr>
        <w:t xml:space="preserve">7 tygodni </w:t>
      </w:r>
      <w:r w:rsidR="007F68C5" w:rsidRPr="000469C6">
        <w:rPr>
          <w:rFonts w:eastAsia="Times New Roman" w:cs="Arial"/>
          <w:b/>
          <w:bCs/>
          <w:szCs w:val="20"/>
        </w:rPr>
        <w:t xml:space="preserve"> </w:t>
      </w:r>
      <w:r w:rsidR="00383F19" w:rsidRPr="000469C6">
        <w:rPr>
          <w:rFonts w:eastAsia="Times New Roman" w:cs="Arial"/>
          <w:b/>
          <w:bCs/>
          <w:szCs w:val="20"/>
          <w:lang w:val="x-none"/>
        </w:rPr>
        <w:t xml:space="preserve"> od </w:t>
      </w:r>
      <w:r w:rsidR="001E3BE3">
        <w:rPr>
          <w:rFonts w:eastAsia="Times New Roman" w:cs="Arial"/>
          <w:b/>
          <w:bCs/>
          <w:szCs w:val="20"/>
        </w:rPr>
        <w:t>daty zawarcia umowy</w:t>
      </w:r>
      <w:r w:rsidR="00DE4C11" w:rsidRPr="000469C6">
        <w:rPr>
          <w:rFonts w:eastAsia="Times New Roman" w:cs="Arial"/>
          <w:b/>
          <w:bCs/>
          <w:szCs w:val="20"/>
        </w:rPr>
        <w:t>.</w:t>
      </w:r>
      <w:r w:rsidRPr="000469C6">
        <w:rPr>
          <w:rFonts w:eastAsia="Times New Roman" w:cs="Arial"/>
          <w:szCs w:val="20"/>
          <w:lang w:val="x-none"/>
        </w:rPr>
        <w:t xml:space="preserve"> </w:t>
      </w:r>
    </w:p>
    <w:p w14:paraId="5B470409" w14:textId="48A0FD46" w:rsidR="003E18B9" w:rsidRPr="000469C6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0469C6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3F053B52" w:rsidR="003E18B9" w:rsidRPr="000469C6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0469C6">
        <w:rPr>
          <w:rFonts w:eastAsia="Palatino Linotype" w:cs="Arial"/>
          <w:szCs w:val="20"/>
          <w:lang w:val="x-none"/>
        </w:rPr>
        <w:t>Punkty za kryterium „</w:t>
      </w:r>
      <w:r w:rsidR="00CC0EE0">
        <w:rPr>
          <w:rFonts w:eastAsia="Palatino Linotype" w:cs="Arial"/>
          <w:szCs w:val="20"/>
        </w:rPr>
        <w:t xml:space="preserve">termin realizacji” </w:t>
      </w:r>
      <w:r w:rsidRPr="000469C6">
        <w:rPr>
          <w:rFonts w:eastAsia="Palatino Linotype" w:cs="Arial"/>
          <w:szCs w:val="20"/>
          <w:lang w:val="x-none"/>
        </w:rPr>
        <w:t xml:space="preserve"> zostaną przyznane w następujący sposób:</w:t>
      </w:r>
      <w:r w:rsidRPr="000469C6">
        <w:rPr>
          <w:rFonts w:eastAsia="Times New Roman" w:cs="Arial"/>
          <w:b/>
          <w:szCs w:val="20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 xml:space="preserve">Wykonawca, który  zaoferuje termin 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="001E3BE3">
        <w:rPr>
          <w:rFonts w:eastAsia="Palatino Linotype" w:cs="Arial"/>
          <w:szCs w:val="20"/>
          <w:lang w:eastAsia="pl-PL"/>
        </w:rPr>
        <w:t>realizacji zamówienia wynoszący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>:</w:t>
      </w:r>
    </w:p>
    <w:p w14:paraId="0D8732CC" w14:textId="23EAAA33" w:rsidR="001E3BE3" w:rsidRPr="001E3BE3" w:rsidRDefault="001E3BE3" w:rsidP="001E3BE3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5" w:name="_Hlk143635124"/>
      <w:r>
        <w:rPr>
          <w:rFonts w:eastAsia="Palatino Linotype" w:cs="Times New Roman"/>
        </w:rPr>
        <w:t>7 tygodni</w:t>
      </w:r>
      <w:r w:rsidRPr="001E3BE3">
        <w:rPr>
          <w:rFonts w:eastAsia="Palatino Linotype" w:cs="Times New Roman"/>
        </w:rPr>
        <w:t xml:space="preserve">   – otrzyma 0 pkt.</w:t>
      </w:r>
    </w:p>
    <w:p w14:paraId="4488F4BF" w14:textId="20A92E24" w:rsidR="003E18B9" w:rsidRPr="000469C6" w:rsidRDefault="001E3BE3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6 tygodni </w:t>
      </w:r>
      <w:r w:rsidR="00C4526B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bookmarkEnd w:id="35"/>
      <w:r w:rsidR="003E18B9" w:rsidRPr="000469C6">
        <w:rPr>
          <w:rFonts w:eastAsia="Palatino Linotype" w:cs="Times New Roman"/>
        </w:rPr>
        <w:t xml:space="preserve">– </w:t>
      </w:r>
      <w:r>
        <w:rPr>
          <w:rFonts w:eastAsia="Palatino Linotype" w:cs="Times New Roman"/>
        </w:rPr>
        <w:t>otrzyma</w:t>
      </w:r>
      <w:r w:rsidR="003E18B9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4</w:t>
      </w:r>
      <w:r w:rsidR="003E18B9" w:rsidRPr="000469C6">
        <w:rPr>
          <w:rFonts w:eastAsia="Palatino Linotype" w:cs="Times New Roman"/>
        </w:rPr>
        <w:t xml:space="preserve"> </w:t>
      </w:r>
      <w:bookmarkStart w:id="36" w:name="_Hlk169035191"/>
      <w:r w:rsidR="003E18B9" w:rsidRPr="000469C6">
        <w:rPr>
          <w:rFonts w:eastAsia="Palatino Linotype" w:cs="Times New Roman"/>
        </w:rPr>
        <w:t>pkt.</w:t>
      </w:r>
      <w:bookmarkEnd w:id="36"/>
    </w:p>
    <w:p w14:paraId="35FBC835" w14:textId="2484CEEA" w:rsidR="00BE6370" w:rsidRPr="000469C6" w:rsidRDefault="001E3BE3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5 tygodni</w:t>
      </w:r>
      <w:r w:rsidR="00BE6370" w:rsidRPr="000469C6">
        <w:rPr>
          <w:rFonts w:eastAsia="Palatino Linotype" w:cs="Times New Roman"/>
        </w:rPr>
        <w:t xml:space="preserve">  – </w:t>
      </w:r>
      <w:r w:rsidR="00C4526B" w:rsidRPr="000469C6">
        <w:rPr>
          <w:rFonts w:eastAsia="Palatino Linotype" w:cs="Times New Roman"/>
        </w:rPr>
        <w:t xml:space="preserve"> </w:t>
      </w:r>
      <w:r>
        <w:rPr>
          <w:rFonts w:eastAsia="Palatino Linotype" w:cs="Times New Roman"/>
        </w:rPr>
        <w:t>otrzyma</w:t>
      </w:r>
      <w:r w:rsidR="00BE6370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8</w:t>
      </w:r>
      <w:r w:rsidR="00BE6370" w:rsidRPr="000469C6">
        <w:rPr>
          <w:rFonts w:eastAsia="Palatino Linotype" w:cs="Times New Roman"/>
        </w:rPr>
        <w:t xml:space="preserve"> pkt.</w:t>
      </w:r>
    </w:p>
    <w:p w14:paraId="55222B63" w14:textId="03C92140" w:rsidR="003E18B9" w:rsidRPr="000469C6" w:rsidRDefault="001E3BE3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 tygodnie</w:t>
      </w:r>
      <w:r w:rsidR="0074380F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r w:rsidR="003E18B9" w:rsidRPr="000469C6">
        <w:rPr>
          <w:rFonts w:eastAsia="Palatino Linotype" w:cs="Times New Roman"/>
        </w:rPr>
        <w:t xml:space="preserve">– </w:t>
      </w:r>
      <w:r>
        <w:rPr>
          <w:rFonts w:eastAsia="Palatino Linotype" w:cs="Times New Roman"/>
        </w:rPr>
        <w:t xml:space="preserve">otrzyma </w:t>
      </w:r>
      <w:r w:rsidR="003E18B9" w:rsidRPr="000469C6">
        <w:rPr>
          <w:rFonts w:eastAsia="Palatino Linotype" w:cs="Times New Roman"/>
        </w:rPr>
        <w:t xml:space="preserve"> </w:t>
      </w:r>
      <w:r w:rsidR="00C4526B" w:rsidRPr="000469C6">
        <w:rPr>
          <w:rFonts w:eastAsia="Palatino Linotype" w:cs="Times New Roman"/>
        </w:rPr>
        <w:t>1</w:t>
      </w:r>
      <w:r w:rsidR="00DE4C11" w:rsidRPr="000469C6">
        <w:rPr>
          <w:rFonts w:eastAsia="Palatino Linotype" w:cs="Times New Roman"/>
        </w:rPr>
        <w:t>2</w:t>
      </w:r>
      <w:r w:rsidR="003E18B9" w:rsidRPr="000469C6">
        <w:rPr>
          <w:rFonts w:eastAsia="Palatino Linotype" w:cs="Times New Roman"/>
        </w:rPr>
        <w:t xml:space="preserve"> pkt.</w:t>
      </w:r>
    </w:p>
    <w:p w14:paraId="1E016BBA" w14:textId="3F0E14B3" w:rsidR="00BE6370" w:rsidRPr="000469C6" w:rsidRDefault="001E3BE3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3 tygodnie </w:t>
      </w:r>
      <w:r w:rsidR="00BE6370" w:rsidRPr="000469C6">
        <w:rPr>
          <w:rFonts w:eastAsia="Palatino Linotype" w:cs="Times New Roman"/>
        </w:rPr>
        <w:t xml:space="preserve">  – </w:t>
      </w:r>
      <w:r w:rsidR="00CC0EE0">
        <w:rPr>
          <w:rFonts w:eastAsia="Palatino Linotype" w:cs="Times New Roman"/>
        </w:rPr>
        <w:t xml:space="preserve">otrzyma </w:t>
      </w:r>
      <w:r w:rsidR="00BE6370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16</w:t>
      </w:r>
      <w:r w:rsidR="00BE6370" w:rsidRPr="000469C6">
        <w:rPr>
          <w:rFonts w:eastAsia="Palatino Linotype" w:cs="Times New Roman"/>
        </w:rPr>
        <w:t xml:space="preserve"> pkt.</w:t>
      </w:r>
    </w:p>
    <w:p w14:paraId="29C935E8" w14:textId="6AB5BCC2" w:rsidR="00DE4C11" w:rsidRDefault="00CC0EE0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2 tygodnie</w:t>
      </w:r>
      <w:r w:rsidR="00DE4C11" w:rsidRPr="000469C6">
        <w:rPr>
          <w:rFonts w:eastAsia="Palatino Linotype" w:cs="Times New Roman"/>
        </w:rPr>
        <w:t xml:space="preserve">   –</w:t>
      </w:r>
      <w:r>
        <w:rPr>
          <w:rFonts w:eastAsia="Palatino Linotype" w:cs="Times New Roman"/>
        </w:rPr>
        <w:t xml:space="preserve">otrzyma </w:t>
      </w:r>
      <w:r w:rsidR="00DE4C11" w:rsidRPr="000469C6">
        <w:rPr>
          <w:rFonts w:eastAsia="Palatino Linotype" w:cs="Times New Roman"/>
        </w:rPr>
        <w:t xml:space="preserve"> 20 pkt.</w:t>
      </w:r>
    </w:p>
    <w:p w14:paraId="7D33D6E5" w14:textId="6A68D9A3" w:rsidR="00CC0EE0" w:rsidRPr="000469C6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0469C6">
        <w:rPr>
          <w:rFonts w:eastAsia="Palatino Linotype" w:cs="Times New Roman"/>
        </w:rPr>
        <w:t xml:space="preserve">zaoferowanie terminu </w:t>
      </w:r>
      <w:r>
        <w:rPr>
          <w:rFonts w:eastAsia="Palatino Linotype" w:cs="Times New Roman"/>
        </w:rPr>
        <w:t xml:space="preserve">krótszego </w:t>
      </w:r>
      <w:r w:rsidRPr="000469C6">
        <w:rPr>
          <w:rFonts w:eastAsia="Palatino Linotype" w:cs="Times New Roman"/>
        </w:rPr>
        <w:t xml:space="preserve"> niż </w:t>
      </w:r>
      <w:r>
        <w:rPr>
          <w:rFonts w:eastAsia="Palatino Linotype" w:cs="Times New Roman"/>
        </w:rPr>
        <w:t xml:space="preserve">2 tygodnie </w:t>
      </w:r>
      <w:r w:rsidRPr="000469C6">
        <w:rPr>
          <w:rFonts w:eastAsia="Palatino Linotype" w:cs="Times New Roman"/>
        </w:rPr>
        <w:t xml:space="preserve"> nie spowoduje otrzymania większej ilości punktów niż 20</w:t>
      </w:r>
    </w:p>
    <w:p w14:paraId="48C80DF8" w14:textId="3BB96CFC" w:rsidR="00CC0EE0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lastRenderedPageBreak/>
        <w:t xml:space="preserve">brak oświadczenia lub </w:t>
      </w:r>
      <w:r>
        <w:rPr>
          <w:rFonts w:eastAsia="Palatino Linotype" w:cs="Times New Roman"/>
          <w:b/>
        </w:rPr>
        <w:t xml:space="preserve">dłuższy </w:t>
      </w:r>
      <w:r w:rsidRPr="004C7C8B">
        <w:rPr>
          <w:rFonts w:eastAsia="Palatino Linotype" w:cs="Times New Roman"/>
          <w:b/>
        </w:rPr>
        <w:t xml:space="preserve"> termin </w:t>
      </w:r>
      <w:r>
        <w:rPr>
          <w:rFonts w:eastAsia="Palatino Linotype" w:cs="Times New Roman"/>
          <w:b/>
        </w:rPr>
        <w:t xml:space="preserve"> realizacji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>(tj. &lt;</w:t>
      </w:r>
      <w:r>
        <w:rPr>
          <w:rFonts w:eastAsia="Palatino Linotype" w:cs="Times New Roman"/>
        </w:rPr>
        <w:t xml:space="preserve"> 7 tygodni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>
        <w:rPr>
          <w:rFonts w:eastAsia="Palatino Linotype" w:cs="Times New Roman"/>
        </w:rPr>
        <w:t>;</w:t>
      </w:r>
    </w:p>
    <w:p w14:paraId="3DCCC9D2" w14:textId="3321FC55" w:rsidR="00CC0EE0" w:rsidRPr="00E61799" w:rsidRDefault="00CC0EE0" w:rsidP="00CC0EE0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 xml:space="preserve">realizacji 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realizacji zamówienia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realizacji</w:t>
      </w:r>
      <w:r w:rsidRPr="00E61799">
        <w:rPr>
          <w:rFonts w:eastAsia="Palatino Linotype" w:cs="Times New Roman"/>
        </w:rPr>
        <w:t xml:space="preserve"> podany słownie);</w:t>
      </w:r>
    </w:p>
    <w:p w14:paraId="74675840" w14:textId="0D0E8699" w:rsidR="00CC0EE0" w:rsidRPr="004C7C8B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 xml:space="preserve">w przypadku wskazania przez Wykonawcę </w:t>
      </w:r>
      <w:r>
        <w:rPr>
          <w:rFonts w:eastAsia="Palatino Linotype" w:cs="Times New Roman"/>
        </w:rPr>
        <w:t xml:space="preserve">terminu realizacji </w:t>
      </w:r>
      <w:r w:rsidRPr="005F26F5">
        <w:rPr>
          <w:rFonts w:eastAsia="Palatino Linotype" w:cs="Times New Roman"/>
        </w:rPr>
        <w:t xml:space="preserve"> w wymiarze innym niż pełny </w:t>
      </w:r>
      <w:r>
        <w:rPr>
          <w:rFonts w:eastAsia="Palatino Linotype" w:cs="Times New Roman"/>
        </w:rPr>
        <w:t>tydzie</w:t>
      </w:r>
      <w:r w:rsidR="001D3EC0">
        <w:rPr>
          <w:rFonts w:eastAsia="Palatino Linotype" w:cs="Times New Roman"/>
        </w:rPr>
        <w:t>ń</w:t>
      </w:r>
      <w:r w:rsidRPr="005F26F5">
        <w:rPr>
          <w:rFonts w:eastAsia="Palatino Linotype" w:cs="Times New Roman"/>
        </w:rPr>
        <w:t xml:space="preserve"> (np. 6,5 </w:t>
      </w:r>
      <w:r>
        <w:rPr>
          <w:rFonts w:eastAsia="Palatino Linotype" w:cs="Times New Roman"/>
        </w:rPr>
        <w:t>tygodnia</w:t>
      </w:r>
      <w:r w:rsidRPr="005F26F5">
        <w:rPr>
          <w:rFonts w:eastAsia="Palatino Linotype" w:cs="Times New Roman"/>
        </w:rPr>
        <w:t xml:space="preserve">), Zamawiający do celów punktacji ofert zaokrągli wskazany okres w </w:t>
      </w:r>
      <w:r>
        <w:rPr>
          <w:rFonts w:eastAsia="Palatino Linotype" w:cs="Times New Roman"/>
        </w:rPr>
        <w:t xml:space="preserve">górę </w:t>
      </w:r>
      <w:r w:rsidRPr="005F26F5">
        <w:rPr>
          <w:rFonts w:eastAsia="Palatino Linotype" w:cs="Times New Roman"/>
        </w:rPr>
        <w:t xml:space="preserve"> do pełnego </w:t>
      </w:r>
      <w:r>
        <w:rPr>
          <w:rFonts w:eastAsia="Palatino Linotype" w:cs="Times New Roman"/>
        </w:rPr>
        <w:t>tygodnia.</w:t>
      </w:r>
    </w:p>
    <w:p w14:paraId="59175B88" w14:textId="77777777" w:rsidR="00CC0EE0" w:rsidRPr="00CC0EE0" w:rsidRDefault="00CC0EE0" w:rsidP="00CC0EE0">
      <w:pPr>
        <w:widowControl w:val="0"/>
        <w:rPr>
          <w:rFonts w:eastAsia="Palatino Linotype" w:cs="Times New Roman"/>
        </w:rPr>
      </w:pPr>
    </w:p>
    <w:p w14:paraId="4DD2651F" w14:textId="7C9BBE22" w:rsidR="0074380F" w:rsidRPr="00D10246" w:rsidRDefault="0074380F" w:rsidP="0074380F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 xml:space="preserve"> gwarancji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”:</w:t>
      </w:r>
    </w:p>
    <w:p w14:paraId="1B7E465B" w14:textId="77777777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>
        <w:rPr>
          <w:rFonts w:eastAsia="Times New Roman" w:cs="Arial"/>
          <w:szCs w:val="20"/>
        </w:rPr>
        <w:t>2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565DE0B5" w14:textId="1C80F15A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</w:t>
      </w:r>
      <w:r>
        <w:rPr>
          <w:rFonts w:eastAsia="Times New Roman" w:cs="Arial"/>
          <w:szCs w:val="20"/>
        </w:rPr>
        <w:t xml:space="preserve">inimalny </w:t>
      </w:r>
      <w:r w:rsidRPr="00D10246">
        <w:rPr>
          <w:rFonts w:eastAsia="Times New Roman" w:cs="Arial"/>
          <w:szCs w:val="20"/>
          <w:lang w:val="x-none"/>
        </w:rPr>
        <w:t xml:space="preserve"> wymagany termin </w:t>
      </w:r>
      <w:r>
        <w:rPr>
          <w:rFonts w:eastAsia="Times New Roman" w:cs="Arial"/>
          <w:szCs w:val="20"/>
        </w:rPr>
        <w:t xml:space="preserve">gwarancji </w:t>
      </w:r>
      <w:r w:rsidRPr="00D10246">
        <w:rPr>
          <w:rFonts w:eastAsia="Times New Roman" w:cs="Arial"/>
          <w:szCs w:val="20"/>
          <w:lang w:val="x-none"/>
        </w:rPr>
        <w:t xml:space="preserve"> wynosi</w:t>
      </w:r>
      <w:r>
        <w:rPr>
          <w:rFonts w:eastAsia="Times New Roman" w:cs="Arial"/>
          <w:szCs w:val="20"/>
        </w:rPr>
        <w:t xml:space="preserve">: </w:t>
      </w:r>
      <w:r w:rsidR="001E3BE3">
        <w:rPr>
          <w:rFonts w:eastAsia="Times New Roman" w:cs="Arial"/>
          <w:b/>
          <w:szCs w:val="20"/>
        </w:rPr>
        <w:t>24</w:t>
      </w:r>
      <w:r w:rsidR="004C7C8B" w:rsidRPr="004C7C8B">
        <w:rPr>
          <w:rFonts w:eastAsia="Times New Roman" w:cs="Arial"/>
          <w:b/>
          <w:szCs w:val="20"/>
        </w:rPr>
        <w:t xml:space="preserve"> miesi</w:t>
      </w:r>
      <w:r w:rsidR="001E3BE3">
        <w:rPr>
          <w:rFonts w:eastAsia="Times New Roman" w:cs="Arial"/>
          <w:b/>
          <w:szCs w:val="20"/>
        </w:rPr>
        <w:t>ące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6A825CD0" w14:textId="77777777" w:rsidR="0074380F" w:rsidRDefault="0074380F" w:rsidP="0074380F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262F8855" w14:textId="350BBDDC" w:rsidR="0074380F" w:rsidRDefault="0074380F" w:rsidP="0074380F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proofErr w:type="spellStart"/>
      <w:r w:rsidRPr="005B5A8E">
        <w:rPr>
          <w:rFonts w:eastAsia="Palatino Linotype" w:cs="Arial"/>
          <w:szCs w:val="20"/>
          <w:lang w:val="x-none"/>
        </w:rPr>
        <w:t>ermin</w:t>
      </w:r>
      <w:proofErr w:type="spellEnd"/>
      <w:r w:rsidRPr="005B5A8E">
        <w:rPr>
          <w:rFonts w:eastAsia="Palatino Linotype" w:cs="Arial"/>
          <w:szCs w:val="20"/>
          <w:lang w:val="x-none"/>
        </w:rPr>
        <w:t xml:space="preserve"> </w:t>
      </w:r>
      <w:r w:rsidR="004C7C8B">
        <w:rPr>
          <w:rFonts w:eastAsia="Palatino Linotype" w:cs="Arial"/>
          <w:szCs w:val="20"/>
        </w:rPr>
        <w:t>gwarancji</w:t>
      </w:r>
      <w:r w:rsidRPr="005B5A8E">
        <w:rPr>
          <w:rFonts w:eastAsia="Palatino Linotype" w:cs="Arial"/>
          <w:szCs w:val="20"/>
          <w:lang w:val="x-none"/>
        </w:rPr>
        <w:t>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</w:t>
      </w:r>
      <w:r w:rsidR="004C7C8B">
        <w:rPr>
          <w:rFonts w:eastAsia="Palatino Linotype" w:cs="Arial"/>
          <w:szCs w:val="20"/>
          <w:lang w:eastAsia="pl-PL"/>
        </w:rPr>
        <w:t>gwarancji</w:t>
      </w:r>
      <w:r w:rsidRPr="005B5A8E">
        <w:rPr>
          <w:rFonts w:eastAsia="Palatino Linotype" w:cs="Arial"/>
          <w:szCs w:val="20"/>
          <w:lang w:eastAsia="pl-PL"/>
        </w:rPr>
        <w:t>:</w:t>
      </w:r>
    </w:p>
    <w:p w14:paraId="3EB2C9C4" w14:textId="230BD32A" w:rsidR="00ED38BC" w:rsidRDefault="001E3BE3" w:rsidP="0074380F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7" w:name="_Hlk182314564"/>
      <w:r>
        <w:rPr>
          <w:rFonts w:eastAsia="Palatino Linotype" w:cs="Times New Roman"/>
        </w:rPr>
        <w:t>24</w:t>
      </w:r>
      <w:r w:rsidR="00ED38BC" w:rsidRPr="00ED38BC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ące</w:t>
      </w:r>
      <w:r w:rsidR="00ED38BC" w:rsidRPr="00ED38BC">
        <w:rPr>
          <w:rFonts w:eastAsia="Palatino Linotype" w:cs="Times New Roman"/>
        </w:rPr>
        <w:t xml:space="preserve">   – otrzyma 0 </w:t>
      </w:r>
      <w:bookmarkStart w:id="38" w:name="_Hlk169035743"/>
      <w:r w:rsidR="00ED38BC" w:rsidRPr="00ED38BC">
        <w:rPr>
          <w:rFonts w:eastAsia="Palatino Linotype" w:cs="Times New Roman"/>
        </w:rPr>
        <w:t>pkt.</w:t>
      </w:r>
      <w:bookmarkEnd w:id="38"/>
    </w:p>
    <w:bookmarkEnd w:id="37"/>
    <w:p w14:paraId="33626C34" w14:textId="74C403F4" w:rsidR="000469C6" w:rsidRPr="000469C6" w:rsidRDefault="001E3BE3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36</w:t>
      </w:r>
      <w:r w:rsidR="000469C6" w:rsidRPr="000469C6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ęcy</w:t>
      </w:r>
      <w:r w:rsidR="000469C6" w:rsidRPr="000469C6">
        <w:rPr>
          <w:rFonts w:eastAsia="Palatino Linotype" w:cs="Times New Roman"/>
        </w:rPr>
        <w:t xml:space="preserve">   – otrzyma 10 pkt.</w:t>
      </w:r>
    </w:p>
    <w:p w14:paraId="3C289AC0" w14:textId="758B4E95" w:rsidR="000469C6" w:rsidRDefault="001E3BE3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48</w:t>
      </w:r>
      <w:r w:rsidR="000469C6" w:rsidRPr="000469C6">
        <w:rPr>
          <w:rFonts w:eastAsia="Palatino Linotype" w:cs="Times New Roman"/>
        </w:rPr>
        <w:t xml:space="preserve"> miesięcy    – otrzyma 20 pkt.</w:t>
      </w:r>
    </w:p>
    <w:p w14:paraId="6E7BA763" w14:textId="6986611F" w:rsidR="000469C6" w:rsidRPr="000469C6" w:rsidRDefault="000469C6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9" w:name="_Hlk182314981"/>
      <w:r w:rsidRPr="000469C6">
        <w:rPr>
          <w:rFonts w:eastAsia="Palatino Linotype" w:cs="Times New Roman"/>
        </w:rPr>
        <w:t xml:space="preserve">zaoferowanie terminu </w:t>
      </w:r>
      <w:r>
        <w:rPr>
          <w:rFonts w:eastAsia="Palatino Linotype" w:cs="Times New Roman"/>
        </w:rPr>
        <w:t xml:space="preserve">dłuższego </w:t>
      </w:r>
      <w:r w:rsidRPr="000469C6">
        <w:rPr>
          <w:rFonts w:eastAsia="Palatino Linotype" w:cs="Times New Roman"/>
        </w:rPr>
        <w:t xml:space="preserve"> niż </w:t>
      </w:r>
      <w:r w:rsidR="001E3BE3">
        <w:rPr>
          <w:rFonts w:eastAsia="Palatino Linotype" w:cs="Times New Roman"/>
        </w:rPr>
        <w:t>48</w:t>
      </w:r>
      <w:r>
        <w:rPr>
          <w:rFonts w:eastAsia="Palatino Linotype" w:cs="Times New Roman"/>
        </w:rPr>
        <w:t xml:space="preserve"> miesięcy </w:t>
      </w:r>
      <w:r w:rsidRPr="000469C6">
        <w:rPr>
          <w:rFonts w:eastAsia="Palatino Linotype" w:cs="Times New Roman"/>
        </w:rPr>
        <w:t xml:space="preserve"> nie spowoduje otrzymania większej ilości punktów niż 20</w:t>
      </w:r>
    </w:p>
    <w:p w14:paraId="2DF5606D" w14:textId="428DFA72" w:rsidR="0074380F" w:rsidRDefault="004C7C8B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t>brak oświadczenia lub krótszy termin gwarancji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0E65F5" w:rsidRPr="000E65F5">
        <w:rPr>
          <w:rFonts w:eastAsia="Palatino Linotype" w:cs="Times New Roman"/>
        </w:rPr>
        <w:t>&lt;</w:t>
      </w:r>
      <w:r w:rsidR="00562ACF">
        <w:rPr>
          <w:rFonts w:eastAsia="Palatino Linotype" w:cs="Times New Roman"/>
        </w:rPr>
        <w:t xml:space="preserve"> </w:t>
      </w:r>
      <w:r w:rsidR="001E3BE3">
        <w:rPr>
          <w:rFonts w:eastAsia="Palatino Linotype" w:cs="Times New Roman"/>
        </w:rPr>
        <w:t>24</w:t>
      </w:r>
      <w:r w:rsidR="00562ACF">
        <w:rPr>
          <w:rFonts w:eastAsia="Palatino Linotype" w:cs="Times New Roman"/>
        </w:rPr>
        <w:t xml:space="preserve"> </w:t>
      </w:r>
      <w:r w:rsidR="000E65F5" w:rsidRPr="000E65F5">
        <w:rPr>
          <w:rFonts w:eastAsia="Palatino Linotype" w:cs="Times New Roman"/>
        </w:rPr>
        <w:t>miesi</w:t>
      </w:r>
      <w:r w:rsidR="001E3BE3">
        <w:rPr>
          <w:rFonts w:eastAsia="Palatino Linotype" w:cs="Times New Roman"/>
        </w:rPr>
        <w:t>ące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 w:rsidR="005F26F5">
        <w:rPr>
          <w:rFonts w:eastAsia="Palatino Linotype" w:cs="Times New Roman"/>
        </w:rPr>
        <w:t>;</w:t>
      </w:r>
    </w:p>
    <w:p w14:paraId="6EE91644" w14:textId="64A8D363" w:rsidR="00E61799" w:rsidRPr="00E61799" w:rsidRDefault="00E61799" w:rsidP="00E61799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podany słownie);</w:t>
      </w:r>
    </w:p>
    <w:p w14:paraId="37A4D978" w14:textId="7D3B81A2" w:rsidR="005F26F5" w:rsidRPr="004C7C8B" w:rsidRDefault="005F26F5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 przypadku wskazania przez Wykonawcę okresu gwarancji w wymiarze innym niż pełny miesiąc (np. 36,5 m-ca), Zamawiający do celów punktacji ofert zaokrągli wskazany okres w dół do pełnego miesiąca</w:t>
      </w:r>
      <w:r>
        <w:rPr>
          <w:rFonts w:eastAsia="Palatino Linotype" w:cs="Times New Roman"/>
        </w:rPr>
        <w:t>.</w:t>
      </w:r>
    </w:p>
    <w:bookmarkEnd w:id="39"/>
    <w:p w14:paraId="31CFC1C5" w14:textId="08BB2E7E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 xml:space="preserve">cena brutto + termin realizacji </w:t>
      </w:r>
      <w:r w:rsidR="0074380F">
        <w:t xml:space="preserve">+ termin gwarancji 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 xml:space="preserve">amawiający wybiera spośród tych </w:t>
      </w:r>
      <w:r w:rsidRPr="005B5BDF">
        <w:lastRenderedPageBreak/>
        <w:t>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40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40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lastRenderedPageBreak/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41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41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2" w:name="_Toc102113071"/>
      <w:r w:rsidRPr="005B5BDF">
        <w:t>Informacje dodatkowe.</w:t>
      </w:r>
      <w:bookmarkEnd w:id="42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lastRenderedPageBreak/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4B6A1E75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1D3EC0">
        <w:rPr>
          <w:b/>
          <w:lang w:val="pl-PL"/>
        </w:rPr>
        <w:t>10</w:t>
      </w:r>
      <w:r w:rsidR="00ED38BC">
        <w:rPr>
          <w:b/>
          <w:lang w:val="pl-PL"/>
        </w:rPr>
        <w:t>6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1D3EC0">
        <w:rPr>
          <w:lang w:val="pl-PL"/>
        </w:rPr>
        <w:t xml:space="preserve"> </w:t>
      </w:r>
      <w:r w:rsidR="001D3EC0" w:rsidRPr="001D3EC0">
        <w:rPr>
          <w:b/>
          <w:lang w:val="pl-PL"/>
        </w:rPr>
        <w:t>komory klimatycznej</w:t>
      </w:r>
      <w:r w:rsidR="00AE4CD2" w:rsidRPr="001D3EC0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 xml:space="preserve">Obowiązek podania przez Panią/Pana danych osobowych bezpośrednio Pani/Pana dotyczących jest wymogiem ustawowym określonym w przepisach ustawy </w:t>
      </w:r>
      <w:proofErr w:type="spellStart"/>
      <w:r w:rsidRPr="007873D8">
        <w:t>Pzp</w:t>
      </w:r>
      <w:proofErr w:type="spellEnd"/>
      <w:r w:rsidRPr="007873D8">
        <w:t>, związanym z udziałem w</w:t>
      </w:r>
      <w:r w:rsidR="00BA4B90" w:rsidRPr="007873D8">
        <w:t> </w:t>
      </w:r>
      <w:r w:rsidRPr="007873D8">
        <w:t xml:space="preserve">postępowaniu o udzielenie zamówienia publicznego; konsekwencje niepodania określonych danych wynikają z ustawy </w:t>
      </w:r>
      <w:proofErr w:type="spellStart"/>
      <w:r w:rsidRPr="007873D8">
        <w:t>Pzp</w:t>
      </w:r>
      <w:proofErr w:type="spellEnd"/>
      <w:r w:rsidRPr="007873D8">
        <w:t>. W odniesieniu do Pani/Pana danych osobowych decyzje nie będą podejmowane w sposób zautomatyzowany, stosowanie do art. 22 RODO;</w:t>
      </w:r>
    </w:p>
    <w:p w14:paraId="1D0C3B36" w14:textId="756C2344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2023 poz. 1605 ze zm.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 xml:space="preserve">. Udostępnianie danych ma zastosowanie do wszystkich danych </w:t>
      </w:r>
      <w:r w:rsidR="003144B0" w:rsidRPr="007873D8">
        <w:lastRenderedPageBreak/>
        <w:t>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</w:t>
      </w:r>
      <w:proofErr w:type="spellStart"/>
      <w:r w:rsidRPr="007873D8">
        <w:t>Pzp</w:t>
      </w:r>
      <w:proofErr w:type="spellEnd"/>
      <w:r w:rsidRPr="007873D8">
        <w:t>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873D8">
        <w:rPr>
          <w:rFonts w:cs="Arial"/>
          <w:szCs w:val="20"/>
          <w:lang w:eastAsia="ar-SA"/>
        </w:rPr>
        <w:t>Pzp</w:t>
      </w:r>
      <w:proofErr w:type="spellEnd"/>
      <w:r w:rsidR="00F85C46" w:rsidRPr="007873D8">
        <w:rPr>
          <w:rFonts w:cs="Arial"/>
          <w:szCs w:val="20"/>
          <w:lang w:eastAsia="ar-SA"/>
        </w:rPr>
        <w:t xml:space="preserve">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lastRenderedPageBreak/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C0411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43BD0" w14:textId="77777777" w:rsidR="00814DC5" w:rsidRDefault="00814DC5" w:rsidP="005D63CD">
      <w:pPr>
        <w:spacing w:line="240" w:lineRule="auto"/>
      </w:pPr>
      <w:r>
        <w:separator/>
      </w:r>
    </w:p>
  </w:endnote>
  <w:endnote w:type="continuationSeparator" w:id="0">
    <w:p w14:paraId="4DEC6611" w14:textId="77777777" w:rsidR="00814DC5" w:rsidRDefault="00814DC5" w:rsidP="005D63CD">
      <w:pPr>
        <w:spacing w:line="240" w:lineRule="auto"/>
      </w:pPr>
      <w:r>
        <w:continuationSeparator/>
      </w:r>
    </w:p>
  </w:endnote>
  <w:endnote w:type="continuationNotice" w:id="1">
    <w:p w14:paraId="01F2FD21" w14:textId="77777777" w:rsidR="006E2BEF" w:rsidRDefault="006E2B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9EE53" w14:textId="77777777" w:rsidR="00814DC5" w:rsidRDefault="00814D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36544424" w14:textId="0A14053F" w:rsidR="00814DC5" w:rsidRPr="0028799E" w:rsidRDefault="00814DC5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3</w:t>
        </w:r>
      </w:p>
    </w:sdtContent>
  </w:sdt>
  <w:p w14:paraId="693816F1" w14:textId="77777777" w:rsidR="00814DC5" w:rsidRPr="006B318B" w:rsidRDefault="00814DC5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5" w:name="_Hlk136601009" w:displacedByCustomXml="next"/>
  <w:bookmarkStart w:id="56" w:name="_Hlk136333179" w:displacedByCustomXml="next"/>
  <w:sdt>
    <w:sdtPr>
      <w:rPr>
        <w:rFonts w:ascii="Calibri" w:eastAsia="Calibri" w:hAnsi="Calibri" w:cs="Times New Roman"/>
        <w:szCs w:val="20"/>
      </w:rPr>
      <w:id w:val="-255516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21BD04F" w14:textId="6348C8C4" w:rsidR="00814DC5" w:rsidRPr="0098672B" w:rsidRDefault="00E87590" w:rsidP="0098672B">
        <w:pPr>
          <w:tabs>
            <w:tab w:val="center" w:pos="4536"/>
            <w:tab w:val="right" w:pos="9072"/>
          </w:tabs>
          <w:spacing w:line="276" w:lineRule="auto"/>
          <w:ind w:left="0" w:firstLine="0"/>
          <w:rPr>
            <w:rFonts w:ascii="Calibri" w:eastAsia="Calibri" w:hAnsi="Calibri" w:cs="Times New Roman"/>
            <w:szCs w:val="20"/>
          </w:rPr>
        </w:pPr>
      </w:p>
    </w:sdtContent>
  </w:sdt>
  <w:bookmarkEnd w:id="55" w:displacedByCustomXml="prev"/>
  <w:p w14:paraId="1AEDD393" w14:textId="3569BCCD" w:rsidR="00814DC5" w:rsidRPr="00F84EF3" w:rsidRDefault="00814DC5" w:rsidP="009867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8243" behindDoc="1" locked="0" layoutInCell="1" allowOverlap="1" wp14:anchorId="039F3E32" wp14:editId="48751E6C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396CDC2E" wp14:editId="501D03C1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814DC5" w:rsidRPr="00602A59" w:rsidRDefault="00814DC5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814DC5" w:rsidRPr="00602A59" w:rsidRDefault="00814DC5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814DC5" w:rsidRPr="00602A59" w:rsidRDefault="00814DC5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BF6FAA1" wp14:editId="0425D9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814DC5" w:rsidRPr="00AF7FE4" w:rsidRDefault="00814DC5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6" style="position:absolute;left:0;text-align:left;margin-left:20.9pt;margin-top:694.4pt;width:23.9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E24C625" w14:textId="77777777" w:rsidR="00814DC5" w:rsidRPr="00AF7FE4" w:rsidRDefault="00814DC5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814DC5" w:rsidRPr="00602A59" w:rsidRDefault="00814DC5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814DC5" w:rsidRDefault="00E87590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814DC5" w:rsidRPr="00E517F1">
        <w:rPr>
          <w:rStyle w:val="Hipercze"/>
          <w:sz w:val="16"/>
          <w:szCs w:val="16"/>
        </w:rPr>
        <w:t>www.</w:t>
      </w:r>
      <w:r w:rsidR="00814DC5" w:rsidRPr="00E517F1">
        <w:rPr>
          <w:rStyle w:val="Hipercze"/>
          <w:b/>
          <w:bCs/>
          <w:sz w:val="16"/>
          <w:szCs w:val="16"/>
        </w:rPr>
        <w:t>us.</w:t>
      </w:r>
      <w:r w:rsidR="00814DC5" w:rsidRPr="00E517F1">
        <w:rPr>
          <w:rStyle w:val="Hipercze"/>
          <w:sz w:val="16"/>
          <w:szCs w:val="16"/>
        </w:rPr>
        <w:t>edu.pl</w:t>
      </w:r>
    </w:hyperlink>
  </w:p>
  <w:bookmarkEnd w:id="56"/>
  <w:p w14:paraId="72289625" w14:textId="77777777" w:rsidR="00814DC5" w:rsidRDefault="00814DC5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61B74" w14:textId="77777777" w:rsidR="00814DC5" w:rsidRDefault="00814DC5" w:rsidP="005D63CD">
      <w:pPr>
        <w:spacing w:line="240" w:lineRule="auto"/>
      </w:pPr>
      <w:r>
        <w:separator/>
      </w:r>
    </w:p>
  </w:footnote>
  <w:footnote w:type="continuationSeparator" w:id="0">
    <w:p w14:paraId="0C5BAD41" w14:textId="77777777" w:rsidR="00814DC5" w:rsidRDefault="00814DC5" w:rsidP="005D63CD">
      <w:pPr>
        <w:spacing w:line="240" w:lineRule="auto"/>
      </w:pPr>
      <w:r>
        <w:continuationSeparator/>
      </w:r>
    </w:p>
  </w:footnote>
  <w:footnote w:type="continuationNotice" w:id="1">
    <w:p w14:paraId="27D955F6" w14:textId="77777777" w:rsidR="006E2BEF" w:rsidRDefault="006E2B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52A3D" w14:textId="77777777" w:rsidR="00814DC5" w:rsidRDefault="00814D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814DC5" w:rsidRPr="00CE60FA" w:rsidRDefault="00814DC5" w:rsidP="00CE60F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814DC5" w:rsidRDefault="00814DC5">
    <w:pPr>
      <w:pStyle w:val="Nagwek"/>
    </w:pPr>
    <w:bookmarkStart w:id="43" w:name="_Hlk136333150"/>
    <w:bookmarkStart w:id="44" w:name="_Hlk136333151"/>
    <w:bookmarkStart w:id="45" w:name="_Hlk136333159"/>
    <w:bookmarkStart w:id="46" w:name="_Hlk136333160"/>
  </w:p>
  <w:p w14:paraId="7DAAA9E7" w14:textId="47C7DC0E" w:rsidR="00814DC5" w:rsidRDefault="00814DC5">
    <w:pPr>
      <w:pStyle w:val="Nagwek"/>
    </w:pPr>
    <w:bookmarkStart w:id="47" w:name="_Hlk138251184"/>
    <w:bookmarkStart w:id="48" w:name="_Hlk138251185"/>
  </w:p>
  <w:p w14:paraId="2FFBDA13" w14:textId="188365F2" w:rsidR="00814DC5" w:rsidRPr="00CF0359" w:rsidRDefault="00814DC5" w:rsidP="00CE60FA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49" w:name="_Hlk138250247"/>
    <w:bookmarkStart w:id="50" w:name="_Hlk138250248"/>
    <w:bookmarkStart w:id="51" w:name="_Hlk138250737"/>
    <w:bookmarkStart w:id="52" w:name="_Hlk138250738"/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1" behindDoc="1" locked="1" layoutInCell="1" allowOverlap="1" wp14:anchorId="70C87444" wp14:editId="1B95C804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3" w:name="_Hlk127951159"/>
    <w:bookmarkStart w:id="54" w:name="_Hlk127951160"/>
  </w:p>
  <w:bookmarkEnd w:id="53"/>
  <w:bookmarkEnd w:id="54"/>
  <w:bookmarkEnd w:id="43"/>
  <w:bookmarkEnd w:id="44"/>
  <w:bookmarkEnd w:id="45"/>
  <w:bookmarkEnd w:id="46"/>
  <w:bookmarkEnd w:id="49"/>
  <w:bookmarkEnd w:id="50"/>
  <w:bookmarkEnd w:id="51"/>
  <w:bookmarkEnd w:id="52"/>
  <w:bookmarkEnd w:id="47"/>
  <w:bookmarkEnd w:id="48"/>
  <w:p w14:paraId="6059B8D5" w14:textId="7FF2D972" w:rsidR="00814DC5" w:rsidRPr="0098672B" w:rsidRDefault="00814DC5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4D0E9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D7184144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23"/>
  </w:num>
  <w:num w:numId="5">
    <w:abstractNumId w:val="22"/>
  </w:num>
  <w:num w:numId="6">
    <w:abstractNumId w:val="29"/>
  </w:num>
  <w:num w:numId="7">
    <w:abstractNumId w:val="13"/>
    <w:lvlOverride w:ilvl="0">
      <w:startOverride w:val="1"/>
    </w:lvlOverride>
  </w:num>
  <w:num w:numId="8">
    <w:abstractNumId w:val="25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1"/>
  </w:num>
  <w:num w:numId="35">
    <w:abstractNumId w:val="4"/>
    <w:lvlOverride w:ilvl="0">
      <w:startOverride w:val="1"/>
    </w:lvlOverride>
  </w:num>
  <w:num w:numId="36">
    <w:abstractNumId w:val="25"/>
    <w:lvlOverride w:ilvl="0">
      <w:startOverride w:val="1"/>
    </w:lvlOverride>
  </w:num>
  <w:num w:numId="37">
    <w:abstractNumId w:val="25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19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6"/>
  </w:num>
  <w:num w:numId="49">
    <w:abstractNumId w:val="10"/>
  </w:num>
  <w:num w:numId="50">
    <w:abstractNumId w:val="3"/>
  </w:num>
  <w:num w:numId="51">
    <w:abstractNumId w:val="5"/>
  </w:num>
  <w:num w:numId="52">
    <w:abstractNumId w:val="25"/>
    <w:lvlOverride w:ilvl="0">
      <w:startOverride w:val="1"/>
    </w:lvlOverride>
  </w:num>
  <w:num w:numId="53">
    <w:abstractNumId w:val="31"/>
  </w:num>
  <w:num w:numId="54">
    <w:abstractNumId w:val="32"/>
  </w:num>
  <w:num w:numId="55">
    <w:abstractNumId w:val="16"/>
  </w:num>
  <w:num w:numId="56">
    <w:abstractNumId w:val="24"/>
  </w:num>
  <w:num w:numId="57">
    <w:abstractNumId w:val="28"/>
  </w:num>
  <w:num w:numId="58">
    <w:abstractNumId w:val="1"/>
  </w:num>
  <w:num w:numId="59">
    <w:abstractNumId w:val="8"/>
  </w:num>
  <w:num w:numId="60">
    <w:abstractNumId w:val="18"/>
  </w:num>
  <w:num w:numId="61">
    <w:abstractNumId w:val="6"/>
  </w:num>
  <w:num w:numId="62">
    <w:abstractNumId w:val="27"/>
  </w:num>
  <w:num w:numId="63">
    <w:abstractNumId w:val="33"/>
  </w:num>
  <w:num w:numId="64">
    <w:abstractNumId w:val="11"/>
  </w:num>
  <w:num w:numId="65">
    <w:abstractNumId w:val="4"/>
  </w:num>
  <w:num w:numId="66">
    <w:abstractNumId w:val="15"/>
  </w:num>
  <w:num w:numId="67">
    <w:abstractNumId w:val="30"/>
  </w:num>
  <w:num w:numId="68">
    <w:abstractNumId w:val="2"/>
  </w:num>
  <w:num w:numId="69">
    <w:abstractNumId w:val="13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8C"/>
    <w:rsid w:val="00002F1C"/>
    <w:rsid w:val="000055C6"/>
    <w:rsid w:val="00005828"/>
    <w:rsid w:val="0001285D"/>
    <w:rsid w:val="00015B4D"/>
    <w:rsid w:val="00017990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69C6"/>
    <w:rsid w:val="00047065"/>
    <w:rsid w:val="000470BA"/>
    <w:rsid w:val="000479C6"/>
    <w:rsid w:val="00047AB6"/>
    <w:rsid w:val="00047C3B"/>
    <w:rsid w:val="000518A0"/>
    <w:rsid w:val="00052289"/>
    <w:rsid w:val="00052EF6"/>
    <w:rsid w:val="00053FBE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05F9E"/>
    <w:rsid w:val="00110217"/>
    <w:rsid w:val="00111FD4"/>
    <w:rsid w:val="00112E74"/>
    <w:rsid w:val="00113823"/>
    <w:rsid w:val="001156FB"/>
    <w:rsid w:val="00115A66"/>
    <w:rsid w:val="00120932"/>
    <w:rsid w:val="00120996"/>
    <w:rsid w:val="00120AC8"/>
    <w:rsid w:val="00125FCF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D3EC0"/>
    <w:rsid w:val="001E10B1"/>
    <w:rsid w:val="001E3BE3"/>
    <w:rsid w:val="001E5A79"/>
    <w:rsid w:val="001F359D"/>
    <w:rsid w:val="001F3AFE"/>
    <w:rsid w:val="001F79EB"/>
    <w:rsid w:val="00200A2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37CC5"/>
    <w:rsid w:val="00241D9C"/>
    <w:rsid w:val="00242762"/>
    <w:rsid w:val="00244022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5872"/>
    <w:rsid w:val="002B6782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A7C2F"/>
    <w:rsid w:val="003B1A5A"/>
    <w:rsid w:val="003B3416"/>
    <w:rsid w:val="003B36A0"/>
    <w:rsid w:val="003B678D"/>
    <w:rsid w:val="003C094D"/>
    <w:rsid w:val="003C0C2B"/>
    <w:rsid w:val="003C0FFC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F5219"/>
    <w:rsid w:val="003F5E14"/>
    <w:rsid w:val="003F7581"/>
    <w:rsid w:val="00403FD7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B4CE9"/>
    <w:rsid w:val="004C0350"/>
    <w:rsid w:val="004C0E1D"/>
    <w:rsid w:val="004C1290"/>
    <w:rsid w:val="004C1B2D"/>
    <w:rsid w:val="004C4C93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25C2"/>
    <w:rsid w:val="00562ACF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5711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6A2"/>
    <w:rsid w:val="006D3219"/>
    <w:rsid w:val="006D3FAD"/>
    <w:rsid w:val="006D4E1B"/>
    <w:rsid w:val="006D6009"/>
    <w:rsid w:val="006E1313"/>
    <w:rsid w:val="006E2700"/>
    <w:rsid w:val="006E2BEF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B6F01"/>
    <w:rsid w:val="007C52C3"/>
    <w:rsid w:val="007C7952"/>
    <w:rsid w:val="007D3620"/>
    <w:rsid w:val="007D58D4"/>
    <w:rsid w:val="007D5B85"/>
    <w:rsid w:val="007D67F0"/>
    <w:rsid w:val="007E06DA"/>
    <w:rsid w:val="007E1600"/>
    <w:rsid w:val="007E1CA4"/>
    <w:rsid w:val="007E1EB6"/>
    <w:rsid w:val="007F09C2"/>
    <w:rsid w:val="007F153F"/>
    <w:rsid w:val="007F1CC6"/>
    <w:rsid w:val="007F3155"/>
    <w:rsid w:val="007F68C5"/>
    <w:rsid w:val="007F728E"/>
    <w:rsid w:val="00801A5D"/>
    <w:rsid w:val="00802322"/>
    <w:rsid w:val="00803842"/>
    <w:rsid w:val="00804CB5"/>
    <w:rsid w:val="0080582A"/>
    <w:rsid w:val="0081100D"/>
    <w:rsid w:val="00814DC5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2801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77266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C5614"/>
    <w:rsid w:val="009D1C37"/>
    <w:rsid w:val="009D33A0"/>
    <w:rsid w:val="009D650B"/>
    <w:rsid w:val="009D7BC2"/>
    <w:rsid w:val="009E1AAC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5CA"/>
    <w:rsid w:val="00AD15BF"/>
    <w:rsid w:val="00AD1DEF"/>
    <w:rsid w:val="00AD3EF7"/>
    <w:rsid w:val="00AD7B52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0C9C"/>
    <w:rsid w:val="00B52402"/>
    <w:rsid w:val="00B53EEB"/>
    <w:rsid w:val="00B61404"/>
    <w:rsid w:val="00B61F3A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4B90"/>
    <w:rsid w:val="00BA4C2B"/>
    <w:rsid w:val="00BA4FE0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526B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0EE0"/>
    <w:rsid w:val="00CC1292"/>
    <w:rsid w:val="00CC3EF8"/>
    <w:rsid w:val="00CD00D3"/>
    <w:rsid w:val="00CD1C73"/>
    <w:rsid w:val="00CD1DBE"/>
    <w:rsid w:val="00CD2A5D"/>
    <w:rsid w:val="00CD2E49"/>
    <w:rsid w:val="00CD6350"/>
    <w:rsid w:val="00CD6CF6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B91"/>
    <w:rsid w:val="00DC5EC5"/>
    <w:rsid w:val="00DD019B"/>
    <w:rsid w:val="00DD03B1"/>
    <w:rsid w:val="00DD1CDA"/>
    <w:rsid w:val="00DD537C"/>
    <w:rsid w:val="00DE1639"/>
    <w:rsid w:val="00DE4C11"/>
    <w:rsid w:val="00DE720A"/>
    <w:rsid w:val="00DF1BF1"/>
    <w:rsid w:val="00DF46C7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441E"/>
    <w:rsid w:val="00E74E14"/>
    <w:rsid w:val="00E75684"/>
    <w:rsid w:val="00E8014A"/>
    <w:rsid w:val="00E81D74"/>
    <w:rsid w:val="00E83039"/>
    <w:rsid w:val="00E85B4D"/>
    <w:rsid w:val="00E87590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2A49"/>
    <w:rsid w:val="00EF4FF0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2F1D"/>
    <w:rsid w:val="00F23144"/>
    <w:rsid w:val="00F325A8"/>
    <w:rsid w:val="00F43774"/>
    <w:rsid w:val="00F466E1"/>
    <w:rsid w:val="00F47A89"/>
    <w:rsid w:val="00F47E48"/>
    <w:rsid w:val="00F52FC2"/>
    <w:rsid w:val="00F54060"/>
    <w:rsid w:val="00F555B5"/>
    <w:rsid w:val="00F634DF"/>
    <w:rsid w:val="00F63CAF"/>
    <w:rsid w:val="00F65A36"/>
    <w:rsid w:val="00F7264E"/>
    <w:rsid w:val="00F81CA1"/>
    <w:rsid w:val="00F8247C"/>
    <w:rsid w:val="00F83B5D"/>
    <w:rsid w:val="00F83B8A"/>
    <w:rsid w:val="00F8496A"/>
    <w:rsid w:val="00F84EF3"/>
    <w:rsid w:val="00F856D2"/>
    <w:rsid w:val="00F85C46"/>
    <w:rsid w:val="00F86650"/>
    <w:rsid w:val="00F87349"/>
    <w:rsid w:val="00F96B4C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59A"/>
    <w:rsid w:val="00FC24AE"/>
    <w:rsid w:val="00FC3A95"/>
    <w:rsid w:val="00FC40E1"/>
    <w:rsid w:val="00FC74E9"/>
    <w:rsid w:val="00FD474A"/>
    <w:rsid w:val="00FD4F6C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FFEDE-B3D0-4568-9D05-4767B2A3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23</Pages>
  <Words>9133</Words>
  <Characters>54800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618</cp:revision>
  <cp:lastPrinted>2024-06-27T11:36:00Z</cp:lastPrinted>
  <dcterms:created xsi:type="dcterms:W3CDTF">2021-02-03T06:43:00Z</dcterms:created>
  <dcterms:modified xsi:type="dcterms:W3CDTF">2024-11-19T13:12:00Z</dcterms:modified>
</cp:coreProperties>
</file>