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C6403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6B97DE2C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1D016B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73</w:t>
      </w:r>
      <w:r w:rsidR="00052B02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4/12</w:t>
      </w:r>
      <w:r w:rsidR="0073123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2022/W</w:t>
      </w:r>
    </w:p>
    <w:p w14:paraId="0F0F1FA5" w14:textId="7777777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B15196D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zawarta w dniu </w:t>
      </w:r>
      <w:r w:rsidR="00AA3289">
        <w:rPr>
          <w:rFonts w:ascii="Lato" w:eastAsia="SimSun" w:hAnsi="Lato"/>
          <w:sz w:val="22"/>
          <w:szCs w:val="22"/>
          <w:lang w:eastAsia="zh-CN"/>
        </w:rPr>
        <w:t>……………………………….</w:t>
      </w:r>
      <w:r w:rsidRPr="000F4C7A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F4C7A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A3E37B0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F4C7A">
        <w:rPr>
          <w:rFonts w:ascii="Lato" w:hAnsi="Lato" w:cs="Times New Roman"/>
          <w:b/>
          <w:sz w:val="22"/>
          <w:szCs w:val="22"/>
        </w:rPr>
        <w:t>Elbląskim Przedsiębiorstwem Energetyki Cieplnej Spółka z o.</w:t>
      </w:r>
      <w:r w:rsidR="00731236">
        <w:rPr>
          <w:rFonts w:ascii="Lato" w:hAnsi="Lato" w:cs="Times New Roman"/>
          <w:b/>
          <w:sz w:val="22"/>
          <w:szCs w:val="22"/>
        </w:rPr>
        <w:t xml:space="preserve"> </w:t>
      </w:r>
      <w:r w:rsidRPr="000F4C7A">
        <w:rPr>
          <w:rFonts w:ascii="Lato" w:hAnsi="Lato" w:cs="Times New Roman"/>
          <w:b/>
          <w:sz w:val="22"/>
          <w:szCs w:val="22"/>
        </w:rPr>
        <w:t>o.</w:t>
      </w:r>
      <w:r w:rsidRPr="000F4C7A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16 594 500,00 zł, posiadającą status dużego przedsiębiorcy w rozumieniu postanowień ustawy z dnia 8 marca 2013 r. </w:t>
      </w:r>
      <w:r w:rsidR="000622F6" w:rsidRPr="000F4C7A">
        <w:rPr>
          <w:rFonts w:ascii="Lato" w:hAnsi="Lato" w:cs="Times New Roman"/>
          <w:bCs/>
          <w:sz w:val="22"/>
          <w:szCs w:val="22"/>
        </w:rPr>
        <w:br/>
      </w:r>
      <w:r w:rsidRPr="000F4C7A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623BB70B" w14:textId="65801D78" w:rsidR="00A44D42" w:rsidRPr="00731236" w:rsidRDefault="00387702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>
        <w:rPr>
          <w:rFonts w:ascii="Lato" w:hAnsi="Lato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8F04C2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F4C7A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DA9C61" w:rsidR="00111899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30F7DE11" w14:textId="5FA20444" w:rsidR="00731236" w:rsidRDefault="00387702" w:rsidP="008D00D4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……………………………………………………………………………………………………………</w:t>
      </w:r>
      <w:r w:rsidR="00B167D5">
        <w:rPr>
          <w:rFonts w:ascii="Lato" w:eastAsia="SimSun" w:hAnsi="Lato"/>
          <w:sz w:val="22"/>
          <w:szCs w:val="22"/>
          <w:lang w:eastAsia="zh-CN"/>
        </w:rPr>
        <w:t>reprezentowaną</w:t>
      </w:r>
      <w:r w:rsidR="008D00D4">
        <w:rPr>
          <w:rFonts w:ascii="Lato" w:eastAsia="SimSun" w:hAnsi="Lato"/>
          <w:sz w:val="22"/>
          <w:szCs w:val="22"/>
          <w:lang w:eastAsia="zh-CN"/>
        </w:rPr>
        <w:t xml:space="preserve"> przez:</w:t>
      </w:r>
    </w:p>
    <w:p w14:paraId="540E60CB" w14:textId="01F72635" w:rsidR="00731236" w:rsidRPr="00731236" w:rsidRDefault="00387702" w:rsidP="00731236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…………………………………………………………………………………………………………………………….</w:t>
      </w:r>
    </w:p>
    <w:p w14:paraId="46A43937" w14:textId="01A64F85" w:rsidR="00731236" w:rsidRPr="000F4C7A" w:rsidRDefault="008D00D4" w:rsidP="0073123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zwaną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dalej </w:t>
      </w:r>
      <w:r w:rsidR="00731236" w:rsidRPr="000F4C7A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33FB2935" w14:textId="77777777" w:rsidR="00731236" w:rsidRPr="000F4C7A" w:rsidRDefault="00731236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F4C7A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594AA9F6" w:rsidR="00111899" w:rsidRPr="000F4C7A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2A9A3630" w14:textId="77777777" w:rsidR="00443FE3" w:rsidRDefault="00443FE3" w:rsidP="00443FE3">
      <w:pPr>
        <w:spacing w:after="120"/>
        <w:rPr>
          <w:rFonts w:ascii="Lato" w:eastAsia="SimSun" w:hAnsi="Lato"/>
          <w:sz w:val="22"/>
          <w:szCs w:val="22"/>
          <w:lang w:eastAsia="zh-CN"/>
        </w:rPr>
      </w:pPr>
    </w:p>
    <w:p w14:paraId="407B5CFE" w14:textId="52CE1771" w:rsid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/>
          <w:sz w:val="22"/>
          <w:szCs w:val="22"/>
        </w:rPr>
        <w:t>Zamawiający zleca, a Wykonawca zobowiązuje się do świ</w:t>
      </w:r>
      <w:r w:rsidR="007D0216" w:rsidRPr="00200594">
        <w:rPr>
          <w:rFonts w:ascii="Lato" w:hAnsi="Lato"/>
          <w:sz w:val="22"/>
          <w:szCs w:val="22"/>
        </w:rPr>
        <w:t>adczenia na rzecz Zamawiającego</w:t>
      </w:r>
      <w:r w:rsidR="00AD3063" w:rsidRPr="00200594">
        <w:rPr>
          <w:rFonts w:ascii="Lato" w:hAnsi="Lato"/>
          <w:sz w:val="22"/>
          <w:szCs w:val="22"/>
        </w:rPr>
        <w:t>:</w:t>
      </w:r>
      <w:r w:rsidR="007D0216" w:rsidRPr="00200594">
        <w:rPr>
          <w:rFonts w:ascii="Lato" w:hAnsi="Lato"/>
          <w:sz w:val="22"/>
          <w:szCs w:val="22"/>
        </w:rPr>
        <w:t xml:space="preserve"> </w:t>
      </w:r>
      <w:r w:rsidR="0071518D" w:rsidRPr="00200594">
        <w:rPr>
          <w:rFonts w:ascii="Lato" w:hAnsi="Lato"/>
          <w:sz w:val="22"/>
          <w:szCs w:val="22"/>
        </w:rPr>
        <w:t xml:space="preserve">wykonywanie usług w technologii </w:t>
      </w:r>
      <w:proofErr w:type="spellStart"/>
      <w:r w:rsidR="0071518D" w:rsidRPr="00200594">
        <w:rPr>
          <w:rFonts w:ascii="Lato" w:hAnsi="Lato"/>
          <w:sz w:val="22"/>
          <w:szCs w:val="22"/>
        </w:rPr>
        <w:t>bezwykopowej</w:t>
      </w:r>
      <w:proofErr w:type="spellEnd"/>
      <w:r w:rsidR="0071518D" w:rsidRPr="00200594">
        <w:rPr>
          <w:rFonts w:ascii="Lato" w:hAnsi="Lato"/>
          <w:sz w:val="22"/>
          <w:szCs w:val="22"/>
        </w:rPr>
        <w:t xml:space="preserve"> (</w:t>
      </w:r>
      <w:proofErr w:type="spellStart"/>
      <w:r w:rsidR="0071518D" w:rsidRPr="00200594">
        <w:rPr>
          <w:rFonts w:ascii="Lato" w:hAnsi="Lato"/>
          <w:sz w:val="22"/>
          <w:szCs w:val="22"/>
        </w:rPr>
        <w:t>przecisk</w:t>
      </w:r>
      <w:proofErr w:type="spellEnd"/>
      <w:r w:rsidR="00387702">
        <w:rPr>
          <w:rFonts w:ascii="Lato" w:hAnsi="Lato"/>
          <w:sz w:val="22"/>
          <w:szCs w:val="22"/>
        </w:rPr>
        <w:t>, przewierty</w:t>
      </w:r>
      <w:r w:rsidR="0071518D" w:rsidRPr="00200594">
        <w:rPr>
          <w:rFonts w:ascii="Lato" w:hAnsi="Lato"/>
          <w:sz w:val="22"/>
          <w:szCs w:val="22"/>
        </w:rPr>
        <w:t>)</w:t>
      </w:r>
      <w:r w:rsidR="00AD3063" w:rsidRPr="00200594">
        <w:rPr>
          <w:rFonts w:ascii="Lato" w:hAnsi="Lato" w:cs="Calibri"/>
          <w:sz w:val="22"/>
          <w:szCs w:val="22"/>
        </w:rPr>
        <w:t>,</w:t>
      </w:r>
      <w:r w:rsidR="00AD3063" w:rsidRPr="00200594">
        <w:rPr>
          <w:rFonts w:ascii="Lato" w:hAnsi="Lato"/>
          <w:sz w:val="22"/>
          <w:szCs w:val="22"/>
        </w:rPr>
        <w:t xml:space="preserve"> </w:t>
      </w:r>
      <w:r w:rsidR="00AD3063" w:rsidRPr="00200594">
        <w:rPr>
          <w:rFonts w:ascii="Lato" w:hAnsi="Lato" w:cs="Calibri"/>
          <w:sz w:val="22"/>
          <w:szCs w:val="22"/>
        </w:rPr>
        <w:t>zgodnie z opisem przedmiotu zamówienia.</w:t>
      </w:r>
    </w:p>
    <w:p w14:paraId="25FE0F78" w14:textId="2381F23C" w:rsidR="00111899" w:rsidRPr="00200594" w:rsidRDefault="00111899" w:rsidP="00200594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7A313EF4" w14:textId="77777777" w:rsidR="00443FE3" w:rsidRPr="000F4C7A" w:rsidRDefault="00443FE3" w:rsidP="00443FE3">
      <w:pPr>
        <w:spacing w:after="120"/>
        <w:rPr>
          <w:rFonts w:ascii="Lato" w:hAnsi="Lato"/>
          <w:sz w:val="22"/>
          <w:szCs w:val="22"/>
        </w:rPr>
      </w:pPr>
    </w:p>
    <w:p w14:paraId="5B05FAF8" w14:textId="7ED79E49" w:rsidR="00083FA5" w:rsidRDefault="00111899" w:rsidP="00443FE3">
      <w:pPr>
        <w:jc w:val="center"/>
        <w:rPr>
          <w:rFonts w:ascii="Lato" w:hAnsi="Lato"/>
          <w:b/>
          <w:bCs/>
          <w:sz w:val="22"/>
          <w:szCs w:val="22"/>
        </w:rPr>
      </w:pPr>
      <w:r w:rsidRPr="000F4C7A">
        <w:rPr>
          <w:rFonts w:ascii="Lato" w:hAnsi="Lato"/>
          <w:b/>
          <w:bCs/>
          <w:sz w:val="22"/>
          <w:szCs w:val="22"/>
        </w:rPr>
        <w:t>§ 2 Obowiązki Zamawiającego</w:t>
      </w:r>
    </w:p>
    <w:p w14:paraId="30E04CFB" w14:textId="77777777" w:rsidR="00443FE3" w:rsidRPr="000F4C7A" w:rsidRDefault="00443FE3" w:rsidP="00443FE3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7777777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BF8EA5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6C16D5">
        <w:rPr>
          <w:rFonts w:ascii="Lato" w:hAnsi="Lato"/>
          <w:sz w:val="22"/>
          <w:szCs w:val="22"/>
        </w:rPr>
        <w:br/>
      </w:r>
      <w:r w:rsidRPr="000F4C7A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0F79D45D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4FD4A636" w14:textId="77777777" w:rsidR="00083FA5" w:rsidRPr="000F4C7A" w:rsidRDefault="00083FA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4EEC3E7" w14:textId="7C430177" w:rsidR="006824A6" w:rsidRPr="000F4C7A" w:rsidRDefault="006824A6" w:rsidP="006C16D5">
      <w:pPr>
        <w:autoSpaceDE w:val="0"/>
        <w:spacing w:line="276" w:lineRule="auto"/>
        <w:contextualSpacing/>
        <w:rPr>
          <w:rFonts w:ascii="Lato" w:eastAsia="Times New Roman" w:hAnsi="Lato" w:cs="Calibri"/>
          <w:b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Umowa zostaje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zawarta na czas określony: </w:t>
      </w:r>
      <w:r w:rsidR="004B38C3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6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miesięcy </w:t>
      </w:r>
      <w:r w:rsidR="00200594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od daty zawarcia umowy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. 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</w:t>
      </w:r>
    </w:p>
    <w:p w14:paraId="4712A787" w14:textId="77777777" w:rsidR="006C16D5" w:rsidRDefault="006C16D5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01236CD4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7E28A242" w14:textId="2A2F31BF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F4C7A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7B3B4A" w:rsidRPr="000F4C7A">
        <w:rPr>
          <w:rFonts w:ascii="Lato" w:hAnsi="Lato" w:cs="Arial"/>
          <w:bCs/>
          <w:sz w:val="22"/>
          <w:szCs w:val="22"/>
        </w:rPr>
        <w:t>robocizny, koszty narzędzi, koszty dojazdu.</w:t>
      </w:r>
    </w:p>
    <w:p w14:paraId="6F9423D5" w14:textId="719A6857" w:rsidR="007B3B4A" w:rsidRPr="000F4C7A" w:rsidRDefault="007B3B4A" w:rsidP="007B3B4A">
      <w:pPr>
        <w:numPr>
          <w:ilvl w:val="0"/>
          <w:numId w:val="7"/>
        </w:numPr>
        <w:autoSpaceDE w:val="0"/>
        <w:spacing w:line="276" w:lineRule="auto"/>
        <w:ind w:left="357"/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kern w:val="0"/>
          <w:sz w:val="22"/>
          <w:szCs w:val="22"/>
          <w:lang w:eastAsia="zh-CN" w:bidi="ar-SA"/>
        </w:rPr>
        <w:t xml:space="preserve">Podstawą do wystawienia faktury będzie obustronnie podpisany Protokół odbioru robót. </w:t>
      </w:r>
    </w:p>
    <w:p w14:paraId="77E5B928" w14:textId="77777777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6425286C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lastRenderedPageBreak/>
        <w:t xml:space="preserve">Płatność nastąpi na rachunek bankowy Wykonawcy wskazany na fakturze VAT w terminie do </w:t>
      </w:r>
      <w:r w:rsidR="00BD0019">
        <w:rPr>
          <w:rFonts w:ascii="Lato" w:hAnsi="Lato" w:cs="Arial"/>
          <w:bCs/>
          <w:sz w:val="22"/>
          <w:szCs w:val="22"/>
        </w:rPr>
        <w:t>21</w:t>
      </w:r>
      <w:r w:rsidRPr="000F4C7A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</w:t>
      </w:r>
      <w:r w:rsidR="007B3B4A" w:rsidRPr="000F4C7A">
        <w:rPr>
          <w:rFonts w:ascii="Lato" w:hAnsi="Lato" w:cs="Arial"/>
          <w:bCs/>
          <w:sz w:val="22"/>
          <w:szCs w:val="22"/>
        </w:rPr>
        <w:t>i.</w:t>
      </w:r>
      <w:r w:rsidRPr="000F4C7A">
        <w:rPr>
          <w:rFonts w:ascii="Lato" w:hAnsi="Lato" w:cs="Arial"/>
          <w:bCs/>
          <w:sz w:val="22"/>
          <w:szCs w:val="22"/>
        </w:rPr>
        <w:t xml:space="preserve"> </w:t>
      </w:r>
    </w:p>
    <w:p w14:paraId="04831E65" w14:textId="77777777" w:rsidR="00111899" w:rsidRPr="000F4C7A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Zapłata przez Zamawiającego na rach</w:t>
      </w:r>
      <w:bookmarkStart w:id="1" w:name="_GoBack"/>
      <w:bookmarkEnd w:id="1"/>
      <w:r w:rsidRPr="000F4C7A">
        <w:rPr>
          <w:rFonts w:ascii="Lato" w:hAnsi="Lato" w:cs="Open Sans"/>
          <w:color w:val="000000"/>
          <w:sz w:val="22"/>
          <w:szCs w:val="22"/>
        </w:rPr>
        <w:t>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Wykonawca oświadcza, iż jest/</w:t>
      </w:r>
      <w:r w:rsidRPr="004B38C3">
        <w:rPr>
          <w:rFonts w:ascii="Lato" w:hAnsi="Lato" w:cs="Open Sans"/>
          <w:color w:val="000000"/>
          <w:sz w:val="22"/>
          <w:szCs w:val="22"/>
        </w:rPr>
        <w:t>nie jest*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F4C7A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F4C7A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698648C4" w14:textId="28CD6A64" w:rsidR="006C16D5" w:rsidRPr="000622F6" w:rsidRDefault="00BD0019" w:rsidP="006C16D5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="006C16D5" w:rsidRPr="000622F6">
        <w:rPr>
          <w:rFonts w:ascii="Lato" w:hAnsi="Lato"/>
          <w:b/>
          <w:bCs/>
          <w:sz w:val="22"/>
          <w:szCs w:val="22"/>
        </w:rPr>
        <w:t xml:space="preserve"> Rozwiązanie umowy.</w:t>
      </w:r>
    </w:p>
    <w:p w14:paraId="5FA27A24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7734A957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3A516EE2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6117ACBD" w14:textId="77777777" w:rsidR="006C16D5" w:rsidRPr="000622F6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44ACA4A" w14:textId="4E7DC719" w:rsidR="006C16D5" w:rsidRPr="000622F6" w:rsidRDefault="00BD0019" w:rsidP="006C16D5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6</w:t>
      </w:r>
      <w:r w:rsidR="006C16D5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43F6DD9" w14:textId="246DF26F" w:rsidR="006C16D5" w:rsidRPr="000622F6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BD0019">
        <w:rPr>
          <w:rFonts w:ascii="Lato" w:hAnsi="Lato" w:cs="Arial"/>
          <w:sz w:val="22"/>
          <w:szCs w:val="22"/>
        </w:rPr>
        <w:t>0,5</w:t>
      </w:r>
      <w:r>
        <w:rPr>
          <w:rFonts w:ascii="Lato" w:hAnsi="Lato" w:cs="Arial"/>
          <w:sz w:val="22"/>
          <w:szCs w:val="22"/>
        </w:rPr>
        <w:t>%</w:t>
      </w:r>
      <w:r w:rsidRPr="000622F6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065E610" w14:textId="77777777" w:rsidR="006C16D5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5037D18C" w14:textId="77777777" w:rsidR="006C16D5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086ECA9E" w14:textId="64E3067F" w:rsidR="006C16D5" w:rsidRPr="000622F6" w:rsidRDefault="00BD0019" w:rsidP="006C16D5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7</w:t>
      </w:r>
      <w:r w:rsidR="006C16D5">
        <w:rPr>
          <w:rFonts w:ascii="Lato" w:hAnsi="Lato"/>
          <w:b/>
          <w:sz w:val="22"/>
          <w:szCs w:val="22"/>
        </w:rPr>
        <w:t xml:space="preserve"> Nadzór</w:t>
      </w:r>
    </w:p>
    <w:p w14:paraId="1D5FD250" w14:textId="77777777" w:rsidR="006C16D5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00140269" w14:textId="77965C80" w:rsidR="006C16D5" w:rsidRPr="00913A6A" w:rsidRDefault="00387702" w:rsidP="00387702">
      <w:pPr>
        <w:widowControl w:val="0"/>
        <w:tabs>
          <w:tab w:val="left" w:pos="528"/>
        </w:tabs>
        <w:suppressAutoHyphens w:val="0"/>
        <w:autoSpaceDE w:val="0"/>
        <w:autoSpaceDN w:val="0"/>
        <w:spacing w:line="259" w:lineRule="auto"/>
        <w:ind w:left="357" w:right="320"/>
        <w:jc w:val="both"/>
        <w:rPr>
          <w:rFonts w:ascii="Lato" w:eastAsia="Calibri" w:hAnsi="Lato" w:cs="Times New Roman"/>
          <w:color w:val="111111"/>
          <w:kern w:val="0"/>
          <w:sz w:val="22"/>
          <w:szCs w:val="22"/>
          <w:lang w:eastAsia="pl-PL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 w:rsidR="001651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165145" w:rsidRPr="00D330FA">
        <w:rPr>
          <w:rFonts w:ascii="Lato" w:eastAsia="Calibri" w:hAnsi="Lato" w:cs="Times New Roman"/>
          <w:color w:val="111111"/>
          <w:w w:val="105"/>
          <w:kern w:val="0"/>
          <w:sz w:val="22"/>
          <w:szCs w:val="22"/>
          <w:lang w:eastAsia="pl-PL" w:bidi="ar-SA"/>
        </w:rPr>
        <w:t xml:space="preserve">nr tel. </w:t>
      </w:r>
      <w:r>
        <w:rPr>
          <w:rFonts w:ascii="Lato" w:hAnsi="Lato"/>
          <w:sz w:val="22"/>
          <w:szCs w:val="22"/>
          <w:lang w:val="en-US" w:eastAsia="pl-PL"/>
        </w:rPr>
        <w:t>…………………………</w:t>
      </w:r>
      <w:r w:rsidR="00165145" w:rsidRPr="00D330FA">
        <w:rPr>
          <w:rFonts w:ascii="Lato" w:hAnsi="Lato"/>
          <w:sz w:val="22"/>
          <w:szCs w:val="22"/>
          <w:lang w:val="en-US" w:eastAsia="pl-PL"/>
        </w:rPr>
        <w:t xml:space="preserve">, e-mail: </w:t>
      </w:r>
      <w:r>
        <w:rPr>
          <w:rFonts w:ascii="Lato" w:hAnsi="Lato"/>
          <w:sz w:val="22"/>
          <w:szCs w:val="22"/>
          <w:lang w:val="en-US" w:eastAsia="pl-PL"/>
        </w:rPr>
        <w:t>………………………………………………………</w:t>
      </w:r>
    </w:p>
    <w:p w14:paraId="1AAD243A" w14:textId="703F8223" w:rsidR="006C16D5" w:rsidRPr="00687E0F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Wykonawcę reprezentować będzie:</w:t>
      </w:r>
    </w:p>
    <w:p w14:paraId="4F7059D2" w14:textId="1EDE01FD" w:rsidR="00687E0F" w:rsidRPr="000C2731" w:rsidRDefault="00387702" w:rsidP="00687E0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……………………………………………..</w:t>
      </w:r>
      <w:r w:rsidR="00687E0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687E0F" w:rsidRPr="00687E0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e-mail: </w:t>
      </w: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………………………………………………………………………………….</w:t>
      </w:r>
    </w:p>
    <w:p w14:paraId="7AB595AA" w14:textId="4ED27952" w:rsidR="006C16D5" w:rsidRPr="009500E2" w:rsidRDefault="006C16D5" w:rsidP="009500E2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233B9A4A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409AC25A" w14:textId="2B5D989F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E21863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C1EDCC0" w14:textId="77777777" w:rsidR="006C16D5" w:rsidRPr="000622F6" w:rsidRDefault="006C16D5" w:rsidP="006C16D5">
      <w:pPr>
        <w:jc w:val="center"/>
        <w:rPr>
          <w:rFonts w:ascii="Lato" w:hAnsi="Lato"/>
          <w:b/>
          <w:sz w:val="22"/>
          <w:szCs w:val="22"/>
        </w:rPr>
      </w:pPr>
    </w:p>
    <w:p w14:paraId="1707745D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1.   </w:t>
      </w: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407D99F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  </w:t>
      </w: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0C346755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  </w:t>
      </w: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6CCEB1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  </w:t>
      </w: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56423996" w14:textId="146CD9A1" w:rsidR="006C16D5" w:rsidRPr="00731926" w:rsidRDefault="002F1AEC" w:rsidP="006C16D5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 </w:t>
      </w:r>
      <w:r w:rsidR="006C16D5" w:rsidRPr="000622F6">
        <w:rPr>
          <w:rFonts w:ascii="Lato" w:hAnsi="Lato"/>
          <w:sz w:val="22"/>
          <w:szCs w:val="22"/>
        </w:rPr>
        <w:t xml:space="preserve">Umowę sporządzono w </w:t>
      </w:r>
      <w:r w:rsidR="006C16D5">
        <w:rPr>
          <w:rFonts w:ascii="Lato" w:hAnsi="Lato"/>
          <w:sz w:val="22"/>
          <w:szCs w:val="22"/>
        </w:rPr>
        <w:t>2</w:t>
      </w:r>
      <w:r w:rsidR="006C16D5" w:rsidRPr="000622F6">
        <w:rPr>
          <w:rFonts w:ascii="Lato" w:hAnsi="Lato"/>
          <w:sz w:val="22"/>
          <w:szCs w:val="22"/>
        </w:rPr>
        <w:t xml:space="preserve"> jednobrzmiących egzemplarzach w tym 1 egz. dla Wykonawcy</w:t>
      </w:r>
      <w:r w:rsidR="006F642E">
        <w:rPr>
          <w:rFonts w:ascii="Lato" w:hAnsi="Lato"/>
          <w:sz w:val="22"/>
          <w:szCs w:val="22"/>
        </w:rPr>
        <w:t>. Załączniki stanowią integralną</w:t>
      </w:r>
      <w:r w:rsidR="006C16D5" w:rsidRPr="000622F6">
        <w:rPr>
          <w:rFonts w:ascii="Lato" w:hAnsi="Lato"/>
          <w:sz w:val="22"/>
          <w:szCs w:val="22"/>
        </w:rPr>
        <w:t xml:space="preserve"> część Umowy.</w:t>
      </w:r>
    </w:p>
    <w:p w14:paraId="45A80ECD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B4CAA1C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2726D3A2" w14:textId="28B874C3" w:rsidR="006C16D5" w:rsidRPr="000622F6" w:rsidRDefault="006C16D5" w:rsidP="006C16D5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00E2">
        <w:rPr>
          <w:rFonts w:ascii="Lato" w:eastAsia="Calibri" w:hAnsi="Lato" w:cs="Times New Roman"/>
          <w:bCs/>
          <w:sz w:val="22"/>
          <w:szCs w:val="22"/>
        </w:rPr>
        <w:t xml:space="preserve"> </w:t>
      </w:r>
      <w:r w:rsidRPr="000622F6">
        <w:rPr>
          <w:rFonts w:ascii="Lato" w:eastAsia="Calibri" w:hAnsi="Lato" w:cs="Times New Roman"/>
          <w:bCs/>
          <w:sz w:val="22"/>
          <w:szCs w:val="22"/>
        </w:rPr>
        <w:t>w celu realizacji umowy. Każda osoba ma prawo dostępu do treści swoich danych oraz ich poprawiania. Podanie danych jest dobrowolne.</w:t>
      </w:r>
    </w:p>
    <w:p w14:paraId="1791B111" w14:textId="77777777" w:rsidR="006C16D5" w:rsidRPr="000622F6" w:rsidRDefault="006C16D5" w:rsidP="006C16D5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0662EC94" w14:textId="77777777" w:rsidR="009500E2" w:rsidRPr="00A4557C" w:rsidRDefault="009500E2" w:rsidP="009500E2">
      <w:pPr>
        <w:spacing w:before="120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                                                                                                Wykonawca</w:t>
      </w:r>
    </w:p>
    <w:p w14:paraId="1C1A9261" w14:textId="77777777" w:rsidR="009500E2" w:rsidRPr="00A4557C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426E6372" w14:textId="77777777" w:rsidR="009500E2" w:rsidRDefault="009500E2" w:rsidP="009500E2">
      <w:pPr>
        <w:rPr>
          <w:rFonts w:ascii="Lato" w:hAnsi="Lato"/>
          <w:i/>
          <w:sz w:val="22"/>
          <w:szCs w:val="22"/>
        </w:rPr>
      </w:pPr>
    </w:p>
    <w:p w14:paraId="39B5C61F" w14:textId="77777777" w:rsidR="009500E2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351C5BEE" w14:textId="6019BFD2" w:rsidR="00004DC4" w:rsidRDefault="00004DC4" w:rsidP="006C16D5">
      <w:pPr>
        <w:rPr>
          <w:rFonts w:ascii="Lato" w:hAnsi="Lato"/>
          <w:b/>
          <w:bCs/>
          <w:sz w:val="22"/>
          <w:szCs w:val="22"/>
        </w:rPr>
      </w:pPr>
    </w:p>
    <w:p w14:paraId="100C1566" w14:textId="77777777" w:rsidR="00BD0019" w:rsidRPr="000622F6" w:rsidRDefault="00BD0019" w:rsidP="006C16D5">
      <w:pPr>
        <w:rPr>
          <w:rFonts w:ascii="Lato" w:hAnsi="Lato"/>
          <w:b/>
          <w:bCs/>
          <w:sz w:val="22"/>
          <w:szCs w:val="22"/>
        </w:rPr>
      </w:pPr>
    </w:p>
    <w:p w14:paraId="1A927BC5" w14:textId="77777777" w:rsidR="006C16D5" w:rsidRPr="000622F6" w:rsidRDefault="006C16D5" w:rsidP="006C16D5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03C9A9E4" w14:textId="77777777" w:rsidR="006C16D5" w:rsidRPr="000622F6" w:rsidRDefault="006C16D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Oferta Wykonawcy</w:t>
      </w:r>
    </w:p>
    <w:p w14:paraId="3402DD59" w14:textId="205EE091" w:rsidR="00111899" w:rsidRPr="006C16D5" w:rsidRDefault="00111899" w:rsidP="006C16D5">
      <w:pPr>
        <w:rPr>
          <w:rFonts w:ascii="Lato" w:hAnsi="Lato"/>
          <w:bCs/>
          <w:i/>
          <w:iCs/>
          <w:sz w:val="22"/>
          <w:szCs w:val="22"/>
        </w:rPr>
      </w:pPr>
    </w:p>
    <w:sectPr w:rsidR="00111899" w:rsidRPr="006C16D5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B2F2D" w14:textId="77777777" w:rsidR="007E777A" w:rsidRDefault="007E777A">
      <w:r>
        <w:separator/>
      </w:r>
    </w:p>
  </w:endnote>
  <w:endnote w:type="continuationSeparator" w:id="0">
    <w:p w14:paraId="521519D5" w14:textId="77777777" w:rsidR="007E777A" w:rsidRDefault="007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291" w14:textId="03061D31" w:rsidR="002F2B91" w:rsidRPr="000D692F" w:rsidRDefault="000610C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674A0E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01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B38C3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5F60" w14:textId="75954127" w:rsidR="002F2B91" w:rsidRDefault="000610C9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D6EFAB9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7D28" w14:textId="77777777" w:rsidR="007E777A" w:rsidRDefault="007E777A">
      <w:r>
        <w:separator/>
      </w:r>
    </w:p>
  </w:footnote>
  <w:footnote w:type="continuationSeparator" w:id="0">
    <w:p w14:paraId="00000990" w14:textId="77777777" w:rsidR="007E777A" w:rsidRDefault="007E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AFD7" w14:textId="0A5674AB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0139329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5F2" w14:textId="2342DB06" w:rsidR="002F2B91" w:rsidRDefault="000610C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09C9F183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72"/>
    <w:multiLevelType w:val="hybridMultilevel"/>
    <w:tmpl w:val="082E1608"/>
    <w:lvl w:ilvl="0" w:tplc="A156FE1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71C7624"/>
    <w:multiLevelType w:val="hybridMultilevel"/>
    <w:tmpl w:val="5838BC16"/>
    <w:lvl w:ilvl="0" w:tplc="2F983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911"/>
    <w:multiLevelType w:val="hybridMultilevel"/>
    <w:tmpl w:val="EBDC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A7655"/>
    <w:multiLevelType w:val="hybridMultilevel"/>
    <w:tmpl w:val="A07424AA"/>
    <w:lvl w:ilvl="0" w:tplc="FB34B69C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A57DD"/>
    <w:multiLevelType w:val="hybridMultilevel"/>
    <w:tmpl w:val="77882C1A"/>
    <w:lvl w:ilvl="0" w:tplc="2E22226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3D9B"/>
    <w:multiLevelType w:val="hybridMultilevel"/>
    <w:tmpl w:val="897C04C8"/>
    <w:lvl w:ilvl="0" w:tplc="34E6D5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4DC4"/>
    <w:rsid w:val="00006161"/>
    <w:rsid w:val="00012AD2"/>
    <w:rsid w:val="00052B02"/>
    <w:rsid w:val="000610C9"/>
    <w:rsid w:val="000622F6"/>
    <w:rsid w:val="000771B0"/>
    <w:rsid w:val="0008348F"/>
    <w:rsid w:val="00083FA5"/>
    <w:rsid w:val="000B2EAB"/>
    <w:rsid w:val="000C5EA5"/>
    <w:rsid w:val="000D692F"/>
    <w:rsid w:val="000F4C7A"/>
    <w:rsid w:val="00111899"/>
    <w:rsid w:val="00121AFE"/>
    <w:rsid w:val="001345E2"/>
    <w:rsid w:val="00165145"/>
    <w:rsid w:val="0018171D"/>
    <w:rsid w:val="001C17B7"/>
    <w:rsid w:val="001D016B"/>
    <w:rsid w:val="00200594"/>
    <w:rsid w:val="00241477"/>
    <w:rsid w:val="00247AA2"/>
    <w:rsid w:val="00276A33"/>
    <w:rsid w:val="002C2130"/>
    <w:rsid w:val="002C4792"/>
    <w:rsid w:val="002E24CF"/>
    <w:rsid w:val="002E76B4"/>
    <w:rsid w:val="002F1AEC"/>
    <w:rsid w:val="002F2B91"/>
    <w:rsid w:val="003003CA"/>
    <w:rsid w:val="0030691D"/>
    <w:rsid w:val="003078D4"/>
    <w:rsid w:val="00324CCF"/>
    <w:rsid w:val="003849F8"/>
    <w:rsid w:val="00387702"/>
    <w:rsid w:val="003A3293"/>
    <w:rsid w:val="003E6FF3"/>
    <w:rsid w:val="004054C4"/>
    <w:rsid w:val="00443FE3"/>
    <w:rsid w:val="00447168"/>
    <w:rsid w:val="00471559"/>
    <w:rsid w:val="00484CBE"/>
    <w:rsid w:val="00491B30"/>
    <w:rsid w:val="004A1A60"/>
    <w:rsid w:val="004B38C3"/>
    <w:rsid w:val="00517C57"/>
    <w:rsid w:val="0054768E"/>
    <w:rsid w:val="00582A33"/>
    <w:rsid w:val="00596FFF"/>
    <w:rsid w:val="0059745A"/>
    <w:rsid w:val="005C2A58"/>
    <w:rsid w:val="005D1F09"/>
    <w:rsid w:val="00601C31"/>
    <w:rsid w:val="0062250C"/>
    <w:rsid w:val="00645AD8"/>
    <w:rsid w:val="00660BE7"/>
    <w:rsid w:val="006824A6"/>
    <w:rsid w:val="00687E0F"/>
    <w:rsid w:val="006A1954"/>
    <w:rsid w:val="006C16D5"/>
    <w:rsid w:val="006F3518"/>
    <w:rsid w:val="006F3FAA"/>
    <w:rsid w:val="006F642E"/>
    <w:rsid w:val="0071518D"/>
    <w:rsid w:val="00722BF1"/>
    <w:rsid w:val="00731236"/>
    <w:rsid w:val="007414C5"/>
    <w:rsid w:val="00750A23"/>
    <w:rsid w:val="00750E28"/>
    <w:rsid w:val="00753225"/>
    <w:rsid w:val="00787A94"/>
    <w:rsid w:val="007A12B1"/>
    <w:rsid w:val="007A7696"/>
    <w:rsid w:val="007B3B4A"/>
    <w:rsid w:val="007D0216"/>
    <w:rsid w:val="007E777A"/>
    <w:rsid w:val="008022CD"/>
    <w:rsid w:val="00820AE6"/>
    <w:rsid w:val="00820FFB"/>
    <w:rsid w:val="00841414"/>
    <w:rsid w:val="00872241"/>
    <w:rsid w:val="008828D6"/>
    <w:rsid w:val="00892405"/>
    <w:rsid w:val="00894A6D"/>
    <w:rsid w:val="008D00D4"/>
    <w:rsid w:val="008D0657"/>
    <w:rsid w:val="00913A6A"/>
    <w:rsid w:val="00934193"/>
    <w:rsid w:val="00937E01"/>
    <w:rsid w:val="00943D27"/>
    <w:rsid w:val="009500E2"/>
    <w:rsid w:val="009B7137"/>
    <w:rsid w:val="009C078F"/>
    <w:rsid w:val="009C64D0"/>
    <w:rsid w:val="009E7B2E"/>
    <w:rsid w:val="00A0403F"/>
    <w:rsid w:val="00A44D42"/>
    <w:rsid w:val="00A96445"/>
    <w:rsid w:val="00AA3289"/>
    <w:rsid w:val="00AA55DE"/>
    <w:rsid w:val="00AB215E"/>
    <w:rsid w:val="00AD3063"/>
    <w:rsid w:val="00AE03A2"/>
    <w:rsid w:val="00B110CB"/>
    <w:rsid w:val="00B167D5"/>
    <w:rsid w:val="00B2118A"/>
    <w:rsid w:val="00B41EEE"/>
    <w:rsid w:val="00B607B5"/>
    <w:rsid w:val="00B739D7"/>
    <w:rsid w:val="00B90EAE"/>
    <w:rsid w:val="00BD0019"/>
    <w:rsid w:val="00C004C8"/>
    <w:rsid w:val="00C16E9D"/>
    <w:rsid w:val="00C24C62"/>
    <w:rsid w:val="00C37C11"/>
    <w:rsid w:val="00D806F3"/>
    <w:rsid w:val="00D85B63"/>
    <w:rsid w:val="00DE6AFC"/>
    <w:rsid w:val="00DF635C"/>
    <w:rsid w:val="00E209F6"/>
    <w:rsid w:val="00E21863"/>
    <w:rsid w:val="00E66965"/>
    <w:rsid w:val="00E671EA"/>
    <w:rsid w:val="00E873F9"/>
    <w:rsid w:val="00E97C19"/>
    <w:rsid w:val="00EA0C03"/>
    <w:rsid w:val="00EC4F3A"/>
    <w:rsid w:val="00F23436"/>
    <w:rsid w:val="00F2707E"/>
    <w:rsid w:val="00F531C9"/>
    <w:rsid w:val="00F67FE4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1F8F-1503-48EA-8A51-83010492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895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20</cp:revision>
  <cp:lastPrinted>2022-07-07T06:07:00Z</cp:lastPrinted>
  <dcterms:created xsi:type="dcterms:W3CDTF">2022-05-23T12:27:00Z</dcterms:created>
  <dcterms:modified xsi:type="dcterms:W3CDTF">2022-12-28T11:57:00Z</dcterms:modified>
</cp:coreProperties>
</file>