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1D7B" w14:textId="77777777" w:rsidR="00434894" w:rsidRPr="008B3832" w:rsidRDefault="00434894" w:rsidP="004265E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0D5C0022" w14:textId="77777777" w:rsidR="00434894" w:rsidRPr="008B3832" w:rsidRDefault="00434894" w:rsidP="004265E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1D7DC2FD" w14:textId="77777777" w:rsidR="00434894" w:rsidRPr="008B3832" w:rsidRDefault="00434894" w:rsidP="004265E4">
      <w:pPr>
        <w:spacing w:line="360" w:lineRule="auto"/>
        <w:jc w:val="center"/>
      </w:pPr>
      <w:r w:rsidRPr="008B3832">
        <w:t>zawarta w dniu ______________________ r. w ______________________</w:t>
      </w:r>
    </w:p>
    <w:p w14:paraId="7CAE24F2" w14:textId="77777777" w:rsidR="00434894" w:rsidRPr="008B3832" w:rsidRDefault="00434894" w:rsidP="004265E4">
      <w:pPr>
        <w:spacing w:line="360" w:lineRule="auto"/>
        <w:jc w:val="both"/>
      </w:pPr>
      <w:r w:rsidRPr="008B3832">
        <w:t>pomiędzy:</w:t>
      </w:r>
    </w:p>
    <w:p w14:paraId="3FCC4B3B" w14:textId="77777777" w:rsidR="00434894" w:rsidRPr="008B3832" w:rsidRDefault="00434894" w:rsidP="004265E4">
      <w:pPr>
        <w:spacing w:line="360" w:lineRule="auto"/>
        <w:jc w:val="both"/>
      </w:pPr>
      <w:r w:rsidRPr="008B3832">
        <w:t>______________________ ______________________ ______________________</w:t>
      </w:r>
    </w:p>
    <w:p w14:paraId="1B6EDEE4" w14:textId="77777777" w:rsidR="00434894" w:rsidRPr="008B3832" w:rsidRDefault="00434894" w:rsidP="004265E4">
      <w:pPr>
        <w:spacing w:line="360" w:lineRule="auto"/>
        <w:jc w:val="both"/>
      </w:pPr>
      <w:r w:rsidRPr="008B3832">
        <w:t xml:space="preserve"> z siedzibą w ______________________. (____ - ______________________), </w:t>
      </w:r>
      <w:r>
        <w:br/>
      </w:r>
      <w:r w:rsidRPr="008B3832">
        <w:t xml:space="preserve">ul. __________________________________________________________________ , </w:t>
      </w:r>
      <w:r w:rsidRPr="008B3832">
        <w:br/>
        <w:t>NIP ______________________, reprezentowaną przez:</w:t>
      </w:r>
    </w:p>
    <w:p w14:paraId="07699D1C" w14:textId="77777777" w:rsidR="00434894" w:rsidRPr="008B3832" w:rsidRDefault="00434894" w:rsidP="004265E4">
      <w:pPr>
        <w:widowControl w:val="0"/>
        <w:adjustRightInd w:val="0"/>
        <w:spacing w:line="360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5F97EDED" w14:textId="77777777" w:rsidR="00434894" w:rsidRPr="008B3832" w:rsidRDefault="00434894" w:rsidP="004265E4">
      <w:pPr>
        <w:spacing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628F743D" w14:textId="77777777" w:rsidR="00434894" w:rsidRDefault="00434894" w:rsidP="004265E4">
      <w:pPr>
        <w:spacing w:line="360" w:lineRule="auto"/>
        <w:jc w:val="both"/>
      </w:pPr>
      <w:r w:rsidRPr="008B3832">
        <w:t>a</w:t>
      </w:r>
    </w:p>
    <w:p w14:paraId="346B2B84" w14:textId="77777777" w:rsidR="00434894" w:rsidRPr="008B3832" w:rsidRDefault="00434894" w:rsidP="004265E4">
      <w:pPr>
        <w:spacing w:line="360" w:lineRule="auto"/>
        <w:jc w:val="both"/>
      </w:pPr>
      <w:r w:rsidRPr="008B3832">
        <w:t>______________________ ______________________ ______________________</w:t>
      </w:r>
    </w:p>
    <w:p w14:paraId="0E713B40" w14:textId="77777777" w:rsidR="00434894" w:rsidRPr="008B3832" w:rsidRDefault="00434894" w:rsidP="004265E4">
      <w:pPr>
        <w:spacing w:line="360" w:lineRule="auto"/>
        <w:jc w:val="both"/>
      </w:pPr>
      <w:r w:rsidRPr="008B3832">
        <w:t xml:space="preserve"> z siedzibą w ______________________. (____ - ______________________), </w:t>
      </w:r>
      <w:r w:rsidRPr="008B3832">
        <w:br/>
        <w:t>ul. __________________________________________________________________ , NIP ______________________, reprezentowaną przez:</w:t>
      </w:r>
    </w:p>
    <w:p w14:paraId="28FAC6FD" w14:textId="77777777" w:rsidR="00434894" w:rsidRPr="008B3832" w:rsidRDefault="00434894" w:rsidP="004265E4">
      <w:pPr>
        <w:widowControl w:val="0"/>
        <w:adjustRightInd w:val="0"/>
        <w:spacing w:line="360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1043E890" w14:textId="77777777" w:rsidR="00434894" w:rsidRPr="008B3832" w:rsidRDefault="00434894" w:rsidP="004265E4">
      <w:pPr>
        <w:widowControl w:val="0"/>
        <w:adjustRightInd w:val="0"/>
        <w:spacing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183DA020" w14:textId="77777777" w:rsidR="00434894" w:rsidRPr="008B3832" w:rsidRDefault="00434894" w:rsidP="004265E4">
      <w:pPr>
        <w:spacing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0F34ADDD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72FEC0A3" w14:textId="77777777" w:rsidR="00434894" w:rsidRPr="008B3832" w:rsidRDefault="00434894" w:rsidP="004265E4">
      <w:pPr>
        <w:pStyle w:val="Nagwek6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323126C0" w14:textId="77777777" w:rsidR="00434894" w:rsidRPr="008B3832" w:rsidRDefault="00434894" w:rsidP="004265E4">
      <w:pPr>
        <w:pStyle w:val="Akapitzlist"/>
        <w:numPr>
          <w:ilvl w:val="0"/>
          <w:numId w:val="24"/>
        </w:numPr>
        <w:autoSpaceDE w:val="0"/>
        <w:autoSpaceDN w:val="0"/>
        <w:spacing w:line="360" w:lineRule="auto"/>
        <w:contextualSpacing w:val="0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22A85F34" w14:textId="77777777" w:rsidR="00434894" w:rsidRPr="00CB7032" w:rsidRDefault="00434894" w:rsidP="004265E4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b/>
        </w:rPr>
      </w:pPr>
      <w:r w:rsidRPr="008B3832">
        <w:t>Procesor uprawniony jest do przetwarzania danych osobowych wyłącznie w celu wykonania umowy głównej, tj. umowy z dnia _____________________ , której przedmiotem jest _____________________</w:t>
      </w:r>
      <w:r>
        <w:t>, które będzie zwane w dalszej części Umowy jako „przetwarzanie”</w:t>
      </w:r>
      <w:r w:rsidRPr="008B3832">
        <w:t xml:space="preserve"> .</w:t>
      </w:r>
    </w:p>
    <w:p w14:paraId="3059245C" w14:textId="5446321D" w:rsidR="00434894" w:rsidRPr="00FF76B4" w:rsidRDefault="00434894" w:rsidP="004265E4">
      <w:pPr>
        <w:pStyle w:val="Tekstpodstawowy"/>
        <w:numPr>
          <w:ilvl w:val="0"/>
          <w:numId w:val="24"/>
        </w:numPr>
        <w:spacing w:line="360" w:lineRule="auto"/>
        <w:ind w:left="709"/>
        <w:rPr>
          <w:b/>
        </w:rPr>
      </w:pPr>
      <w:r w:rsidRPr="008B3832">
        <w:t xml:space="preserve">Przetwarzanie dotyczyć będzie </w:t>
      </w:r>
      <w:r w:rsidR="001E255E">
        <w:t>kategorii osób:…………………….., oraz rodzaju danych osobowych: ………………………….</w:t>
      </w:r>
      <w:r w:rsidR="001E255E" w:rsidRPr="00CC1CAA">
        <w:rPr>
          <w:b/>
        </w:rPr>
        <w:t xml:space="preserve"> </w:t>
      </w:r>
    </w:p>
    <w:p w14:paraId="66D4A86C" w14:textId="764B96E8" w:rsidR="00434894" w:rsidRPr="00FF76B4" w:rsidRDefault="00FF76B4" w:rsidP="004265E4">
      <w:pPr>
        <w:pStyle w:val="Tekstpodstawowy"/>
        <w:numPr>
          <w:ilvl w:val="0"/>
          <w:numId w:val="24"/>
        </w:numPr>
        <w:spacing w:line="360" w:lineRule="auto"/>
        <w:ind w:left="709"/>
      </w:pPr>
      <w:r w:rsidRPr="00FF76B4">
        <w:rPr>
          <w:shd w:val="clear" w:color="auto" w:fill="FFFFFF"/>
        </w:rPr>
        <w:lastRenderedPageBreak/>
        <w:t xml:space="preserve">Przetwarzanie danych następować będzie w </w:t>
      </w:r>
      <w:commentRangeStart w:id="0"/>
      <w:r w:rsidRPr="00FF76B4">
        <w:rPr>
          <w:shd w:val="clear" w:color="auto" w:fill="FFFFFF"/>
        </w:rPr>
        <w:t xml:space="preserve">sposób ciągły </w:t>
      </w:r>
      <w:commentRangeEnd w:id="0"/>
      <w:r w:rsidR="00392598">
        <w:rPr>
          <w:rStyle w:val="Odwoaniedokomentarza"/>
          <w:szCs w:val="20"/>
        </w:rPr>
        <w:commentReference w:id="0"/>
      </w:r>
      <w:r w:rsidRPr="00FF76B4">
        <w:rPr>
          <w:shd w:val="clear" w:color="auto" w:fill="FFFFFF"/>
        </w:rPr>
        <w:t>w formie</w:t>
      </w:r>
      <w:r w:rsidR="002934C7">
        <w:rPr>
          <w:shd w:val="clear" w:color="auto" w:fill="FFFFFF"/>
        </w:rPr>
        <w:t xml:space="preserve"> </w:t>
      </w:r>
      <w:commentRangeStart w:id="1"/>
      <w:r w:rsidR="002934C7">
        <w:rPr>
          <w:shd w:val="clear" w:color="auto" w:fill="FFFFFF"/>
        </w:rPr>
        <w:t>………………………………………………………..</w:t>
      </w:r>
      <w:commentRangeEnd w:id="1"/>
      <w:r w:rsidR="002934C7">
        <w:rPr>
          <w:rStyle w:val="Odwoaniedokomentarza"/>
          <w:szCs w:val="20"/>
        </w:rPr>
        <w:commentReference w:id="1"/>
      </w:r>
      <w:r w:rsidRPr="00FF76B4">
        <w:rPr>
          <w:shd w:val="clear" w:color="auto" w:fill="FFFFFF"/>
        </w:rPr>
        <w:t xml:space="preserve"> oraz obejmuje </w:t>
      </w:r>
      <w:r w:rsidRPr="00FF76B4">
        <w:rPr>
          <w:u w:val="single"/>
          <w:shd w:val="clear" w:color="auto" w:fill="FFFFFF"/>
        </w:rPr>
        <w:t>następujące operacje</w:t>
      </w:r>
      <w:commentRangeStart w:id="2"/>
      <w:r w:rsidRPr="00FF76B4">
        <w:rPr>
          <w:shd w:val="clear" w:color="auto" w:fill="FFFFFF"/>
        </w:rPr>
        <w:t>…………………………………………</w:t>
      </w:r>
      <w:commentRangeEnd w:id="2"/>
      <w:r>
        <w:rPr>
          <w:rStyle w:val="Odwoaniedokomentarza"/>
          <w:szCs w:val="20"/>
        </w:rPr>
        <w:commentReference w:id="2"/>
      </w:r>
    </w:p>
    <w:p w14:paraId="074E309F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5DAC0120" w14:textId="77777777" w:rsidR="00434894" w:rsidRPr="008B3832" w:rsidRDefault="00434894" w:rsidP="004265E4">
      <w:pPr>
        <w:pStyle w:val="Nagwek6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2AB41FC3" w14:textId="270E0D72" w:rsidR="00434894" w:rsidRPr="008B3832" w:rsidRDefault="00434894" w:rsidP="004265E4">
      <w:pPr>
        <w:pStyle w:val="Tekstpodstawowy"/>
        <w:numPr>
          <w:ilvl w:val="0"/>
          <w:numId w:val="4"/>
        </w:numPr>
        <w:spacing w:line="360" w:lineRule="auto"/>
      </w:pPr>
      <w:r w:rsidRPr="008B3832">
        <w:t xml:space="preserve">Umowa zostaje zawarta na </w:t>
      </w:r>
      <w:r>
        <w:t>czas określony</w:t>
      </w:r>
      <w:r w:rsidRPr="008B3832">
        <w:t xml:space="preserve"> </w:t>
      </w:r>
      <w:commentRangeStart w:id="3"/>
      <w:r w:rsidRPr="008B3832">
        <w:t>od dnia __________________ do dnia</w:t>
      </w:r>
      <w:r w:rsidR="002F2B2A">
        <w:t xml:space="preserve"> </w:t>
      </w:r>
      <w:r w:rsidR="002F2B2A" w:rsidRPr="008B3832">
        <w:t>__________________</w:t>
      </w:r>
      <w:r w:rsidR="002F2B2A">
        <w:t>.</w:t>
      </w:r>
      <w:r w:rsidRPr="008B3832">
        <w:t xml:space="preserve"> </w:t>
      </w:r>
      <w:commentRangeEnd w:id="3"/>
      <w:r w:rsidR="002F2B2A">
        <w:rPr>
          <w:rStyle w:val="Odwoaniedokomentarza"/>
          <w:szCs w:val="20"/>
        </w:rPr>
        <w:commentReference w:id="3"/>
      </w:r>
    </w:p>
    <w:p w14:paraId="5B334E56" w14:textId="77777777" w:rsidR="00434894" w:rsidRPr="008B3832" w:rsidRDefault="00434894" w:rsidP="004265E4">
      <w:pPr>
        <w:numPr>
          <w:ilvl w:val="0"/>
          <w:numId w:val="4"/>
        </w:numPr>
        <w:spacing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5A51128E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7341BF34" w14:textId="77777777" w:rsidR="00434894" w:rsidRPr="008B3832" w:rsidRDefault="00434894" w:rsidP="004265E4">
      <w:pPr>
        <w:pStyle w:val="Nagwek6"/>
      </w:pPr>
      <w:r w:rsidRPr="008B3832">
        <w:t>Warunki powierzenia danych osobowych do przetwarzania</w:t>
      </w:r>
    </w:p>
    <w:p w14:paraId="3C512421" w14:textId="13AE454C" w:rsidR="00434894" w:rsidRPr="008B3832" w:rsidRDefault="00434894" w:rsidP="004265E4">
      <w:pPr>
        <w:numPr>
          <w:ilvl w:val="0"/>
          <w:numId w:val="10"/>
        </w:numPr>
        <w:spacing w:line="360" w:lineRule="auto"/>
        <w:jc w:val="both"/>
      </w:pPr>
      <w:r w:rsidRPr="008B3832">
        <w:t xml:space="preserve">Procesor </w:t>
      </w:r>
      <w:r w:rsidR="00A31378" w:rsidRPr="008B3832">
        <w:t>przetwarza dane osobowe wyłącznie na udokumentowane polecenie Administratora</w:t>
      </w:r>
      <w:r w:rsidR="00A31378">
        <w:t xml:space="preserve">, przez które Strony rozumieją niniejsza Umowę </w:t>
      </w:r>
      <w:r w:rsidR="00A31378" w:rsidRPr="00BF21EC">
        <w:t xml:space="preserve">lub indywidualne polecenia i instrukcje </w:t>
      </w:r>
      <w:r w:rsidR="00A31378">
        <w:t xml:space="preserve">przekazywane </w:t>
      </w:r>
      <w:r w:rsidR="00A31378" w:rsidRPr="00BF21EC">
        <w:t>w sposób</w:t>
      </w:r>
      <w:r w:rsidR="00A31378">
        <w:t>,</w:t>
      </w:r>
      <w:r w:rsidR="00A31378" w:rsidRPr="00BF21EC">
        <w:t xml:space="preserve"> o którym mowa w § 4 ust. 2 zdanie drugie </w:t>
      </w:r>
      <w:r w:rsidR="00A31378" w:rsidRPr="008B3832">
        <w:t>oraz:</w:t>
      </w:r>
    </w:p>
    <w:p w14:paraId="0FE3D1BE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31F23200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33750AE2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2C2F549F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2ECE2D68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14D1C724" w14:textId="6B6E5650" w:rsidR="004B253B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</w:t>
      </w:r>
      <w:r w:rsidRPr="008B3832">
        <w:lastRenderedPageBreak/>
        <w:t>osobowych</w:t>
      </w:r>
      <w:r w:rsidR="004B253B">
        <w:t xml:space="preserve">, przy czym </w:t>
      </w:r>
      <w:r w:rsidR="00910AE4">
        <w:t xml:space="preserve">w sposób, o którym mowa w </w:t>
      </w:r>
      <w:r w:rsidR="00910AE4" w:rsidRPr="002F2B2A">
        <w:t xml:space="preserve">§ </w:t>
      </w:r>
      <w:r w:rsidR="00910AE4">
        <w:t>4</w:t>
      </w:r>
      <w:r w:rsidR="00910AE4" w:rsidRPr="002F2B2A">
        <w:t xml:space="preserve"> </w:t>
      </w:r>
      <w:r w:rsidR="00910AE4">
        <w:t>ust. 3 zdanie drugie</w:t>
      </w:r>
      <w:r w:rsidR="00910AE4" w:rsidRPr="004B253B">
        <w:t xml:space="preserve"> </w:t>
      </w:r>
      <w:r w:rsidR="004B253B" w:rsidRPr="004B253B">
        <w:t xml:space="preserve">składa </w:t>
      </w:r>
      <w:r w:rsidR="004B253B">
        <w:t xml:space="preserve">Administratorowi </w:t>
      </w:r>
      <w:r w:rsidR="004B253B" w:rsidRPr="004B253B">
        <w:t>oświadczenie o trwałym usunięciu lub zwrocie wszystkich danych lub wskazuje podstawę prawną pozwalającą na ich dalsze prze</w:t>
      </w:r>
      <w:r w:rsidR="004B253B">
        <w:t>twarzanie;</w:t>
      </w:r>
      <w:r w:rsidR="00910AE4">
        <w:t xml:space="preserve">  </w:t>
      </w:r>
    </w:p>
    <w:p w14:paraId="34D706E9" w14:textId="7C5D129E" w:rsidR="00434894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</w:t>
      </w:r>
      <w:r w:rsidR="00DF5276">
        <w:t>;</w:t>
      </w:r>
    </w:p>
    <w:p w14:paraId="19A027A5" w14:textId="5EBEF12A" w:rsidR="00DF5276" w:rsidRDefault="00DF5276" w:rsidP="004265E4">
      <w:pPr>
        <w:numPr>
          <w:ilvl w:val="0"/>
          <w:numId w:val="34"/>
        </w:numPr>
        <w:spacing w:line="360" w:lineRule="auto"/>
        <w:ind w:left="709"/>
        <w:jc w:val="both"/>
      </w:pPr>
      <w:r>
        <w:t>w</w:t>
      </w:r>
      <w:r w:rsidRPr="00DF5276">
        <w:t xml:space="preserve"> przypadku przekazywania danych osobowych do państwa trzeciego lub organizacji międzynarodowej, przed rozpoczęciem przetwarzania informuje</w:t>
      </w:r>
      <w:r w:rsidR="00E20EF5">
        <w:t xml:space="preserve"> w sposób wskazany w </w:t>
      </w:r>
      <w:r w:rsidR="004265E4">
        <w:t> </w:t>
      </w:r>
      <w:r w:rsidR="00E20EF5" w:rsidRPr="002F2B2A">
        <w:t xml:space="preserve">§ </w:t>
      </w:r>
      <w:r w:rsidR="00E20EF5">
        <w:t>4</w:t>
      </w:r>
      <w:r w:rsidR="00E20EF5" w:rsidRPr="002F2B2A">
        <w:t xml:space="preserve"> </w:t>
      </w:r>
      <w:r w:rsidR="00E20EF5">
        <w:t>ust. 3 zdanie drugie</w:t>
      </w:r>
      <w:r w:rsidRPr="00DF5276">
        <w:t xml:space="preserve"> Administratora o</w:t>
      </w:r>
      <w:r w:rsidR="00B11C52">
        <w:t> </w:t>
      </w:r>
      <w:r w:rsidRPr="00DF5276">
        <w:t>takim obowiązku prawnym, o ile prawo nie</w:t>
      </w:r>
      <w:r w:rsidR="004265E4">
        <w:t> </w:t>
      </w:r>
      <w:r w:rsidRPr="00DF5276">
        <w:t>zabrania udzielania takiej informacji z</w:t>
      </w:r>
      <w:r w:rsidR="00B11C52">
        <w:t> </w:t>
      </w:r>
      <w:r w:rsidRPr="00DF5276">
        <w:t>uwagi na ważny interes publiczny</w:t>
      </w:r>
      <w:r w:rsidR="007B6489">
        <w:t>, n</w:t>
      </w:r>
      <w:r w:rsidRPr="00DF5276">
        <w:t xml:space="preserve">atomiast w przypadku indywidualnej woli przekazania </w:t>
      </w:r>
      <w:r w:rsidR="007B6489">
        <w:t xml:space="preserve">przez Procesora </w:t>
      </w:r>
      <w:r w:rsidRPr="00DF5276">
        <w:t>powierzonych danych osobowych do państwa trzeciego lub organizacji międzynarodowej –</w:t>
      </w:r>
      <w:r w:rsidR="00B11C52">
        <w:t xml:space="preserve"> </w:t>
      </w:r>
      <w:r w:rsidRPr="00DF5276">
        <w:t>dokon</w:t>
      </w:r>
      <w:r w:rsidR="00B11C52">
        <w:t>uje</w:t>
      </w:r>
      <w:r w:rsidRPr="00DF5276">
        <w:t xml:space="preserve"> </w:t>
      </w:r>
      <w:r w:rsidR="00B40921">
        <w:t xml:space="preserve">tego przetwarzania </w:t>
      </w:r>
      <w:r w:rsidRPr="00DF5276">
        <w:t xml:space="preserve">jedynie na odrębne </w:t>
      </w:r>
      <w:r w:rsidR="006905D0" w:rsidRPr="00D96140">
        <w:t xml:space="preserve">polecenie Administratora, </w:t>
      </w:r>
      <w:r w:rsidR="006905D0">
        <w:t xml:space="preserve">dokonane </w:t>
      </w:r>
      <w:r w:rsidR="006905D0" w:rsidRPr="00D96140">
        <w:t>w </w:t>
      </w:r>
      <w:r w:rsidR="006905D0">
        <w:t>sposób, o</w:t>
      </w:r>
      <w:r w:rsidR="004265E4">
        <w:t> </w:t>
      </w:r>
      <w:r w:rsidR="006905D0">
        <w:t xml:space="preserve">którym mowa w </w:t>
      </w:r>
      <w:r w:rsidR="006905D0" w:rsidRPr="002F2B2A">
        <w:t xml:space="preserve">§ </w:t>
      </w:r>
      <w:r w:rsidR="006905D0">
        <w:t>4</w:t>
      </w:r>
      <w:r w:rsidR="006905D0" w:rsidRPr="002F2B2A">
        <w:t xml:space="preserve"> </w:t>
      </w:r>
      <w:r w:rsidR="006905D0">
        <w:t>ust. 2 zdanie drugie.</w:t>
      </w:r>
    </w:p>
    <w:p w14:paraId="4B624044" w14:textId="5AA25F5D" w:rsidR="00B11C52" w:rsidRPr="008B3832" w:rsidRDefault="00B11C52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B11C52">
        <w:t xml:space="preserve">zobowiązuje się do niezwłocznego poinformowania Administratora o jakimkolwiek postępowaniu, w szczególności administracyjnym lub sądowym, dotyczącym przetwarzania przez Procesora danych osobowych, o jakiejkolwiek decyzji administracyjnej lub orzeczeniu dotyczącym przetwarzania tych danych, skierowanych do </w:t>
      </w:r>
      <w:r>
        <w:t>Procesora</w:t>
      </w:r>
      <w:r w:rsidRPr="00B11C52">
        <w:t xml:space="preserve">, a także o wszelkich planowanych - o ile są mu wiadome - lub realizowanych kontrolach i inspekcjach dotyczących przetwarzania </w:t>
      </w:r>
      <w:r>
        <w:t>przez tego Procesora</w:t>
      </w:r>
      <w:r w:rsidRPr="00B11C52">
        <w:t xml:space="preserve"> danych osobowych, w szczególności prowadzonych przez inspektorów upoważnionych przez Prezesa Ochrony Danych Osobowych.</w:t>
      </w:r>
      <w:r w:rsidR="00B053F5">
        <w:t xml:space="preserve"> Poinformowanie następuje w sposób, o którym mowa w </w:t>
      </w:r>
      <w:r w:rsidR="00B053F5" w:rsidRPr="002F2B2A">
        <w:t xml:space="preserve">§ </w:t>
      </w:r>
      <w:r w:rsidR="00B053F5">
        <w:t>4</w:t>
      </w:r>
      <w:r w:rsidR="00B053F5" w:rsidRPr="002F2B2A">
        <w:t xml:space="preserve"> </w:t>
      </w:r>
      <w:r w:rsidR="00B053F5">
        <w:t xml:space="preserve">ust. </w:t>
      </w:r>
      <w:r w:rsidR="006A529D">
        <w:t>3 zdanie drugie</w:t>
      </w:r>
      <w:r w:rsidR="00B053F5">
        <w:t>.</w:t>
      </w:r>
    </w:p>
    <w:p w14:paraId="3830F841" w14:textId="77777777" w:rsidR="00434894" w:rsidRPr="008B3832" w:rsidRDefault="00434894" w:rsidP="004265E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49B0A6C3" w14:textId="77777777" w:rsidR="00434894" w:rsidRPr="008B3832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18FA55D1" w14:textId="7E0EE87A" w:rsidR="00434894" w:rsidRPr="008B3832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 xml:space="preserve">dministratorowi </w:t>
      </w:r>
      <w:r w:rsidR="007B6489">
        <w:t xml:space="preserve">zawiera w swej treści </w:t>
      </w:r>
      <w:r w:rsidR="007B6489">
        <w:lastRenderedPageBreak/>
        <w:t>elementy wskazane w art. 33 ust. 3 RODO oraz winno</w:t>
      </w:r>
      <w:r w:rsidRPr="008B3832">
        <w:t xml:space="preserve"> nastąpić </w:t>
      </w:r>
      <w:r w:rsidR="006A529D">
        <w:t>w</w:t>
      </w:r>
      <w:r w:rsidR="00910AE4">
        <w:t xml:space="preserve"> sposób</w:t>
      </w:r>
      <w:r w:rsidR="006A529D">
        <w:t xml:space="preserve">, o którym mowa w </w:t>
      </w:r>
      <w:r w:rsidR="006A529D" w:rsidRPr="002F2B2A">
        <w:t xml:space="preserve">§ </w:t>
      </w:r>
      <w:r w:rsidR="006A529D">
        <w:t>4</w:t>
      </w:r>
      <w:r w:rsidR="006A529D" w:rsidRPr="002F2B2A">
        <w:t xml:space="preserve"> </w:t>
      </w:r>
      <w:r w:rsidR="006A529D">
        <w:t xml:space="preserve">ust. 3 zdanie drugie. </w:t>
      </w:r>
    </w:p>
    <w:p w14:paraId="56BAF7A2" w14:textId="4946FB2E" w:rsidR="00434894" w:rsidRPr="00803E94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03E94">
        <w:t>Na wypadek zawinionego naruszenia przez Procesora zasad przetwarzania danych osobowych (określonych w przepisach powszechnie obowiązującego prawa, Rozporządzenia oraz niniejszej Umowy), skutkującego zobowiązaniem Administratora na</w:t>
      </w:r>
      <w:r w:rsidR="004265E4">
        <w:t> </w:t>
      </w:r>
      <w:r w:rsidRPr="00803E94">
        <w:t xml:space="preserve">mocy prawomocnego orzeczenia sądu, ugody sądowej bądź porozumienia mediacyjnego do wypłaty odszkodowania, zadośćuczynienia lub kary pieniężnej, Procesor zobowiązuje się zrekompensować Administratorowi udokumentowane straty z tego tytułu w pełnej wysokości. </w:t>
      </w:r>
    </w:p>
    <w:p w14:paraId="5DBAF158" w14:textId="121F27D5" w:rsidR="00434894" w:rsidRPr="008B3832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</w:t>
      </w:r>
      <w:r w:rsidR="004265E4">
        <w:t> </w:t>
      </w:r>
      <w:r w:rsidRPr="008B3832">
        <w:t>zdarzenie, które doprowadziło do powstania szkody.</w:t>
      </w:r>
    </w:p>
    <w:p w14:paraId="67C9A198" w14:textId="77777777" w:rsidR="00434894" w:rsidRPr="008B3832" w:rsidRDefault="00434894" w:rsidP="004265E4">
      <w:pPr>
        <w:numPr>
          <w:ilvl w:val="0"/>
          <w:numId w:val="10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3D494240" w14:textId="77777777" w:rsidR="00434894" w:rsidRPr="008B3832" w:rsidRDefault="00434894" w:rsidP="004265E4">
      <w:pPr>
        <w:numPr>
          <w:ilvl w:val="0"/>
          <w:numId w:val="10"/>
        </w:numPr>
        <w:spacing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3E7F58A8" w14:textId="77777777" w:rsidR="00434894" w:rsidRPr="008B3832" w:rsidRDefault="00434894" w:rsidP="004265E4">
      <w:pPr>
        <w:pStyle w:val="Nagwek6"/>
      </w:pPr>
      <w:r w:rsidRPr="008B3832">
        <w:t>§ 4</w:t>
      </w:r>
    </w:p>
    <w:p w14:paraId="367902D8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5D09D425" w14:textId="77777777" w:rsidR="00B053F5" w:rsidRDefault="00434894" w:rsidP="004265E4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6DAA7F85" w14:textId="113DC94A" w:rsidR="00B053F5" w:rsidRDefault="00434894" w:rsidP="004265E4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</w:t>
      </w:r>
      <w:r w:rsidRPr="008B3832">
        <w:lastRenderedPageBreak/>
        <w:t xml:space="preserve">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</w:t>
      </w:r>
      <w:r w:rsidR="00D70760">
        <w:br/>
      </w:r>
      <w:r w:rsidRPr="008B3832">
        <w:t xml:space="preserve">w formie </w:t>
      </w:r>
      <w:r w:rsidR="00B053F5" w:rsidRPr="008B3832">
        <w:t xml:space="preserve">pisemnej </w:t>
      </w:r>
      <w:r w:rsidR="00B053F5">
        <w:t>pod adres siedziby Procesora lub formie elektronicznej pod adres e-mail …………………………….. – przy czym obydwie formy zostają zastrzeżone pod rygorem nieważności</w:t>
      </w:r>
      <w:r w:rsidR="00B053F5" w:rsidRPr="008B3832">
        <w:t>.</w:t>
      </w:r>
    </w:p>
    <w:p w14:paraId="11F4DE9A" w14:textId="21DAD9F4" w:rsidR="00B053F5" w:rsidRPr="008B3832" w:rsidRDefault="00B053F5" w:rsidP="004265E4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 w:rsidRPr="00B053F5">
        <w:t xml:space="preserve">Procesor niezwłocznie informuje Administratora, jeżeli jego zdaniem wydane mu polecenie stanowi naruszenie Rozporządzenia lub innych przepisów Unii lub państwa członkowskiego o ochronie danych. </w:t>
      </w:r>
      <w:r>
        <w:t>Poinformowanie winno</w:t>
      </w:r>
      <w:r w:rsidRPr="008B3832">
        <w:t xml:space="preserve"> nastąpić w</w:t>
      </w:r>
      <w:r>
        <w:t> </w:t>
      </w:r>
      <w:r w:rsidRPr="008B3832">
        <w:t xml:space="preserve">formie pisemnej </w:t>
      </w:r>
      <w:r>
        <w:t>pod adres siedziby Administratora lub formie elektronicznej pod adres e-mail …………………………….. – przy czym obydwie formy zostają zastrzeżone pod rygorem nieważności</w:t>
      </w:r>
      <w:r w:rsidRPr="008B3832">
        <w:t>.</w:t>
      </w:r>
    </w:p>
    <w:p w14:paraId="224208B4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5A54B250" w14:textId="77777777" w:rsidR="00434894" w:rsidRPr="008B3832" w:rsidRDefault="00434894" w:rsidP="004265E4">
      <w:pPr>
        <w:pStyle w:val="Nagwek6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7E49877E" w14:textId="4E65A1C4" w:rsidR="00434894" w:rsidRPr="008B3832" w:rsidRDefault="00434894" w:rsidP="004265E4">
      <w:pPr>
        <w:numPr>
          <w:ilvl w:val="0"/>
          <w:numId w:val="12"/>
        </w:numPr>
        <w:spacing w:line="360" w:lineRule="auto"/>
        <w:jc w:val="both"/>
      </w:pPr>
      <w:bookmarkStart w:id="4" w:name="_Hlk29990689"/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zgod</w:t>
      </w:r>
      <w:r>
        <w:t>zie</w:t>
      </w:r>
      <w:r w:rsidRPr="008B3832">
        <w:t xml:space="preserve"> Administratora</w:t>
      </w:r>
      <w:r w:rsidR="007D6EE0">
        <w:t xml:space="preserve"> </w:t>
      </w:r>
      <w:r w:rsidR="008369D7">
        <w:t xml:space="preserve">wyrażonej w sposób, o którym mowa </w:t>
      </w:r>
      <w:r w:rsidR="008369D7">
        <w:br/>
        <w:t xml:space="preserve">w </w:t>
      </w:r>
      <w:r w:rsidR="008369D7" w:rsidRPr="002F2B2A">
        <w:t xml:space="preserve">§ </w:t>
      </w:r>
      <w:r w:rsidR="008369D7">
        <w:t>4</w:t>
      </w:r>
      <w:r w:rsidR="008369D7" w:rsidRPr="002F2B2A">
        <w:t xml:space="preserve"> </w:t>
      </w:r>
      <w:r w:rsidR="008369D7">
        <w:t>ust. 3 zdanie drugie.</w:t>
      </w:r>
    </w:p>
    <w:p w14:paraId="3B869B89" w14:textId="6CD8F65B" w:rsidR="00D70760" w:rsidRPr="008B3832" w:rsidRDefault="00434894" w:rsidP="004265E4">
      <w:pPr>
        <w:numPr>
          <w:ilvl w:val="0"/>
          <w:numId w:val="12"/>
        </w:numPr>
        <w:spacing w:line="360" w:lineRule="auto"/>
        <w:jc w:val="both"/>
      </w:pPr>
      <w:proofErr w:type="spellStart"/>
      <w:r w:rsidRPr="008B3832">
        <w:t>P</w:t>
      </w:r>
      <w:r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bookmarkEnd w:id="4"/>
    <w:p w14:paraId="5942B3C6" w14:textId="1CB6446F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6EF789B2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296A588B" w14:textId="5047D132" w:rsidR="00434894" w:rsidRPr="008B3832" w:rsidRDefault="00434894" w:rsidP="004265E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</w:t>
      </w:r>
      <w:r w:rsidR="004265E4">
        <w:rPr>
          <w:bCs/>
        </w:rPr>
        <w:br/>
      </w:r>
      <w:r w:rsidRPr="008B3832">
        <w:rPr>
          <w:bCs/>
        </w:rPr>
        <w:t xml:space="preserve">chyba że w dniu ich ujawnienia były powszechnie znane albo muszą być ujawnione </w:t>
      </w:r>
      <w:r w:rsidRPr="008B3832">
        <w:rPr>
          <w:bCs/>
        </w:rPr>
        <w:lastRenderedPageBreak/>
        <w:t>zgodnie z powszechnie obowiązującymi przepisami prawa, orzeczeniem sądu lub organu państwowego.</w:t>
      </w:r>
    </w:p>
    <w:p w14:paraId="6FD38F1B" w14:textId="2A5F1E27" w:rsidR="00434894" w:rsidRPr="008B3832" w:rsidRDefault="00434894" w:rsidP="004265E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</w:t>
      </w:r>
      <w:r w:rsidR="00D70760">
        <w:rPr>
          <w:bCs/>
        </w:rPr>
        <w:t>7</w:t>
      </w:r>
      <w:r w:rsidRPr="008B3832">
        <w:rPr>
          <w:bCs/>
        </w:rPr>
        <w:t xml:space="preserve"> Umowy stosuje się odpowiednio.</w:t>
      </w:r>
    </w:p>
    <w:p w14:paraId="2225EB02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23B56A4B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01BB8C6D" w14:textId="77777777" w:rsidR="00434894" w:rsidRPr="008B3832" w:rsidRDefault="00434894" w:rsidP="004265E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1306E886" w14:textId="77777777" w:rsidR="00434894" w:rsidRPr="008B3832" w:rsidRDefault="00434894" w:rsidP="004265E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0674826D" w14:textId="75CA3A23" w:rsidR="00FF76B4" w:rsidRPr="008B3832" w:rsidRDefault="00434894" w:rsidP="004265E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66186E98" w14:textId="1E052B26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5257A7B1" w14:textId="77777777" w:rsidR="00434894" w:rsidRPr="008B3832" w:rsidRDefault="00434894" w:rsidP="004265E4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07C90F6A" w14:textId="39EB5CE2" w:rsidR="00434894" w:rsidRPr="008B3832" w:rsidRDefault="00434894" w:rsidP="004265E4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ind w:left="426"/>
        <w:jc w:val="both"/>
      </w:pPr>
      <w:commentRangeStart w:id="5"/>
      <w:r w:rsidRPr="008B3832">
        <w:t xml:space="preserve">Każdej ze Stron przysługuje uprawnienie do rozwiązania Umowy z zachowaniem </w:t>
      </w:r>
      <w:r w:rsidR="00266749">
        <w:t xml:space="preserve">terminu </w:t>
      </w:r>
      <w:r w:rsidRPr="008B3832">
        <w:t>wypowiedzenia</w:t>
      </w:r>
      <w:r>
        <w:t xml:space="preserve"> </w:t>
      </w:r>
      <w:r w:rsidR="00266749">
        <w:t xml:space="preserve">określonego w umowie głównej. </w:t>
      </w:r>
      <w:commentRangeEnd w:id="5"/>
      <w:r w:rsidR="00F10F31">
        <w:rPr>
          <w:rStyle w:val="Odwoaniedokomentarza"/>
          <w:szCs w:val="20"/>
        </w:rPr>
        <w:commentReference w:id="5"/>
      </w:r>
    </w:p>
    <w:p w14:paraId="47610E61" w14:textId="77777777" w:rsidR="00434894" w:rsidRPr="008B3832" w:rsidRDefault="00434894" w:rsidP="004265E4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ind w:left="426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717173E8" w14:textId="77777777" w:rsidR="00434894" w:rsidRPr="008B3832" w:rsidRDefault="00434894" w:rsidP="004265E4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28786EDD" w14:textId="77777777" w:rsidR="00434894" w:rsidRPr="008B3832" w:rsidRDefault="00434894" w:rsidP="004265E4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2F41D733" w14:textId="15570FDD" w:rsidR="00434894" w:rsidRDefault="00434894" w:rsidP="004265E4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480848E2" w14:textId="77555096" w:rsidR="00266749" w:rsidRPr="008B3832" w:rsidRDefault="00266749" w:rsidP="004265E4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jc w:val="both"/>
      </w:pPr>
      <w:bookmarkStart w:id="6" w:name="_Hlk29452016"/>
      <w:r>
        <w:t xml:space="preserve">W przypadku wypowiedzenia Umowy w trybie natychmiastowym, o którym mowa w ust. 2, umowa główna ulega również rozwiązaniu, przy czym Procesor zrzeka się </w:t>
      </w:r>
      <w:r>
        <w:lastRenderedPageBreak/>
        <w:t>jakichkolwiek roszczeń wynikających z</w:t>
      </w:r>
      <w:r w:rsidR="002F2B2A">
        <w:t xml:space="preserve"> przedwczesnego rozwiązania</w:t>
      </w:r>
      <w:r>
        <w:t xml:space="preserve"> umowy głównej. </w:t>
      </w:r>
    </w:p>
    <w:bookmarkEnd w:id="6"/>
    <w:p w14:paraId="4F9730F8" w14:textId="77777777" w:rsidR="006A529D" w:rsidRDefault="006A529D" w:rsidP="004265E4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14:paraId="0BE97AE0" w14:textId="6FB00AB2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lastRenderedPageBreak/>
        <w:t xml:space="preserve">§ </w:t>
      </w:r>
      <w:r>
        <w:rPr>
          <w:b/>
          <w:bCs/>
        </w:rPr>
        <w:t>9</w:t>
      </w:r>
    </w:p>
    <w:p w14:paraId="171B9175" w14:textId="77777777" w:rsidR="00434894" w:rsidRPr="008B3832" w:rsidRDefault="00434894" w:rsidP="004265E4">
      <w:pPr>
        <w:pStyle w:val="Tekstpodstawowy"/>
        <w:spacing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17A8042E" w14:textId="6750DB3E" w:rsidR="00434894" w:rsidRPr="008B3832" w:rsidRDefault="00434894" w:rsidP="004265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8B3832">
        <w:t xml:space="preserve">Z tytułu wykonywania niniejszej Umowy Procesorowi </w:t>
      </w:r>
      <w:r w:rsidRPr="0078418A">
        <w:t>nie przysługuje</w:t>
      </w:r>
      <w:r w:rsidRPr="008B3832">
        <w:t xml:space="preserve"> dodatkowe wynagrodzenie.</w:t>
      </w:r>
    </w:p>
    <w:p w14:paraId="23B527EA" w14:textId="77777777" w:rsidR="00434894" w:rsidRPr="008B3832" w:rsidRDefault="00434894" w:rsidP="004265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77C8EF41" w14:textId="77777777" w:rsidR="00434894" w:rsidRPr="008B3832" w:rsidRDefault="00434894" w:rsidP="004265E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728F9A1B" w14:textId="77777777" w:rsidR="00434894" w:rsidRDefault="00434894" w:rsidP="004265E4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0A17E3A4" w14:textId="77777777" w:rsidR="00434894" w:rsidRDefault="00434894" w:rsidP="004265E4">
      <w:pPr>
        <w:pStyle w:val="Akapitzlist"/>
        <w:spacing w:line="360" w:lineRule="auto"/>
        <w:ind w:left="284"/>
      </w:pPr>
    </w:p>
    <w:p w14:paraId="5184B85C" w14:textId="77777777" w:rsidR="00434894" w:rsidRPr="008B3832" w:rsidRDefault="00434894" w:rsidP="004265E4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8B3832" w14:paraId="75221289" w14:textId="77777777" w:rsidTr="007D6EE0">
        <w:tc>
          <w:tcPr>
            <w:tcW w:w="4530" w:type="dxa"/>
          </w:tcPr>
          <w:p w14:paraId="6BA17A96" w14:textId="77777777" w:rsidR="00434894" w:rsidRPr="008B3832" w:rsidRDefault="00434894" w:rsidP="004265E4">
            <w:pPr>
              <w:spacing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2CE8AC2D" w14:textId="77777777" w:rsidR="00434894" w:rsidRPr="008B3832" w:rsidRDefault="00434894" w:rsidP="004265E4">
            <w:pPr>
              <w:spacing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8B3832" w14:paraId="5A9E3C13" w14:textId="77777777" w:rsidTr="007D6EE0">
        <w:tc>
          <w:tcPr>
            <w:tcW w:w="4530" w:type="dxa"/>
          </w:tcPr>
          <w:p w14:paraId="372E09F5" w14:textId="77777777" w:rsidR="00434894" w:rsidRPr="008B3832" w:rsidRDefault="00434894" w:rsidP="004265E4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7C40BCF7" w14:textId="77777777" w:rsidR="00434894" w:rsidRPr="008B3832" w:rsidRDefault="00434894" w:rsidP="004265E4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7E48E842" w14:textId="77777777" w:rsidR="000F5D0A" w:rsidRPr="00434894" w:rsidRDefault="000F5D0A" w:rsidP="004265E4">
      <w:pPr>
        <w:spacing w:line="360" w:lineRule="auto"/>
      </w:pPr>
    </w:p>
    <w:sectPr w:rsidR="000F5D0A" w:rsidRPr="00434894" w:rsidSect="00671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OD" w:date="2020-01-21T08:14:00Z" w:initials="IOD">
    <w:p w14:paraId="5D752D22" w14:textId="0A9B03C2" w:rsidR="00392598" w:rsidRPr="00D96140" w:rsidRDefault="00392598" w:rsidP="00392598">
      <w:pPr>
        <w:pStyle w:val="Akapitzlist"/>
        <w:suppressAutoHyphens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Style w:val="Odwoaniedokomentarza"/>
        </w:rPr>
        <w:annotationRef/>
      </w:r>
      <w:r>
        <w:t xml:space="preserve">Lub można wskazać, iż przetwarzanie następować będzie wyłącznie </w:t>
      </w:r>
      <w:r w:rsidRPr="00392598">
        <w:t>okresowo</w:t>
      </w:r>
      <w:r>
        <w:t xml:space="preserve"> w przypadkach, gdy na udokumentowane zindywidualizowane polecenie Administratora, Procesor</w:t>
      </w:r>
      <w:r w:rsidRPr="00392598">
        <w:t xml:space="preserve"> uzysk</w:t>
      </w:r>
      <w:r>
        <w:t>a</w:t>
      </w:r>
      <w:r w:rsidRPr="00392598">
        <w:t xml:space="preserve"> dostęp do danych </w:t>
      </w:r>
      <w:r>
        <w:t xml:space="preserve">osobowych </w:t>
      </w:r>
      <w:r w:rsidRPr="00392598">
        <w:t xml:space="preserve">w celach  </w:t>
      </w:r>
      <w:r>
        <w:t xml:space="preserve">wskazanych w w/w poleceniu. </w:t>
      </w:r>
    </w:p>
    <w:p w14:paraId="75667220" w14:textId="735155FA" w:rsidR="00392598" w:rsidRDefault="00392598">
      <w:pPr>
        <w:pStyle w:val="Tekstkomentarza"/>
      </w:pPr>
    </w:p>
  </w:comment>
  <w:comment w:id="1" w:author="IOD" w:date="2019-11-19T09:50:00Z" w:initials="IOD">
    <w:p w14:paraId="08EF236D" w14:textId="77777777" w:rsidR="007D6EE0" w:rsidRDefault="007D6EE0">
      <w:pPr>
        <w:pStyle w:val="Tekstkomentarza"/>
      </w:pPr>
      <w:r>
        <w:rPr>
          <w:rStyle w:val="Odwoaniedokomentarza"/>
        </w:rPr>
        <w:annotationRef/>
      </w:r>
      <w:r>
        <w:t xml:space="preserve">Należy wstawić formę, w której następować będzie powierzenie danych, a następnie przetwarzanie przez Procesora. W mojej opinii należy wstawić jedną z następujących opcji: </w:t>
      </w:r>
    </w:p>
    <w:p w14:paraId="3BCD7FF8" w14:textId="3BD3B04D" w:rsidR="007D6EE0" w:rsidRDefault="007D6EE0" w:rsidP="002934C7">
      <w:pPr>
        <w:pStyle w:val="Tekstkomentarza"/>
        <w:numPr>
          <w:ilvl w:val="0"/>
          <w:numId w:val="35"/>
        </w:numPr>
      </w:pPr>
      <w:r>
        <w:t xml:space="preserve"> w formie elektronicznej</w:t>
      </w:r>
      <w:r w:rsidR="00392598">
        <w:t xml:space="preserve"> (w systemie informatycznym)</w:t>
      </w:r>
      <w:r>
        <w:t>;</w:t>
      </w:r>
    </w:p>
    <w:p w14:paraId="3EC975FF" w14:textId="1966B890" w:rsidR="007D6EE0" w:rsidRDefault="007D6EE0" w:rsidP="002934C7">
      <w:pPr>
        <w:pStyle w:val="Tekstkomentarza"/>
        <w:numPr>
          <w:ilvl w:val="0"/>
          <w:numId w:val="35"/>
        </w:numPr>
      </w:pPr>
      <w:r>
        <w:t xml:space="preserve"> w formie papierowej (tradycyjnej);</w:t>
      </w:r>
    </w:p>
    <w:p w14:paraId="4CE94541" w14:textId="2BA10A34" w:rsidR="007D6EE0" w:rsidRDefault="007D6EE0" w:rsidP="002934C7">
      <w:pPr>
        <w:pStyle w:val="Tekstkomentarza"/>
        <w:numPr>
          <w:ilvl w:val="0"/>
          <w:numId w:val="35"/>
        </w:numPr>
      </w:pPr>
      <w:r>
        <w:t xml:space="preserve"> w formie elektronicznej lub papierowej (tradycyjnej)</w:t>
      </w:r>
    </w:p>
  </w:comment>
  <w:comment w:id="2" w:author="IOD" w:date="2019-06-14T16:11:00Z" w:initials="IOD">
    <w:p w14:paraId="6C84B3AD" w14:textId="13D5F4B8" w:rsidR="007D6EE0" w:rsidRDefault="007D6EE0" w:rsidP="00FF76B4">
      <w:pPr>
        <w:pStyle w:val="Tekstkomentarza"/>
        <w:rPr>
          <w:u w:val="single"/>
        </w:rPr>
      </w:pPr>
      <w:r>
        <w:rPr>
          <w:rStyle w:val="Odwoaniedokomentarza"/>
        </w:rPr>
        <w:annotationRef/>
      </w:r>
      <w:r>
        <w:t>W</w:t>
      </w:r>
      <w:r w:rsidRPr="005D23C1">
        <w:t xml:space="preserve"> </w:t>
      </w:r>
      <w:r>
        <w:t xml:space="preserve">obecnym stanie prawnym uzupełnić umowę o określenie operacji jakie przetwarzający będzie wykonywać na danych jej powierzonych (do jakich operacji będzie uprawniony przez Administratora). Zgodnie bowiem z art. 4 pkt 2 RODO </w:t>
      </w:r>
      <w:r w:rsidRPr="005D23C1">
        <w:t xml:space="preserve">"przetwarzanie" oznacza operację lub zestaw operacji wykonywanych na danych osobowych lub zestawach danych osobowych w sposób zautomatyzowany lub niezautomatyzowany, </w:t>
      </w:r>
      <w:r w:rsidRPr="005D23C1">
        <w:rPr>
          <w:u w:val="single"/>
        </w:rPr>
        <w:t>taką jak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>
        <w:rPr>
          <w:u w:val="single"/>
        </w:rPr>
        <w:t>.</w:t>
      </w:r>
    </w:p>
    <w:p w14:paraId="39EDE8E3" w14:textId="77777777" w:rsidR="007D6EE0" w:rsidRDefault="007D6EE0" w:rsidP="00FF76B4">
      <w:pPr>
        <w:pStyle w:val="Tekstkomentarza"/>
        <w:rPr>
          <w:u w:val="single"/>
        </w:rPr>
      </w:pPr>
    </w:p>
    <w:p w14:paraId="770C1BD0" w14:textId="77777777" w:rsidR="007D6EE0" w:rsidRPr="000D2938" w:rsidRDefault="007D6EE0" w:rsidP="00FF76B4">
      <w:pPr>
        <w:pStyle w:val="Tekstkomentarza"/>
        <w:rPr>
          <w:u w:val="single"/>
        </w:rPr>
      </w:pPr>
      <w:r>
        <w:rPr>
          <w:u w:val="single"/>
        </w:rPr>
        <w:t>Spośród powyższego katalogu należy wybrać te, które rzeczywiście będą na danych osobowych wykonywane a tym samym do których Administrator uprawnia Procesora (przetwarzającego).</w:t>
      </w:r>
    </w:p>
    <w:p w14:paraId="7BF5AE44" w14:textId="1B2B706D" w:rsidR="007D6EE0" w:rsidRDefault="007D6EE0">
      <w:pPr>
        <w:pStyle w:val="Tekstkomentarza"/>
      </w:pPr>
    </w:p>
  </w:comment>
  <w:comment w:id="3" w:author="IOD" w:date="2019-11-27T12:35:00Z" w:initials="IOD">
    <w:p w14:paraId="31B34449" w14:textId="51E8A430" w:rsidR="007D6EE0" w:rsidRDefault="007D6EE0">
      <w:pPr>
        <w:pStyle w:val="Tekstkomentarza"/>
      </w:pPr>
      <w:r>
        <w:rPr>
          <w:rStyle w:val="Odwoaniedokomentarza"/>
        </w:rPr>
        <w:annotationRef/>
      </w:r>
      <w:r w:rsidRPr="002F2B2A">
        <w:t>Ewentualnie należy wskazać, że Umowa zostaje zawarta na czas trwania umowy głównej, o której mowa w § 1 ust. 3.</w:t>
      </w:r>
    </w:p>
  </w:comment>
  <w:comment w:id="5" w:author="IOD" w:date="2020-01-09T10:23:00Z" w:initials="IOD">
    <w:p w14:paraId="5A6FEFE0" w14:textId="0758D0C5" w:rsidR="00F10F31" w:rsidRDefault="00F10F31">
      <w:pPr>
        <w:pStyle w:val="Tekstkomentarza"/>
      </w:pPr>
      <w:r>
        <w:rPr>
          <w:rStyle w:val="Odwoaniedokomentarza"/>
        </w:rPr>
        <w:annotationRef/>
      </w:r>
      <w:r>
        <w:t xml:space="preserve">Co do zasady umowa powierzenia jest zawierana z kontrahentem równolegle do umowy o świadczenie usługi przez tego kontrahenta (zwanej dalej „umową główną). Umowa główna zawiera zazwyczaj klauzule dot. terminów wypowiedzenia oraz konsekwencje w przypadku jej przedterminowego rozwiązania. Z uwagi na powyższe niniejsza umowa powierzenia zawiera w części dotyczącej jej wypowiedzenia </w:t>
      </w:r>
      <w:r w:rsidR="008B4E9D">
        <w:t xml:space="preserve">(ust. 1) </w:t>
      </w:r>
      <w:r>
        <w:t xml:space="preserve">oraz konsekwencji przedterminowego rozwiązania </w:t>
      </w:r>
      <w:r w:rsidR="008B4E9D">
        <w:t xml:space="preserve">(ust. 3) </w:t>
      </w:r>
      <w:r>
        <w:t xml:space="preserve">odniesienie się do postanowień umowy głównej. W przypadku, gdyby umowa główna nie zawierała klauzul dot. terminów wypowiedzenia lub konsekwencji jej przedterminowego rozwiązania, niniejszą umowę powierzenia należy odpowiednio dostawać poprzez zawarcie w jej treści </w:t>
      </w:r>
      <w:r w:rsidR="008B4E9D">
        <w:t>zarówno konkretnego terminu wypowiedzenia oraz ewentualnych konsekwencji jej przedterminowego rozwiązania. Podobnie należy postąpić w przypadku braku umowy głównej sporządzonej w formie pisemnej, tj. zawarcia umowy w formie „ustnej”.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667220" w15:done="0"/>
  <w15:commentEx w15:paraId="4CE94541" w15:done="0"/>
  <w15:commentEx w15:paraId="7BF5AE44" w15:done="0"/>
  <w15:commentEx w15:paraId="31B34449" w15:done="0"/>
  <w15:commentEx w15:paraId="5A6FEF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667220" w16cid:durableId="21D13174"/>
  <w16cid:commentId w16cid:paraId="4CE94541" w16cid:durableId="217E3957"/>
  <w16cid:commentId w16cid:paraId="7BF5AE44" w16cid:durableId="20AE45C0"/>
  <w16cid:commentId w16cid:paraId="31B34449" w16cid:durableId="2188EC09"/>
  <w16cid:commentId w16cid:paraId="5A6FEFE0" w16cid:durableId="21C17D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CA00" w14:textId="77777777" w:rsidR="00033464" w:rsidRDefault="00033464" w:rsidP="0051562F">
      <w:r>
        <w:separator/>
      </w:r>
    </w:p>
  </w:endnote>
  <w:endnote w:type="continuationSeparator" w:id="0">
    <w:p w14:paraId="52A7C392" w14:textId="77777777" w:rsidR="00033464" w:rsidRDefault="00033464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0949" w14:textId="77777777" w:rsidR="007D6EE0" w:rsidRDefault="007D6E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FF8D" w14:textId="77777777" w:rsidR="007D6EE0" w:rsidRDefault="007D6E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74CF" w14:textId="77777777" w:rsidR="007D6EE0" w:rsidRDefault="007D6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C773" w14:textId="77777777" w:rsidR="00033464" w:rsidRDefault="00033464" w:rsidP="0051562F">
      <w:r>
        <w:separator/>
      </w:r>
    </w:p>
  </w:footnote>
  <w:footnote w:type="continuationSeparator" w:id="0">
    <w:p w14:paraId="1FE9B500" w14:textId="77777777" w:rsidR="00033464" w:rsidRDefault="00033464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A6DE" w14:textId="77777777" w:rsidR="007D6EE0" w:rsidRDefault="007D6E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0"/>
      <w:gridCol w:w="6670"/>
    </w:tblGrid>
    <w:tr w:rsidR="007D6EE0" w14:paraId="0F57F55E" w14:textId="77777777" w:rsidTr="0002547E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  <w:hideMark/>
        </w:tcPr>
        <w:p w14:paraId="65A11D0F" w14:textId="682C3519" w:rsidR="007D6EE0" w:rsidRDefault="007D6EE0" w:rsidP="0002547E">
          <w:pPr>
            <w:pStyle w:val="Tekstpodstawowy"/>
            <w:snapToGrid w:val="0"/>
            <w:spacing w:line="276" w:lineRule="auto"/>
            <w:jc w:val="left"/>
            <w:rPr>
              <w:rFonts w:eastAsiaTheme="majorEastAsia"/>
            </w:rPr>
          </w:pPr>
          <w:r>
            <w:rPr>
              <w:rFonts w:eastAsiaTheme="majorEastAsia"/>
            </w:rPr>
            <w:t>Zał.nr 1</w:t>
          </w:r>
          <w:r w:rsidR="00EF22BE">
            <w:rPr>
              <w:rFonts w:eastAsiaTheme="majorEastAsia"/>
            </w:rPr>
            <w:t>0</w:t>
          </w:r>
          <w:r>
            <w:rPr>
              <w:rFonts w:eastAsiaTheme="majorEastAsia"/>
            </w:rPr>
            <w:t xml:space="preserve"> do Polityki 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70E4A9EE" w14:textId="77777777" w:rsidR="007D6EE0" w:rsidRDefault="007D6EE0" w:rsidP="0002547E">
          <w:pPr>
            <w:pStyle w:val="Tekstpodstawowy"/>
            <w:snapToGrid w:val="0"/>
            <w:spacing w:before="40" w:line="276" w:lineRule="auto"/>
            <w:jc w:val="center"/>
            <w:rPr>
              <w:b/>
            </w:rPr>
          </w:pPr>
          <w:r>
            <w:rPr>
              <w:b/>
            </w:rPr>
            <w:t>Wzór umowy powierzenia przetwarzania danych osobowych</w:t>
          </w:r>
        </w:p>
      </w:tc>
    </w:tr>
  </w:tbl>
  <w:p w14:paraId="5DAA4E9D" w14:textId="77777777" w:rsidR="007D6EE0" w:rsidRDefault="007D6EE0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1D07" w14:textId="77777777" w:rsidR="007D6EE0" w:rsidRDefault="007D6E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 w15:restartNumberingAfterBreak="0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8D4932"/>
    <w:multiLevelType w:val="hybridMultilevel"/>
    <w:tmpl w:val="EF60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8" w15:restartNumberingAfterBreak="0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6A5F1CE8"/>
    <w:multiLevelType w:val="hybridMultilevel"/>
    <w:tmpl w:val="A8F8D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5C3FC0">
      <w:start w:val="1"/>
      <w:numFmt w:val="lowerLetter"/>
      <w:lvlText w:val="%2)"/>
      <w:lvlJc w:val="left"/>
      <w:pPr>
        <w:ind w:left="1440" w:hanging="360"/>
      </w:pPr>
      <w:rPr>
        <w:rFonts w:asciiTheme="minorHAnsi" w:eastAsia="Lucida Sans Unicode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759F3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4" w15:restartNumberingAfterBreak="0">
    <w:nsid w:val="77EC692F"/>
    <w:multiLevelType w:val="multilevel"/>
    <w:tmpl w:val="3FF868CA"/>
    <w:styleLink w:val="LS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49873551">
    <w:abstractNumId w:val="33"/>
  </w:num>
  <w:num w:numId="2" w16cid:durableId="1478106593">
    <w:abstractNumId w:val="3"/>
  </w:num>
  <w:num w:numId="3" w16cid:durableId="298917865">
    <w:abstractNumId w:val="15"/>
  </w:num>
  <w:num w:numId="4" w16cid:durableId="130639798">
    <w:abstractNumId w:val="2"/>
  </w:num>
  <w:num w:numId="5" w16cid:durableId="817649544">
    <w:abstractNumId w:val="9"/>
  </w:num>
  <w:num w:numId="6" w16cid:durableId="163589630">
    <w:abstractNumId w:val="25"/>
  </w:num>
  <w:num w:numId="7" w16cid:durableId="2133590616">
    <w:abstractNumId w:val="6"/>
  </w:num>
  <w:num w:numId="8" w16cid:durableId="733545368">
    <w:abstractNumId w:val="17"/>
  </w:num>
  <w:num w:numId="9" w16cid:durableId="349452895">
    <w:abstractNumId w:val="28"/>
  </w:num>
  <w:num w:numId="10" w16cid:durableId="1372415985">
    <w:abstractNumId w:val="1"/>
  </w:num>
  <w:num w:numId="11" w16cid:durableId="1137914520">
    <w:abstractNumId w:val="18"/>
  </w:num>
  <w:num w:numId="12" w16cid:durableId="397097995">
    <w:abstractNumId w:val="20"/>
  </w:num>
  <w:num w:numId="13" w16cid:durableId="815531510">
    <w:abstractNumId w:val="11"/>
  </w:num>
  <w:num w:numId="14" w16cid:durableId="834298173">
    <w:abstractNumId w:val="22"/>
  </w:num>
  <w:num w:numId="15" w16cid:durableId="1369994117">
    <w:abstractNumId w:val="8"/>
  </w:num>
  <w:num w:numId="16" w16cid:durableId="1799491104">
    <w:abstractNumId w:val="7"/>
  </w:num>
  <w:num w:numId="17" w16cid:durableId="648630826">
    <w:abstractNumId w:val="23"/>
  </w:num>
  <w:num w:numId="18" w16cid:durableId="105002832">
    <w:abstractNumId w:val="35"/>
  </w:num>
  <w:num w:numId="19" w16cid:durableId="250548518">
    <w:abstractNumId w:val="5"/>
  </w:num>
  <w:num w:numId="20" w16cid:durableId="1762022683">
    <w:abstractNumId w:val="10"/>
  </w:num>
  <w:num w:numId="21" w16cid:durableId="1881898396">
    <w:abstractNumId w:val="21"/>
  </w:num>
  <w:num w:numId="22" w16cid:durableId="525487944">
    <w:abstractNumId w:val="32"/>
  </w:num>
  <w:num w:numId="23" w16cid:durableId="1570774122">
    <w:abstractNumId w:val="16"/>
  </w:num>
  <w:num w:numId="24" w16cid:durableId="880440293">
    <w:abstractNumId w:val="24"/>
  </w:num>
  <w:num w:numId="25" w16cid:durableId="1713190615">
    <w:abstractNumId w:val="4"/>
  </w:num>
  <w:num w:numId="26" w16cid:durableId="572618055">
    <w:abstractNumId w:val="13"/>
  </w:num>
  <w:num w:numId="27" w16cid:durableId="39747386">
    <w:abstractNumId w:val="27"/>
  </w:num>
  <w:num w:numId="28" w16cid:durableId="758868683">
    <w:abstractNumId w:val="14"/>
  </w:num>
  <w:num w:numId="29" w16cid:durableId="1776169743">
    <w:abstractNumId w:val="26"/>
  </w:num>
  <w:num w:numId="30" w16cid:durableId="853610984">
    <w:abstractNumId w:val="0"/>
  </w:num>
  <w:num w:numId="31" w16cid:durableId="29577222">
    <w:abstractNumId w:val="2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 w16cid:durableId="1845586129">
    <w:abstractNumId w:val="2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 w16cid:durableId="2040472935">
    <w:abstractNumId w:val="2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 w16cid:durableId="1836215219">
    <w:abstractNumId w:val="19"/>
  </w:num>
  <w:num w:numId="35" w16cid:durableId="720640659">
    <w:abstractNumId w:val="12"/>
  </w:num>
  <w:num w:numId="36" w16cid:durableId="1741488354">
    <w:abstractNumId w:val="30"/>
  </w:num>
  <w:num w:numId="37" w16cid:durableId="1106003885">
    <w:abstractNumId w:val="34"/>
  </w:num>
  <w:num w:numId="38" w16cid:durableId="1279411133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850" w:firstLine="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firstLine="0"/>
        </w:pPr>
      </w:lvl>
    </w:lvlOverride>
  </w:num>
  <w:num w:numId="39" w16cid:durableId="745881294">
    <w:abstractNumId w:val="3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744"/>
    <w:rsid w:val="000010D8"/>
    <w:rsid w:val="00001ECA"/>
    <w:rsid w:val="00005818"/>
    <w:rsid w:val="0000645F"/>
    <w:rsid w:val="00007AD9"/>
    <w:rsid w:val="00010708"/>
    <w:rsid w:val="0001086D"/>
    <w:rsid w:val="000174F3"/>
    <w:rsid w:val="00022808"/>
    <w:rsid w:val="0002547E"/>
    <w:rsid w:val="00031B23"/>
    <w:rsid w:val="00033464"/>
    <w:rsid w:val="00037604"/>
    <w:rsid w:val="0004771F"/>
    <w:rsid w:val="00066B93"/>
    <w:rsid w:val="0008360B"/>
    <w:rsid w:val="0008661F"/>
    <w:rsid w:val="000A421A"/>
    <w:rsid w:val="000A7AAA"/>
    <w:rsid w:val="000C2649"/>
    <w:rsid w:val="000D2143"/>
    <w:rsid w:val="000D5166"/>
    <w:rsid w:val="000D5AAF"/>
    <w:rsid w:val="000E0D05"/>
    <w:rsid w:val="000F245B"/>
    <w:rsid w:val="000F494A"/>
    <w:rsid w:val="000F5D0A"/>
    <w:rsid w:val="00101A48"/>
    <w:rsid w:val="001132D0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75046"/>
    <w:rsid w:val="00181964"/>
    <w:rsid w:val="00184EBB"/>
    <w:rsid w:val="001853A0"/>
    <w:rsid w:val="00186E75"/>
    <w:rsid w:val="00190C88"/>
    <w:rsid w:val="001A35F7"/>
    <w:rsid w:val="001B245D"/>
    <w:rsid w:val="001C30A0"/>
    <w:rsid w:val="001C7A3A"/>
    <w:rsid w:val="001D44D5"/>
    <w:rsid w:val="001E03FA"/>
    <w:rsid w:val="001E255E"/>
    <w:rsid w:val="001E7B97"/>
    <w:rsid w:val="002139C5"/>
    <w:rsid w:val="00220D2C"/>
    <w:rsid w:val="00220EAC"/>
    <w:rsid w:val="00231C39"/>
    <w:rsid w:val="002338F4"/>
    <w:rsid w:val="00237120"/>
    <w:rsid w:val="002412F9"/>
    <w:rsid w:val="002435B6"/>
    <w:rsid w:val="00250110"/>
    <w:rsid w:val="00262855"/>
    <w:rsid w:val="00266454"/>
    <w:rsid w:val="00266749"/>
    <w:rsid w:val="00287C80"/>
    <w:rsid w:val="002934C7"/>
    <w:rsid w:val="00294A7D"/>
    <w:rsid w:val="002A2155"/>
    <w:rsid w:val="002A285C"/>
    <w:rsid w:val="002B698B"/>
    <w:rsid w:val="002B6B0E"/>
    <w:rsid w:val="002E7126"/>
    <w:rsid w:val="002F152C"/>
    <w:rsid w:val="002F2B2A"/>
    <w:rsid w:val="002F799B"/>
    <w:rsid w:val="0032068E"/>
    <w:rsid w:val="00322744"/>
    <w:rsid w:val="003253B8"/>
    <w:rsid w:val="00331A41"/>
    <w:rsid w:val="00337215"/>
    <w:rsid w:val="0034512F"/>
    <w:rsid w:val="00345B9D"/>
    <w:rsid w:val="00360526"/>
    <w:rsid w:val="00375B0E"/>
    <w:rsid w:val="0037713D"/>
    <w:rsid w:val="00382296"/>
    <w:rsid w:val="003840E9"/>
    <w:rsid w:val="00384873"/>
    <w:rsid w:val="0039080E"/>
    <w:rsid w:val="00392598"/>
    <w:rsid w:val="00392EE9"/>
    <w:rsid w:val="003B180F"/>
    <w:rsid w:val="003B499C"/>
    <w:rsid w:val="003D4CD2"/>
    <w:rsid w:val="003D6789"/>
    <w:rsid w:val="003E4097"/>
    <w:rsid w:val="003F0D72"/>
    <w:rsid w:val="003F28F0"/>
    <w:rsid w:val="004265E4"/>
    <w:rsid w:val="00434894"/>
    <w:rsid w:val="0044016E"/>
    <w:rsid w:val="004501DA"/>
    <w:rsid w:val="00455B7A"/>
    <w:rsid w:val="00463665"/>
    <w:rsid w:val="0046531C"/>
    <w:rsid w:val="0047403E"/>
    <w:rsid w:val="00474FAC"/>
    <w:rsid w:val="004779CA"/>
    <w:rsid w:val="00483334"/>
    <w:rsid w:val="00485F44"/>
    <w:rsid w:val="004B253B"/>
    <w:rsid w:val="004C147E"/>
    <w:rsid w:val="004C590F"/>
    <w:rsid w:val="004E1C75"/>
    <w:rsid w:val="004F6B10"/>
    <w:rsid w:val="005024BB"/>
    <w:rsid w:val="00507BEB"/>
    <w:rsid w:val="005136F0"/>
    <w:rsid w:val="0051562F"/>
    <w:rsid w:val="005225BE"/>
    <w:rsid w:val="0052552B"/>
    <w:rsid w:val="0053088F"/>
    <w:rsid w:val="005346D3"/>
    <w:rsid w:val="0054584D"/>
    <w:rsid w:val="00554371"/>
    <w:rsid w:val="005617D3"/>
    <w:rsid w:val="00564922"/>
    <w:rsid w:val="00575C28"/>
    <w:rsid w:val="0058004D"/>
    <w:rsid w:val="00586D97"/>
    <w:rsid w:val="005A455F"/>
    <w:rsid w:val="005A575B"/>
    <w:rsid w:val="005B710D"/>
    <w:rsid w:val="005C3EF2"/>
    <w:rsid w:val="005C74C5"/>
    <w:rsid w:val="005C797C"/>
    <w:rsid w:val="005D03F7"/>
    <w:rsid w:val="005D616B"/>
    <w:rsid w:val="005E741F"/>
    <w:rsid w:val="005F2ABD"/>
    <w:rsid w:val="0060143D"/>
    <w:rsid w:val="00620207"/>
    <w:rsid w:val="00650726"/>
    <w:rsid w:val="00651F04"/>
    <w:rsid w:val="00657694"/>
    <w:rsid w:val="00665BC7"/>
    <w:rsid w:val="006717B2"/>
    <w:rsid w:val="00680E3F"/>
    <w:rsid w:val="006839D3"/>
    <w:rsid w:val="006905D0"/>
    <w:rsid w:val="00691C18"/>
    <w:rsid w:val="00691E8A"/>
    <w:rsid w:val="00694BBA"/>
    <w:rsid w:val="006A2C8C"/>
    <w:rsid w:val="006A317A"/>
    <w:rsid w:val="006A529D"/>
    <w:rsid w:val="006A6B64"/>
    <w:rsid w:val="006C3364"/>
    <w:rsid w:val="006E4042"/>
    <w:rsid w:val="006E4782"/>
    <w:rsid w:val="006F3868"/>
    <w:rsid w:val="00700885"/>
    <w:rsid w:val="00713B33"/>
    <w:rsid w:val="007264C3"/>
    <w:rsid w:val="00732226"/>
    <w:rsid w:val="00754573"/>
    <w:rsid w:val="007554B1"/>
    <w:rsid w:val="00762335"/>
    <w:rsid w:val="007735AC"/>
    <w:rsid w:val="00773AB3"/>
    <w:rsid w:val="00775A8F"/>
    <w:rsid w:val="0078418A"/>
    <w:rsid w:val="0079162F"/>
    <w:rsid w:val="00793D96"/>
    <w:rsid w:val="007A0C18"/>
    <w:rsid w:val="007A26F9"/>
    <w:rsid w:val="007A5785"/>
    <w:rsid w:val="007B6489"/>
    <w:rsid w:val="007D1C7A"/>
    <w:rsid w:val="007D2F42"/>
    <w:rsid w:val="007D6EE0"/>
    <w:rsid w:val="007E1E33"/>
    <w:rsid w:val="007E3081"/>
    <w:rsid w:val="007F025E"/>
    <w:rsid w:val="00803E94"/>
    <w:rsid w:val="008212F8"/>
    <w:rsid w:val="00832F6F"/>
    <w:rsid w:val="008369D7"/>
    <w:rsid w:val="0084033D"/>
    <w:rsid w:val="008560BB"/>
    <w:rsid w:val="00862BB8"/>
    <w:rsid w:val="00862BB9"/>
    <w:rsid w:val="00864FB7"/>
    <w:rsid w:val="00865E19"/>
    <w:rsid w:val="008812FB"/>
    <w:rsid w:val="0088141F"/>
    <w:rsid w:val="00893E4E"/>
    <w:rsid w:val="0089442D"/>
    <w:rsid w:val="008B3832"/>
    <w:rsid w:val="008B4E9D"/>
    <w:rsid w:val="008E4C8D"/>
    <w:rsid w:val="008E7D2E"/>
    <w:rsid w:val="008F721C"/>
    <w:rsid w:val="009000F4"/>
    <w:rsid w:val="00910AE4"/>
    <w:rsid w:val="0091344A"/>
    <w:rsid w:val="00913922"/>
    <w:rsid w:val="00914FF8"/>
    <w:rsid w:val="00921662"/>
    <w:rsid w:val="009248A1"/>
    <w:rsid w:val="00960402"/>
    <w:rsid w:val="00960992"/>
    <w:rsid w:val="00975508"/>
    <w:rsid w:val="0098247F"/>
    <w:rsid w:val="00982630"/>
    <w:rsid w:val="00984945"/>
    <w:rsid w:val="00984F53"/>
    <w:rsid w:val="00991D17"/>
    <w:rsid w:val="009922AB"/>
    <w:rsid w:val="0099381A"/>
    <w:rsid w:val="00994FE9"/>
    <w:rsid w:val="009A1A11"/>
    <w:rsid w:val="009A1BF1"/>
    <w:rsid w:val="009A592E"/>
    <w:rsid w:val="009B2140"/>
    <w:rsid w:val="009B3E1E"/>
    <w:rsid w:val="009B4289"/>
    <w:rsid w:val="009C2FE6"/>
    <w:rsid w:val="009E28F0"/>
    <w:rsid w:val="009E6E68"/>
    <w:rsid w:val="00A05DEC"/>
    <w:rsid w:val="00A143C0"/>
    <w:rsid w:val="00A31378"/>
    <w:rsid w:val="00A51893"/>
    <w:rsid w:val="00A56863"/>
    <w:rsid w:val="00A70430"/>
    <w:rsid w:val="00A76815"/>
    <w:rsid w:val="00A7731E"/>
    <w:rsid w:val="00A83EA1"/>
    <w:rsid w:val="00A871F3"/>
    <w:rsid w:val="00A87F8B"/>
    <w:rsid w:val="00A94E8D"/>
    <w:rsid w:val="00A9542E"/>
    <w:rsid w:val="00AA6B30"/>
    <w:rsid w:val="00AB130D"/>
    <w:rsid w:val="00AB26C4"/>
    <w:rsid w:val="00AB6601"/>
    <w:rsid w:val="00AB74E9"/>
    <w:rsid w:val="00AD6A91"/>
    <w:rsid w:val="00AE7A90"/>
    <w:rsid w:val="00AF2D9B"/>
    <w:rsid w:val="00AF3D56"/>
    <w:rsid w:val="00B03974"/>
    <w:rsid w:val="00B053F5"/>
    <w:rsid w:val="00B11C52"/>
    <w:rsid w:val="00B160BA"/>
    <w:rsid w:val="00B40921"/>
    <w:rsid w:val="00B43403"/>
    <w:rsid w:val="00B511C4"/>
    <w:rsid w:val="00B55D0E"/>
    <w:rsid w:val="00B55ED3"/>
    <w:rsid w:val="00B67B94"/>
    <w:rsid w:val="00B82BB7"/>
    <w:rsid w:val="00B84DD1"/>
    <w:rsid w:val="00B90DF8"/>
    <w:rsid w:val="00B92D31"/>
    <w:rsid w:val="00BA1CE7"/>
    <w:rsid w:val="00BA4E9A"/>
    <w:rsid w:val="00BB1362"/>
    <w:rsid w:val="00BB7E36"/>
    <w:rsid w:val="00BC39E3"/>
    <w:rsid w:val="00BD59FF"/>
    <w:rsid w:val="00BD7259"/>
    <w:rsid w:val="00BE4CDA"/>
    <w:rsid w:val="00BE51F9"/>
    <w:rsid w:val="00C00612"/>
    <w:rsid w:val="00C07AFF"/>
    <w:rsid w:val="00C12E13"/>
    <w:rsid w:val="00C14E86"/>
    <w:rsid w:val="00C325A6"/>
    <w:rsid w:val="00C32A66"/>
    <w:rsid w:val="00C3618D"/>
    <w:rsid w:val="00C4173D"/>
    <w:rsid w:val="00C43145"/>
    <w:rsid w:val="00C471A5"/>
    <w:rsid w:val="00C541A9"/>
    <w:rsid w:val="00C56428"/>
    <w:rsid w:val="00C6179F"/>
    <w:rsid w:val="00C67BD6"/>
    <w:rsid w:val="00C92D74"/>
    <w:rsid w:val="00CA5F00"/>
    <w:rsid w:val="00CB15CC"/>
    <w:rsid w:val="00CB7032"/>
    <w:rsid w:val="00CC1A4D"/>
    <w:rsid w:val="00CE1782"/>
    <w:rsid w:val="00CF05FD"/>
    <w:rsid w:val="00CF0C5D"/>
    <w:rsid w:val="00D0286A"/>
    <w:rsid w:val="00D13AF0"/>
    <w:rsid w:val="00D2459A"/>
    <w:rsid w:val="00D2676E"/>
    <w:rsid w:val="00D31B96"/>
    <w:rsid w:val="00D33ECC"/>
    <w:rsid w:val="00D34E41"/>
    <w:rsid w:val="00D523D7"/>
    <w:rsid w:val="00D553FC"/>
    <w:rsid w:val="00D70760"/>
    <w:rsid w:val="00D71873"/>
    <w:rsid w:val="00D74316"/>
    <w:rsid w:val="00D774D4"/>
    <w:rsid w:val="00D80859"/>
    <w:rsid w:val="00D837B7"/>
    <w:rsid w:val="00DA4396"/>
    <w:rsid w:val="00DA47E0"/>
    <w:rsid w:val="00DA7F6A"/>
    <w:rsid w:val="00DB0AFE"/>
    <w:rsid w:val="00DB5A59"/>
    <w:rsid w:val="00DC0AF9"/>
    <w:rsid w:val="00DE13D4"/>
    <w:rsid w:val="00DE19A9"/>
    <w:rsid w:val="00DE3958"/>
    <w:rsid w:val="00DF1E88"/>
    <w:rsid w:val="00DF5276"/>
    <w:rsid w:val="00E20611"/>
    <w:rsid w:val="00E20EF5"/>
    <w:rsid w:val="00E318CB"/>
    <w:rsid w:val="00E40FCC"/>
    <w:rsid w:val="00E41560"/>
    <w:rsid w:val="00E4449B"/>
    <w:rsid w:val="00E62663"/>
    <w:rsid w:val="00E63A2C"/>
    <w:rsid w:val="00E65066"/>
    <w:rsid w:val="00E66BAB"/>
    <w:rsid w:val="00E71F39"/>
    <w:rsid w:val="00E74B4C"/>
    <w:rsid w:val="00E74B5C"/>
    <w:rsid w:val="00E82711"/>
    <w:rsid w:val="00E83DF4"/>
    <w:rsid w:val="00E855F2"/>
    <w:rsid w:val="00E90764"/>
    <w:rsid w:val="00E934AD"/>
    <w:rsid w:val="00E94D63"/>
    <w:rsid w:val="00EB29DE"/>
    <w:rsid w:val="00EB34DE"/>
    <w:rsid w:val="00EB49E5"/>
    <w:rsid w:val="00EB6B45"/>
    <w:rsid w:val="00EC087E"/>
    <w:rsid w:val="00EC47A3"/>
    <w:rsid w:val="00EE5E9A"/>
    <w:rsid w:val="00EF22BE"/>
    <w:rsid w:val="00EF2416"/>
    <w:rsid w:val="00EF3DEE"/>
    <w:rsid w:val="00EF56B0"/>
    <w:rsid w:val="00F04B79"/>
    <w:rsid w:val="00F1097E"/>
    <w:rsid w:val="00F10F31"/>
    <w:rsid w:val="00F16688"/>
    <w:rsid w:val="00F3491F"/>
    <w:rsid w:val="00F4050D"/>
    <w:rsid w:val="00F41EAB"/>
    <w:rsid w:val="00F42373"/>
    <w:rsid w:val="00F43C59"/>
    <w:rsid w:val="00F54D59"/>
    <w:rsid w:val="00F5702B"/>
    <w:rsid w:val="00F64FD9"/>
    <w:rsid w:val="00F70C04"/>
    <w:rsid w:val="00F72B4C"/>
    <w:rsid w:val="00F801EE"/>
    <w:rsid w:val="00F835FC"/>
    <w:rsid w:val="00F87DBC"/>
    <w:rsid w:val="00F9567F"/>
    <w:rsid w:val="00F978CD"/>
    <w:rsid w:val="00FA5D0A"/>
    <w:rsid w:val="00FA6024"/>
    <w:rsid w:val="00FB71F0"/>
    <w:rsid w:val="00FD2B47"/>
    <w:rsid w:val="00FD70F5"/>
    <w:rsid w:val="00FE37EE"/>
    <w:rsid w:val="00FF198E"/>
    <w:rsid w:val="00FF32B9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84FA0"/>
  <w15:docId w15:val="{47235E5A-C516-4DD9-8629-52FAB722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paragraph" w:customStyle="1" w:styleId="Textbody">
    <w:name w:val="Text body"/>
    <w:basedOn w:val="Normalny"/>
    <w:rsid w:val="00DF527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4B253B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numbering" w:customStyle="1" w:styleId="LS6">
    <w:name w:val="LS6"/>
    <w:basedOn w:val="Bezlisty"/>
    <w:rsid w:val="004B253B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9E84-7149-47F3-A5B7-98C54076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1867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Sędłak</dc:creator>
  <cp:lastModifiedBy>Elżbieta Janicka</cp:lastModifiedBy>
  <cp:revision>3</cp:revision>
  <dcterms:created xsi:type="dcterms:W3CDTF">2023-09-28T22:04:00Z</dcterms:created>
  <dcterms:modified xsi:type="dcterms:W3CDTF">2023-09-28T22:05:00Z</dcterms:modified>
</cp:coreProperties>
</file>