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118F71B5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1C13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290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1C131F">
        <w:rPr>
          <w:rFonts w:ascii="Times New Roman" w:eastAsia="Times New Roman" w:hAnsi="Times New Roman" w:cs="Times New Roman"/>
          <w:sz w:val="24"/>
          <w:szCs w:val="24"/>
          <w:lang w:eastAsia="ar-SA"/>
        </w:rPr>
        <w:t>04.10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.2022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41255A85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320B96">
        <w:rPr>
          <w:rFonts w:ascii="Times New Roman" w:eastAsia="Calibri" w:hAnsi="Times New Roman" w:cs="Times New Roman"/>
          <w:b/>
          <w:sz w:val="28"/>
          <w:szCs w:val="28"/>
        </w:rPr>
        <w:t xml:space="preserve">WYROBÓW MEDYCZNYCH </w:t>
      </w:r>
      <w:r w:rsidR="001C131F">
        <w:rPr>
          <w:rFonts w:ascii="Times New Roman" w:eastAsia="Calibri" w:hAnsi="Times New Roman" w:cs="Times New Roman"/>
          <w:b/>
          <w:sz w:val="28"/>
          <w:szCs w:val="28"/>
        </w:rPr>
        <w:t>STOSOWANYCH W PRACOWNI ENDOSKOPOWEJ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1C131F">
        <w:rPr>
          <w:rFonts w:ascii="Times New Roman" w:eastAsia="Times New Roman" w:hAnsi="Times New Roman" w:cs="Times New Roman"/>
          <w:bCs/>
          <w:u w:val="single"/>
          <w:lang w:eastAsia="ar-SA"/>
        </w:rPr>
        <w:t>71 32 70 491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7C34C47C" w:rsidR="00D22E84" w:rsidRDefault="006B7E0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D22E84"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79545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513013B8" w14:textId="066D3380" w:rsidR="0057454D" w:rsidRPr="00D05832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 w:rsidR="006B7E08"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 w:rsidR="006B7E08"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Pzp,</w:t>
      </w:r>
    </w:p>
    <w:p w14:paraId="3C71660A" w14:textId="77777777" w:rsidR="0057454D" w:rsidRPr="00D05832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6564728F" w14:textId="77777777" w:rsidR="0057454D" w:rsidRPr="003B4859" w:rsidRDefault="0057454D" w:rsidP="005745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98BCB7D" w14:textId="7F1C5A24" w:rsidR="0057454D" w:rsidRPr="00BF7A04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 w:rsidR="00767A31"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 w:rsidR="003F1CF6">
        <w:rPr>
          <w:rFonts w:ascii="Times New Roman" w:hAnsi="Times New Roman"/>
        </w:rPr>
        <w:t>obach Medycznych (Dz. U. z 2022</w:t>
      </w:r>
      <w:r w:rsidR="00226BA1">
        <w:rPr>
          <w:rFonts w:ascii="Times New Roman" w:hAnsi="Times New Roman"/>
        </w:rPr>
        <w:t xml:space="preserve"> r. poz. 974</w:t>
      </w:r>
      <w:r w:rsidRPr="00BF7A04">
        <w:rPr>
          <w:rFonts w:ascii="Times New Roman" w:hAnsi="Times New Roman"/>
        </w:rPr>
        <w:t>),</w:t>
      </w:r>
    </w:p>
    <w:p w14:paraId="630A57B2" w14:textId="77777777" w:rsidR="0057454D" w:rsidRPr="008E0C66" w:rsidRDefault="0057454D" w:rsidP="0057454D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68DFF3C5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 w:rsidR="00FD209E">
        <w:rPr>
          <w:rFonts w:ascii="Times New Roman" w:eastAsia="Arial" w:hAnsi="Times New Roman" w:cs="Times New Roman"/>
          <w:lang w:eastAsia="ar-SA"/>
        </w:rPr>
        <w:t xml:space="preserve"> – Kodeks cywilny (Dz. U. z 2022</w:t>
      </w:r>
      <w:r>
        <w:rPr>
          <w:rFonts w:ascii="Times New Roman" w:eastAsia="Arial" w:hAnsi="Times New Roman" w:cs="Times New Roman"/>
          <w:lang w:eastAsia="ar-SA"/>
        </w:rPr>
        <w:t xml:space="preserve"> r., poz. 1</w:t>
      </w:r>
      <w:r w:rsidR="00FD209E">
        <w:rPr>
          <w:rFonts w:ascii="Times New Roman" w:eastAsia="Arial" w:hAnsi="Times New Roman" w:cs="Times New Roman"/>
          <w:lang w:eastAsia="ar-SA"/>
        </w:rPr>
        <w:t>360</w:t>
      </w:r>
      <w:r>
        <w:rPr>
          <w:rFonts w:ascii="Times New Roman" w:eastAsia="Arial" w:hAnsi="Times New Roman" w:cs="Times New Roman"/>
          <w:lang w:eastAsia="ar-SA"/>
        </w:rPr>
        <w:t xml:space="preserve">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910B14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>owa w art. 139 ust. 1 ustawy Pzp</w:t>
      </w:r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0BE88AEA" w14:textId="01CBE26F" w:rsidR="00320B96" w:rsidRPr="00BF7969" w:rsidRDefault="00320B96" w:rsidP="00320B96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dostawa </w:t>
      </w:r>
      <w:r>
        <w:rPr>
          <w:rFonts w:ascii="Times New Roman" w:eastAsia="Calibri" w:hAnsi="Times New Roman" w:cs="Times New Roman"/>
        </w:rPr>
        <w:t xml:space="preserve">wyrobów medycznych </w:t>
      </w:r>
      <w:r w:rsidR="00DA1A6A">
        <w:rPr>
          <w:rFonts w:ascii="Times New Roman" w:eastAsia="Calibri" w:hAnsi="Times New Roman" w:cs="Times New Roman"/>
        </w:rPr>
        <w:t>stosowanych w pracowni endoskopowej</w:t>
      </w:r>
      <w:r>
        <w:rPr>
          <w:rFonts w:ascii="Times New Roman" w:eastAsia="Calibri" w:hAnsi="Times New Roman" w:cs="Times New Roman"/>
        </w:rPr>
        <w:t xml:space="preserve"> </w:t>
      </w:r>
      <w:r w:rsidRPr="00BF7969">
        <w:rPr>
          <w:rFonts w:ascii="Times New Roman" w:eastAsia="Calibri" w:hAnsi="Times New Roman" w:cs="Times New Roman"/>
        </w:rPr>
        <w:t xml:space="preserve">do </w:t>
      </w:r>
      <w:r w:rsidRPr="009C237E">
        <w:rPr>
          <w:rFonts w:ascii="Times New Roman" w:eastAsia="Calibri" w:hAnsi="Times New Roman" w:cs="Times New Roman"/>
        </w:rPr>
        <w:t>siedziby Zamawiającego</w:t>
      </w:r>
      <w:r>
        <w:rPr>
          <w:rFonts w:ascii="Times New Roman" w:eastAsia="Calibri" w:hAnsi="Times New Roman" w:cs="Times New Roman"/>
        </w:rPr>
        <w:t>, zwanych dalej „wyrobami”</w:t>
      </w:r>
      <w:r w:rsidRPr="00BF7969">
        <w:rPr>
          <w:rFonts w:ascii="Times New Roman" w:eastAsia="Calibri" w:hAnsi="Times New Roman" w:cs="Times New Roman"/>
        </w:rPr>
        <w:t>.</w:t>
      </w:r>
    </w:p>
    <w:p w14:paraId="7325EC40" w14:textId="5080C65B" w:rsidR="00320B96" w:rsidRDefault="00320B96" w:rsidP="00320B96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 </w:t>
      </w:r>
      <w:r w:rsidRPr="00451864">
        <w:rPr>
          <w:rFonts w:ascii="Times New Roman" w:hAnsi="Times New Roman"/>
        </w:rPr>
        <w:t xml:space="preserve">oraz ilości </w:t>
      </w:r>
      <w:r>
        <w:rPr>
          <w:rFonts w:ascii="Times New Roman" w:hAnsi="Times New Roman"/>
        </w:rPr>
        <w:t xml:space="preserve">przedmiotu zamówienia </w:t>
      </w:r>
      <w:r w:rsidRPr="00451864">
        <w:rPr>
          <w:rFonts w:ascii="Times New Roman" w:hAnsi="Times New Roman"/>
        </w:rPr>
        <w:t>określają formularze asortymentowo – cenowe nr 1.1 – 1.</w:t>
      </w:r>
      <w:r w:rsidR="00DA1A6A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  <w:r w:rsidRPr="00451864">
        <w:rPr>
          <w:rFonts w:ascii="Times New Roman" w:hAnsi="Times New Roman"/>
        </w:rPr>
        <w:t>stanowiące załączniki do formularza ofertowego.</w:t>
      </w:r>
    </w:p>
    <w:p w14:paraId="10E54AC4" w14:textId="77777777" w:rsidR="00320B96" w:rsidRDefault="00320B96" w:rsidP="00320B96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r w:rsidRPr="004A031C">
        <w:rPr>
          <w:rFonts w:ascii="Times New Roman" w:eastAsia="Calibri" w:hAnsi="Times New Roman" w:cs="Times New Roman"/>
        </w:rPr>
        <w:t>Termin ważności oferowanych wyrobów medycznych nie może być krótszy niż 12 miesięcy liczony od daty dostawy.</w:t>
      </w:r>
    </w:p>
    <w:p w14:paraId="3FCABA09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F0442B" w:rsidRDefault="00F0442B" w:rsidP="008B5CCF">
      <w:pPr>
        <w:pStyle w:val="Akapitzlist"/>
        <w:numPr>
          <w:ilvl w:val="0"/>
          <w:numId w:val="57"/>
        </w:numPr>
        <w:tabs>
          <w:tab w:val="clear" w:pos="121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="00AF46F9">
        <w:rPr>
          <w:rFonts w:ascii="Times New Roman" w:eastAsia="Calibri" w:hAnsi="Times New Roman" w:cs="Times New Roman"/>
        </w:rPr>
        <w:t xml:space="preserve">WZ. </w:t>
      </w:r>
      <w:r w:rsidRPr="00486744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14529C74" w14:textId="5F5F7006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>
        <w:rPr>
          <w:rFonts w:ascii="Times New Roman" w:eastAsia="Calibri" w:hAnsi="Times New Roman" w:cs="Times New Roman"/>
        </w:rPr>
        <w:t>w projek</w:t>
      </w:r>
      <w:r w:rsidR="008C3F26">
        <w:rPr>
          <w:rFonts w:ascii="Times New Roman" w:eastAsia="Calibri" w:hAnsi="Times New Roman" w:cs="Times New Roman"/>
        </w:rPr>
        <w:t>cie</w:t>
      </w:r>
      <w:r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um</w:t>
      </w:r>
      <w:r w:rsidR="008C3F26">
        <w:rPr>
          <w:rFonts w:ascii="Times New Roman" w:eastAsia="Calibri" w:hAnsi="Times New Roman" w:cs="Times New Roman"/>
        </w:rPr>
        <w:t>owy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stanowią</w:t>
      </w:r>
      <w:r w:rsidR="00EB6AE3">
        <w:rPr>
          <w:rFonts w:ascii="Times New Roman" w:eastAsia="Calibri" w:hAnsi="Times New Roman" w:cs="Times New Roman"/>
        </w:rPr>
        <w:t>cym</w:t>
      </w:r>
      <w:r>
        <w:rPr>
          <w:rFonts w:ascii="Times New Roman" w:eastAsia="Calibri" w:hAnsi="Times New Roman" w:cs="Times New Roman"/>
        </w:rPr>
        <w:t xml:space="preserve">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</w:t>
      </w:r>
      <w:r w:rsidR="007D4470" w:rsidRPr="00EB3F95">
        <w:rPr>
          <w:rFonts w:ascii="Times New Roman" w:eastAsia="Calibri" w:hAnsi="Times New Roman" w:cs="Times New Roman"/>
          <w:b/>
          <w:bCs/>
        </w:rPr>
        <w:t xml:space="preserve"> </w:t>
      </w:r>
      <w:r w:rsidRPr="00EB3F95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77777777" w:rsidR="008E053F" w:rsidRPr="005D20B9" w:rsidRDefault="008E053F" w:rsidP="008B5CCF">
      <w:pPr>
        <w:numPr>
          <w:ilvl w:val="0"/>
          <w:numId w:val="57"/>
        </w:num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164E58DA" w14:textId="585CD142" w:rsidR="00EE08E5" w:rsidRDefault="008A4E79" w:rsidP="00B23960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 w:rsidRPr="008A6D67">
        <w:rPr>
          <w:rFonts w:ascii="Times New Roman" w:eastAsia="Calibri" w:hAnsi="Times New Roman" w:cs="Times New Roman"/>
          <w:b/>
          <w:bCs/>
        </w:rPr>
        <w:t>Kod CPV:</w:t>
      </w:r>
      <w:r w:rsidR="008A6D67" w:rsidRPr="008A6D67">
        <w:rPr>
          <w:rFonts w:ascii="Times New Roman" w:eastAsia="Calibri" w:hAnsi="Times New Roman" w:cs="Times New Roman"/>
          <w:b/>
          <w:bCs/>
        </w:rPr>
        <w:t xml:space="preserve"> </w:t>
      </w:r>
      <w:r w:rsidR="00EB6AE3" w:rsidRPr="00EB6AE3">
        <w:rPr>
          <w:rFonts w:ascii="Times New Roman" w:eastAsia="Calibri" w:hAnsi="Times New Roman" w:cs="Times New Roman"/>
          <w:b/>
          <w:bCs/>
        </w:rPr>
        <w:t>33140000-3 – materiały medyczne</w:t>
      </w:r>
      <w:r w:rsidRPr="008A6D67">
        <w:rPr>
          <w:rFonts w:ascii="Times New Roman" w:eastAsia="Calibri" w:hAnsi="Times New Roman" w:cs="Times New Roman"/>
          <w:b/>
          <w:bCs/>
        </w:rPr>
        <w:t>,</w:t>
      </w:r>
    </w:p>
    <w:p w14:paraId="6A336BD2" w14:textId="77777777" w:rsidR="008A6D67" w:rsidRPr="008A6D6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61D09EA0" w:rsidR="00EB3F95" w:rsidRPr="00EB6AE3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DA1A6A">
        <w:rPr>
          <w:rFonts w:ascii="Times New Roman" w:eastAsia="Calibri" w:hAnsi="Times New Roman" w:cs="Times New Roman"/>
        </w:rPr>
        <w:t>12</w:t>
      </w:r>
      <w:r w:rsidRPr="00EB6AE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0575A81F" w:rsidR="005D20B9" w:rsidRPr="00E35192" w:rsidRDefault="005D20B9" w:rsidP="00186292">
      <w:pPr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DA1A6A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910B14">
        <w:rPr>
          <w:rFonts w:ascii="Times New Roman" w:eastAsia="Times New Roman" w:hAnsi="Times New Roman" w:cs="Times New Roman"/>
          <w:lang w:eastAsia="ar-SA"/>
        </w:rPr>
        <w:t>36 miesięcy</w:t>
      </w:r>
      <w:r w:rsidR="00DA1A6A">
        <w:rPr>
          <w:rFonts w:ascii="Times New Roman" w:eastAsia="Times New Roman" w:hAnsi="Times New Roman" w:cs="Times New Roman"/>
          <w:lang w:eastAsia="ar-SA"/>
        </w:rPr>
        <w:t xml:space="preserve"> </w:t>
      </w:r>
      <w:r w:rsidR="00186292" w:rsidRPr="001862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556C7AB9" w14:textId="114D87A5" w:rsidR="00F3593A" w:rsidRPr="003D602F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29DA768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>mowa w art. 85 ust. 1 ustawy Pzp</w:t>
      </w:r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Pzp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lastRenderedPageBreak/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r>
        <w:rPr>
          <w:rFonts w:ascii="Times New Roman" w:eastAsia="Calibri" w:hAnsi="Times New Roman" w:cs="Times New Roman"/>
          <w:bCs/>
          <w:lang w:eastAsia="zh-CN"/>
        </w:rPr>
        <w:t>uPzp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</w:t>
      </w:r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lastRenderedPageBreak/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>wykluczenia wskazanych w art. 109 ust. 1 pkt 4 uPzp</w:t>
      </w:r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14:paraId="0E322D06" w14:textId="77777777" w:rsidR="005E3A89" w:rsidRPr="00852A4A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>e art. 125 ust. 1 uPzp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5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BA76C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lastRenderedPageBreak/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CE49443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 xml:space="preserve">Wykonawcy wspólnie ubiegający się o udzielenie zamówienia wskazują w formularzu oferty, które </w:t>
      </w:r>
      <w:r w:rsidR="0094633A">
        <w:rPr>
          <w:rFonts w:ascii="Times New Roman" w:eastAsia="Calibri" w:hAnsi="Times New Roman" w:cs="Times New Roman"/>
        </w:rPr>
        <w:t>dostawy</w:t>
      </w:r>
      <w:r w:rsidRPr="00EB1170">
        <w:rPr>
          <w:rFonts w:ascii="Times New Roman" w:eastAsia="Calibri" w:hAnsi="Times New Roman" w:cs="Times New Roman"/>
        </w:rPr>
        <w:t xml:space="preserve"> wykonają poszczególni wykonawcy.</w:t>
      </w:r>
    </w:p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6405A1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C97164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56E0E4D" w:rsidR="00F529F6" w:rsidRPr="004D7A65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4AF52CE2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BA76C5" w:rsidRPr="00B20ECD">
        <w:rPr>
          <w:rFonts w:ascii="Times New Roman" w:eastAsia="Calibri" w:hAnsi="Times New Roman" w:cs="Times New Roman"/>
        </w:rPr>
        <w:t xml:space="preserve">Monika </w:t>
      </w:r>
      <w:r w:rsidR="00BA76C5" w:rsidRPr="003D602F">
        <w:rPr>
          <w:rFonts w:ascii="Times New Roman" w:eastAsia="Calibri" w:hAnsi="Times New Roman" w:cs="Times New Roman"/>
        </w:rPr>
        <w:t>Wojciechowska</w:t>
      </w:r>
      <w:r w:rsidR="00AD4CF7" w:rsidRPr="00B20ECD">
        <w:rPr>
          <w:rFonts w:ascii="Times New Roman" w:eastAsia="Calibri" w:hAnsi="Times New Roman" w:cs="Times New Roman"/>
        </w:rPr>
        <w:t>.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7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8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20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4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5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6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7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30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</w:p>
    <w:p w14:paraId="416A1388" w14:textId="6FA9CACC" w:rsidR="008C3C4F" w:rsidRPr="0034550B" w:rsidRDefault="008C3C4F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  <w:bookmarkStart w:id="20" w:name="__RefHeading__76_381024118"/>
      <w:bookmarkEnd w:id="20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B20ECD" w:rsidRDefault="008C3C4F" w:rsidP="003F74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096CFC42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2717D">
        <w:rPr>
          <w:rFonts w:ascii="Times New Roman" w:eastAsia="Times New Roman" w:hAnsi="Times New Roman" w:cs="Times New Roman"/>
          <w:b/>
          <w:lang w:eastAsia="ar-SA"/>
        </w:rPr>
        <w:t>14</w:t>
      </w:r>
      <w:r w:rsidR="00D526F2">
        <w:rPr>
          <w:rFonts w:ascii="Times New Roman" w:eastAsia="Times New Roman" w:hAnsi="Times New Roman" w:cs="Times New Roman"/>
          <w:b/>
          <w:lang w:eastAsia="ar-SA"/>
        </w:rPr>
        <w:t>.02.2023</w:t>
      </w:r>
      <w:r w:rsidR="002D7E93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</w:t>
      </w:r>
      <w:r w:rsidRPr="00DB5909">
        <w:rPr>
          <w:rFonts w:ascii="Times New Roman" w:eastAsia="Times New Roman" w:hAnsi="Times New Roman" w:cs="Times New Roman"/>
          <w:lang w:eastAsia="ar-SA"/>
        </w:rPr>
        <w:lastRenderedPageBreak/>
        <w:t>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072D3E6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D065DE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bookmarkStart w:id="21" w:name="_GoBack"/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370893D8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4F23C3">
        <w:rPr>
          <w:rFonts w:ascii="Times New Roman" w:eastAsia="Times New Roman" w:hAnsi="Times New Roman" w:cs="Times New Roman"/>
          <w:b/>
          <w:lang w:eastAsia="ar-SA"/>
        </w:rPr>
        <w:t>.</w:t>
      </w:r>
    </w:p>
    <w:bookmarkEnd w:id="21"/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F96FD44" w14:textId="77777777" w:rsidR="0059706C" w:rsidRDefault="0059706C" w:rsidP="0059706C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497F2460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1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F2717D">
        <w:rPr>
          <w:rFonts w:ascii="Times New Roman" w:eastAsia="Calibri" w:hAnsi="Times New Roman" w:cs="Times New Roman"/>
          <w:b/>
          <w:color w:val="000000"/>
          <w:lang w:eastAsia="pl-PL"/>
        </w:rPr>
        <w:t>17</w:t>
      </w:r>
      <w:r w:rsidR="00D526F2">
        <w:rPr>
          <w:rFonts w:ascii="Times New Roman" w:eastAsia="Calibri" w:hAnsi="Times New Roman" w:cs="Times New Roman"/>
          <w:b/>
          <w:color w:val="000000"/>
          <w:lang w:eastAsia="pl-PL"/>
        </w:rPr>
        <w:t>.11</w:t>
      </w:r>
      <w:r w:rsidR="00BC08EA">
        <w:rPr>
          <w:rFonts w:ascii="Times New Roman" w:eastAsia="Calibri" w:hAnsi="Times New Roman" w:cs="Times New Roman"/>
          <w:b/>
          <w:color w:val="000000"/>
          <w:lang w:eastAsia="pl-PL"/>
        </w:rPr>
        <w:t>.2022</w:t>
      </w:r>
      <w:r w:rsidR="00D9562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godz. 09:00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4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67E0F99D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F2717D">
        <w:rPr>
          <w:rFonts w:ascii="Times New Roman" w:hAnsi="Times New Roman" w:cs="Times New Roman"/>
          <w:b/>
        </w:rPr>
        <w:t>17</w:t>
      </w:r>
      <w:r w:rsidR="00D526F2">
        <w:rPr>
          <w:rFonts w:ascii="Times New Roman" w:hAnsi="Times New Roman" w:cs="Times New Roman"/>
          <w:b/>
        </w:rPr>
        <w:t>.11</w:t>
      </w:r>
      <w:r w:rsidR="0096689F" w:rsidRPr="005001D6">
        <w:rPr>
          <w:rFonts w:ascii="Times New Roman" w:hAnsi="Times New Roman" w:cs="Times New Roman"/>
          <w:b/>
        </w:rPr>
        <w:t>.202</w:t>
      </w:r>
      <w:r w:rsidR="00BC08EA">
        <w:rPr>
          <w:rFonts w:ascii="Times New Roman" w:hAnsi="Times New Roman" w:cs="Times New Roman"/>
          <w:b/>
        </w:rPr>
        <w:t>2</w:t>
      </w:r>
      <w:r w:rsidR="002B1DDD">
        <w:rPr>
          <w:rFonts w:ascii="Times New Roman" w:hAnsi="Times New Roman" w:cs="Times New Roman"/>
          <w:b/>
        </w:rPr>
        <w:t xml:space="preserve"> r.</w:t>
      </w:r>
      <w:r w:rsidRPr="005001D6">
        <w:rPr>
          <w:rFonts w:ascii="Times New Roman" w:hAnsi="Times New Roman" w:cs="Times New Roman"/>
          <w:b/>
        </w:rPr>
        <w:t xml:space="preserve">, o godzinie </w:t>
      </w:r>
      <w:r w:rsidR="001C5C4B">
        <w:rPr>
          <w:rFonts w:ascii="Times New Roman" w:hAnsi="Times New Roman" w:cs="Times New Roman"/>
          <w:b/>
        </w:rPr>
        <w:t>09:15</w:t>
      </w:r>
      <w:r w:rsidRPr="005001D6">
        <w:rPr>
          <w:rFonts w:ascii="Times New Roman" w:hAnsi="Times New Roman" w:cs="Times New Roman"/>
          <w:b/>
          <w:bCs/>
        </w:rPr>
        <w:t xml:space="preserve">.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5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lastRenderedPageBreak/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6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3CC644B5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C5C4B">
        <w:rPr>
          <w:rFonts w:ascii="Times New Roman" w:eastAsia="Calibri" w:hAnsi="Times New Roman" w:cs="Times New Roman"/>
        </w:rPr>
        <w:t>a</w:t>
      </w:r>
      <w:r w:rsidR="00D526F2">
        <w:rPr>
          <w:rFonts w:ascii="Times New Roman" w:eastAsia="Calibri" w:hAnsi="Times New Roman" w:cs="Times New Roman"/>
        </w:rPr>
        <w:t>nowiących załączniki nr 1.1-1.12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3B992193" w:rsidR="00606A38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§12 ust.1 pkt 2-4</w:t>
      </w:r>
    </w:p>
    <w:p w14:paraId="59C80E64" w14:textId="77777777" w:rsidR="00F15639" w:rsidRPr="008A0F6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248A4E4D" w14:textId="77777777" w:rsidR="00DC7F2F" w:rsidRPr="00362445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5C126A69" w14:textId="77777777" w:rsidR="00465D6C" w:rsidRPr="00465D6C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465D6C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100%</w:t>
      </w: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465D6C" w:rsidRDefault="00465D6C" w:rsidP="00465D6C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EB46DA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Najniższa oferowana cena</w:t>
      </w:r>
    </w:p>
    <w:p w14:paraId="4AE08021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badanej oferty</w:t>
      </w:r>
    </w:p>
    <w:p w14:paraId="200DB8B9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lastRenderedPageBreak/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lastRenderedPageBreak/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2" w:name="__RefHeading__86_381024118"/>
      <w:bookmarkEnd w:id="22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Glubiak kontakt: </w:t>
      </w:r>
      <w:hyperlink r:id="rId37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130F7AB8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Szp/F</w:t>
      </w:r>
      <w:r w:rsidR="00E9779D">
        <w:rPr>
          <w:rFonts w:ascii="Times New Roman" w:eastAsia="Calibri" w:hAnsi="Times New Roman" w:cs="Times New Roman"/>
          <w:b/>
          <w:color w:val="000000"/>
        </w:rPr>
        <w:t>Z-</w:t>
      </w:r>
      <w:r w:rsidR="00217294">
        <w:rPr>
          <w:rFonts w:ascii="Times New Roman" w:eastAsia="Calibri" w:hAnsi="Times New Roman" w:cs="Times New Roman"/>
          <w:b/>
          <w:color w:val="000000"/>
        </w:rPr>
        <w:t>290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EB3F95">
        <w:rPr>
          <w:rFonts w:ascii="Times New Roman" w:eastAsia="Calibri" w:hAnsi="Times New Roman" w:cs="Times New Roman"/>
          <w:b/>
          <w:color w:val="000000"/>
        </w:rPr>
        <w:t>2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lastRenderedPageBreak/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7D1534F5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 i zał. 2A wzór faktury elektronicznej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4E5FBDB6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</w:t>
      </w:r>
      <w:r w:rsidR="001C5C4B"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– 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oświadczenie sankcje</w:t>
      </w:r>
    </w:p>
    <w:p w14:paraId="64DA75FC" w14:textId="77777777" w:rsidR="00D4463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u w:val="single"/>
        </w:rPr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8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1C131F" w:rsidRDefault="001C131F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1C131F" w:rsidRDefault="001C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444DC4D3" w:rsidR="001C131F" w:rsidRPr="00851403" w:rsidRDefault="001C131F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Szp/ZP-290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15AB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11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15AB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1C131F" w:rsidRDefault="001C131F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1C131F" w:rsidRDefault="001C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3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CB7E79"/>
    <w:multiLevelType w:val="hybridMultilevel"/>
    <w:tmpl w:val="EFF06D0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5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9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8"/>
  </w:num>
  <w:num w:numId="4">
    <w:abstractNumId w:val="39"/>
  </w:num>
  <w:num w:numId="5">
    <w:abstractNumId w:val="1"/>
  </w:num>
  <w:num w:numId="6">
    <w:abstractNumId w:val="54"/>
  </w:num>
  <w:num w:numId="7">
    <w:abstractNumId w:val="46"/>
  </w:num>
  <w:num w:numId="8">
    <w:abstractNumId w:val="45"/>
  </w:num>
  <w:num w:numId="9">
    <w:abstractNumId w:val="50"/>
  </w:num>
  <w:num w:numId="10">
    <w:abstractNumId w:val="29"/>
  </w:num>
  <w:num w:numId="11">
    <w:abstractNumId w:val="28"/>
  </w:num>
  <w:num w:numId="12">
    <w:abstractNumId w:val="30"/>
  </w:num>
  <w:num w:numId="13">
    <w:abstractNumId w:val="8"/>
  </w:num>
  <w:num w:numId="14">
    <w:abstractNumId w:val="7"/>
  </w:num>
  <w:num w:numId="15">
    <w:abstractNumId w:val="10"/>
  </w:num>
  <w:num w:numId="16">
    <w:abstractNumId w:val="32"/>
  </w:num>
  <w:num w:numId="17">
    <w:abstractNumId w:val="43"/>
  </w:num>
  <w:num w:numId="18">
    <w:abstractNumId w:val="53"/>
  </w:num>
  <w:num w:numId="19">
    <w:abstractNumId w:val="27"/>
  </w:num>
  <w:num w:numId="20">
    <w:abstractNumId w:val="33"/>
  </w:num>
  <w:num w:numId="21">
    <w:abstractNumId w:val="47"/>
  </w:num>
  <w:num w:numId="22">
    <w:abstractNumId w:val="3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42"/>
  </w:num>
  <w:num w:numId="32">
    <w:abstractNumId w:val="15"/>
  </w:num>
  <w:num w:numId="33">
    <w:abstractNumId w:val="34"/>
  </w:num>
  <w:num w:numId="34">
    <w:abstractNumId w:val="14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0"/>
  </w:num>
  <w:num w:numId="39">
    <w:abstractNumId w:val="17"/>
  </w:num>
  <w:num w:numId="40">
    <w:abstractNumId w:val="41"/>
  </w:num>
  <w:num w:numId="41">
    <w:abstractNumId w:val="57"/>
  </w:num>
  <w:num w:numId="42">
    <w:abstractNumId w:val="20"/>
  </w:num>
  <w:num w:numId="43">
    <w:abstractNumId w:val="18"/>
  </w:num>
  <w:num w:numId="44">
    <w:abstractNumId w:val="58"/>
  </w:num>
  <w:num w:numId="45">
    <w:abstractNumId w:val="48"/>
  </w:num>
  <w:num w:numId="46">
    <w:abstractNumId w:val="59"/>
  </w:num>
  <w:num w:numId="47">
    <w:abstractNumId w:val="25"/>
  </w:num>
  <w:num w:numId="48">
    <w:abstractNumId w:val="5"/>
  </w:num>
  <w:num w:numId="49">
    <w:abstractNumId w:val="2"/>
  </w:num>
  <w:num w:numId="50">
    <w:abstractNumId w:val="6"/>
  </w:num>
  <w:num w:numId="51">
    <w:abstractNumId w:val="19"/>
  </w:num>
  <w:num w:numId="52">
    <w:abstractNumId w:val="40"/>
  </w:num>
  <w:num w:numId="53">
    <w:abstractNumId w:val="13"/>
  </w:num>
  <w:num w:numId="54">
    <w:abstractNumId w:val="37"/>
  </w:num>
  <w:num w:numId="55">
    <w:abstractNumId w:val="12"/>
  </w:num>
  <w:num w:numId="56">
    <w:abstractNumId w:val="55"/>
  </w:num>
  <w:num w:numId="57">
    <w:abstractNumId w:val="56"/>
  </w:num>
  <w:num w:numId="58">
    <w:abstractNumId w:val="24"/>
  </w:num>
  <w:num w:numId="59">
    <w:abstractNumId w:val="51"/>
  </w:num>
  <w:num w:numId="60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DE"/>
    <w:rsid w:val="00183D5F"/>
    <w:rsid w:val="00185CE6"/>
    <w:rsid w:val="00186292"/>
    <w:rsid w:val="00190CC0"/>
    <w:rsid w:val="001A4954"/>
    <w:rsid w:val="001A611B"/>
    <w:rsid w:val="001A61F3"/>
    <w:rsid w:val="001B6357"/>
    <w:rsid w:val="001B7055"/>
    <w:rsid w:val="001B705E"/>
    <w:rsid w:val="001C131F"/>
    <w:rsid w:val="001C4385"/>
    <w:rsid w:val="001C5C4B"/>
    <w:rsid w:val="001D1278"/>
    <w:rsid w:val="001D5C19"/>
    <w:rsid w:val="001D7CD9"/>
    <w:rsid w:val="001E0167"/>
    <w:rsid w:val="001E18F8"/>
    <w:rsid w:val="001E321C"/>
    <w:rsid w:val="001E6ADE"/>
    <w:rsid w:val="001E7DF7"/>
    <w:rsid w:val="001F06DE"/>
    <w:rsid w:val="001F6A3A"/>
    <w:rsid w:val="00201FE7"/>
    <w:rsid w:val="002024B1"/>
    <w:rsid w:val="00204674"/>
    <w:rsid w:val="0020685C"/>
    <w:rsid w:val="0020751C"/>
    <w:rsid w:val="002101C4"/>
    <w:rsid w:val="00215ABC"/>
    <w:rsid w:val="0021729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9BA"/>
    <w:rsid w:val="00273A1B"/>
    <w:rsid w:val="002742ED"/>
    <w:rsid w:val="0028681B"/>
    <w:rsid w:val="0029072D"/>
    <w:rsid w:val="00290A80"/>
    <w:rsid w:val="002939FE"/>
    <w:rsid w:val="0029494B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6A4D"/>
    <w:rsid w:val="002D6FE5"/>
    <w:rsid w:val="002D7E93"/>
    <w:rsid w:val="002E4367"/>
    <w:rsid w:val="002E4FCD"/>
    <w:rsid w:val="002E5D6E"/>
    <w:rsid w:val="002F542A"/>
    <w:rsid w:val="002F5B6E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0B96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5489C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1362"/>
    <w:rsid w:val="00434431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2433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34CAB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B7E08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67A31"/>
    <w:rsid w:val="0077151C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2107C"/>
    <w:rsid w:val="008211AA"/>
    <w:rsid w:val="00827BCF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814C6"/>
    <w:rsid w:val="00891286"/>
    <w:rsid w:val="008A00F6"/>
    <w:rsid w:val="008A0F6A"/>
    <w:rsid w:val="008A28DE"/>
    <w:rsid w:val="008A4E79"/>
    <w:rsid w:val="008A6BC3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0B14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4633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642D"/>
    <w:rsid w:val="00A110DA"/>
    <w:rsid w:val="00A114FA"/>
    <w:rsid w:val="00A1417A"/>
    <w:rsid w:val="00A16E58"/>
    <w:rsid w:val="00A2625B"/>
    <w:rsid w:val="00A30104"/>
    <w:rsid w:val="00A36A35"/>
    <w:rsid w:val="00A4152A"/>
    <w:rsid w:val="00A4321C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23960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F03"/>
    <w:rsid w:val="00C11DC1"/>
    <w:rsid w:val="00C14488"/>
    <w:rsid w:val="00C15AA1"/>
    <w:rsid w:val="00C15F8E"/>
    <w:rsid w:val="00C30597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7003"/>
    <w:rsid w:val="00C90E95"/>
    <w:rsid w:val="00C93B97"/>
    <w:rsid w:val="00C94255"/>
    <w:rsid w:val="00C94322"/>
    <w:rsid w:val="00C97164"/>
    <w:rsid w:val="00CB071E"/>
    <w:rsid w:val="00CB15C1"/>
    <w:rsid w:val="00CB7ED8"/>
    <w:rsid w:val="00CC0034"/>
    <w:rsid w:val="00CC1B02"/>
    <w:rsid w:val="00CD4EF9"/>
    <w:rsid w:val="00CD70F7"/>
    <w:rsid w:val="00CF1278"/>
    <w:rsid w:val="00D00696"/>
    <w:rsid w:val="00D00A33"/>
    <w:rsid w:val="00D044BA"/>
    <w:rsid w:val="00D05987"/>
    <w:rsid w:val="00D065DE"/>
    <w:rsid w:val="00D06B3C"/>
    <w:rsid w:val="00D16353"/>
    <w:rsid w:val="00D21EDD"/>
    <w:rsid w:val="00D2258A"/>
    <w:rsid w:val="00D22E84"/>
    <w:rsid w:val="00D2450B"/>
    <w:rsid w:val="00D3073D"/>
    <w:rsid w:val="00D33FED"/>
    <w:rsid w:val="00D44630"/>
    <w:rsid w:val="00D462F2"/>
    <w:rsid w:val="00D51354"/>
    <w:rsid w:val="00D516B6"/>
    <w:rsid w:val="00D526F2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1A6A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32858"/>
    <w:rsid w:val="00E35192"/>
    <w:rsid w:val="00E40B86"/>
    <w:rsid w:val="00E42FCA"/>
    <w:rsid w:val="00E55712"/>
    <w:rsid w:val="00E56EF6"/>
    <w:rsid w:val="00E57E44"/>
    <w:rsid w:val="00E7117F"/>
    <w:rsid w:val="00E74087"/>
    <w:rsid w:val="00E754F7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08E5"/>
    <w:rsid w:val="00EE2E9E"/>
    <w:rsid w:val="00EE3567"/>
    <w:rsid w:val="00EE3D86"/>
    <w:rsid w:val="00EF19D8"/>
    <w:rsid w:val="00EF3654"/>
    <w:rsid w:val="00F0442B"/>
    <w:rsid w:val="00F044B4"/>
    <w:rsid w:val="00F069E5"/>
    <w:rsid w:val="00F07B0A"/>
    <w:rsid w:val="00F15639"/>
    <w:rsid w:val="00F23572"/>
    <w:rsid w:val="00F2717D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209E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zp@wssk.wroc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o@wssk.wroc.p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pn/wssk_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895B68-9A2F-47CA-8EE8-B2AF6F1F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19</Pages>
  <Words>9317</Words>
  <Characters>55908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30</cp:revision>
  <cp:lastPrinted>2022-10-12T09:52:00Z</cp:lastPrinted>
  <dcterms:created xsi:type="dcterms:W3CDTF">2022-03-24T13:22:00Z</dcterms:created>
  <dcterms:modified xsi:type="dcterms:W3CDTF">2022-10-12T09:52:00Z</dcterms:modified>
</cp:coreProperties>
</file>