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pacing w:lineRule="auto" w:line="276"/>
        <w:jc w:val="both"/>
        <w:rPr>
          <w:rFonts w:ascii="Titillium" w:hAnsi="Titillium"/>
        </w:rPr>
      </w:pPr>
      <w:r>
        <w:rPr>
          <w:rFonts w:ascii="Titillium" w:hAnsi="Titillium"/>
          <w:bCs/>
          <w:color w:val="000000"/>
          <w:sz w:val="22"/>
          <w:szCs w:val="22"/>
        </w:rPr>
        <w:t>BP.271.0000</w:t>
      </w:r>
      <w:r>
        <w:rPr>
          <w:rFonts w:ascii="Titillium" w:hAnsi="Titillium"/>
          <w:bCs/>
          <w:strike w:val="false"/>
          <w:dstrike w:val="false"/>
          <w:color w:val="000000"/>
          <w:sz w:val="22"/>
          <w:szCs w:val="22"/>
        </w:rPr>
        <w:t>11</w:t>
      </w:r>
      <w:r>
        <w:rPr>
          <w:rFonts w:ascii="Titillium" w:hAnsi="Titillium"/>
          <w:bCs/>
          <w:color w:val="000000"/>
          <w:sz w:val="22"/>
          <w:szCs w:val="22"/>
        </w:rPr>
        <w:t>.2024</w:t>
      </w:r>
    </w:p>
    <w:p>
      <w:pPr>
        <w:pStyle w:val="Zawartotabeli"/>
        <w:tabs>
          <w:tab w:val="clear" w:pos="720"/>
          <w:tab w:val="left" w:pos="360" w:leader="none"/>
          <w:tab w:val="left" w:pos="540" w:leader="none"/>
          <w:tab w:val="left" w:pos="900" w:leader="none"/>
        </w:tabs>
        <w:spacing w:lineRule="auto" w:line="276"/>
        <w:jc w:val="both"/>
        <w:rPr>
          <w:rFonts w:ascii="Titillium" w:hAnsi="Titillium"/>
        </w:rPr>
      </w:pPr>
      <w:r>
        <w:rPr>
          <w:rFonts w:ascii="Titillium" w:hAnsi="Titillium"/>
          <w:bCs/>
          <w:color w:val="000000"/>
          <w:sz w:val="22"/>
          <w:szCs w:val="22"/>
        </w:rPr>
        <w:t>BP.ZD.000183.2024</w:t>
      </w:r>
    </w:p>
    <w:p>
      <w:pPr>
        <w:pStyle w:val="Zawartotabeli"/>
        <w:tabs>
          <w:tab w:val="clear" w:pos="720"/>
          <w:tab w:val="left" w:pos="360" w:leader="none"/>
          <w:tab w:val="left" w:pos="540" w:leader="none"/>
          <w:tab w:val="left" w:pos="900" w:leader="none"/>
        </w:tabs>
        <w:spacing w:lineRule="auto" w:line="276"/>
        <w:jc w:val="both"/>
        <w:rPr>
          <w:rFonts w:ascii="Titillium" w:hAnsi="Titillium"/>
          <w:color w:val="000000"/>
          <w:sz w:val="16"/>
          <w:szCs w:val="16"/>
        </w:rPr>
      </w:pPr>
      <w:r>
        <w:rPr>
          <w:rFonts w:ascii="Titillium" w:hAnsi="Titillium"/>
          <w:color w:val="000000"/>
          <w:sz w:val="16"/>
          <w:szCs w:val="16"/>
        </w:rPr>
      </w:r>
    </w:p>
    <w:p>
      <w:pPr>
        <w:pStyle w:val="Zawartotabeli"/>
        <w:tabs>
          <w:tab w:val="clear" w:pos="720"/>
          <w:tab w:val="left" w:pos="360" w:leader="none"/>
          <w:tab w:val="left" w:pos="540" w:leader="none"/>
          <w:tab w:val="left" w:pos="900" w:leader="none"/>
        </w:tabs>
        <w:spacing w:lineRule="auto" w:line="276"/>
        <w:jc w:val="both"/>
        <w:rPr>
          <w:rFonts w:ascii="Titillium" w:hAnsi="Titillium"/>
          <w:color w:val="000000"/>
          <w:sz w:val="16"/>
          <w:szCs w:val="16"/>
        </w:rPr>
      </w:pPr>
      <w:r>
        <w:rPr>
          <w:rFonts w:ascii="Titillium" w:hAnsi="Titillium"/>
          <w:color w:val="000000"/>
          <w:sz w:val="16"/>
          <w:szCs w:val="16"/>
        </w:rPr>
      </w:r>
    </w:p>
    <w:p>
      <w:pPr>
        <w:pStyle w:val="Zawartotabeli"/>
        <w:tabs>
          <w:tab w:val="clear" w:pos="720"/>
          <w:tab w:val="left" w:pos="360" w:leader="none"/>
          <w:tab w:val="left" w:pos="540" w:leader="none"/>
          <w:tab w:val="left" w:pos="900" w:leader="none"/>
        </w:tabs>
        <w:spacing w:lineRule="auto" w:line="276"/>
        <w:jc w:val="both"/>
        <w:rPr>
          <w:rFonts w:ascii="Titillium" w:hAnsi="Titillium"/>
          <w:color w:val="000000"/>
          <w:sz w:val="16"/>
          <w:szCs w:val="16"/>
        </w:rPr>
      </w:pPr>
      <w:r>
        <w:rPr>
          <w:rFonts w:ascii="Titillium" w:hAnsi="Titillium"/>
          <w:color w:val="000000"/>
          <w:sz w:val="16"/>
          <w:szCs w:val="16"/>
        </w:rPr>
      </w:r>
    </w:p>
    <w:p>
      <w:pPr>
        <w:pStyle w:val="Zawartotabeli"/>
        <w:tabs>
          <w:tab w:val="clear" w:pos="720"/>
          <w:tab w:val="left" w:pos="360" w:leader="none"/>
          <w:tab w:val="left" w:pos="540" w:leader="none"/>
          <w:tab w:val="left" w:pos="900" w:leader="none"/>
        </w:tabs>
        <w:spacing w:lineRule="auto" w:line="276"/>
        <w:jc w:val="both"/>
        <w:rPr>
          <w:rFonts w:ascii="Titillium" w:hAnsi="Titillium"/>
          <w:color w:val="000000"/>
          <w:sz w:val="16"/>
          <w:szCs w:val="16"/>
        </w:rPr>
      </w:pPr>
      <w:r>
        <w:rPr>
          <w:rFonts w:ascii="Titillium" w:hAnsi="Titillium"/>
          <w:color w:val="000000"/>
          <w:sz w:val="16"/>
          <w:szCs w:val="16"/>
        </w:rPr>
      </w:r>
    </w:p>
    <w:p>
      <w:pPr>
        <w:pStyle w:val="Zawartotabeli"/>
        <w:tabs>
          <w:tab w:val="clear" w:pos="720"/>
          <w:tab w:val="left" w:pos="360" w:leader="none"/>
          <w:tab w:val="left" w:pos="540" w:leader="none"/>
          <w:tab w:val="left" w:pos="900" w:leader="none"/>
        </w:tabs>
        <w:spacing w:lineRule="auto" w:line="276"/>
        <w:jc w:val="both"/>
        <w:rPr>
          <w:rFonts w:ascii="Titillium" w:hAnsi="Titillium"/>
          <w:color w:val="000000"/>
          <w:sz w:val="16"/>
          <w:szCs w:val="16"/>
        </w:rPr>
      </w:pPr>
      <w:r>
        <w:rPr>
          <w:rFonts w:ascii="Titillium" w:hAnsi="Titillium"/>
          <w:color w:val="000000"/>
          <w:sz w:val="16"/>
          <w:szCs w:val="16"/>
        </w:rPr>
      </w:r>
    </w:p>
    <w:p>
      <w:pPr>
        <w:pStyle w:val="Standard"/>
        <w:spacing w:lineRule="auto" w:line="276"/>
        <w:jc w:val="both"/>
        <w:rPr>
          <w:rFonts w:ascii="Titillium" w:hAnsi="Titillium"/>
        </w:rPr>
      </w:pPr>
      <w:r>
        <w:rPr>
          <w:rFonts w:ascii="Titillium" w:hAnsi="Titillium"/>
        </w:rPr>
        <w:tab/>
        <w:tab/>
      </w:r>
    </w:p>
    <w:p>
      <w:pPr>
        <w:pStyle w:val="Textbody"/>
        <w:spacing w:lineRule="auto" w:line="276"/>
        <w:jc w:val="center"/>
        <w:rPr>
          <w:rFonts w:ascii="Titillium" w:hAnsi="Titillium"/>
        </w:rPr>
      </w:pPr>
      <w:r>
        <w:rPr>
          <w:rFonts w:ascii="Titillium" w:hAnsi="Titillium"/>
          <w:b/>
          <w:sz w:val="30"/>
          <w:szCs w:val="30"/>
          <w14:shadow w14:blurRad="0" w14:dist="17843" w14:dir="2700000" w14:sx="100000" w14:sy="100000" w14:kx="0" w14:ky="0" w14:algn="b">
            <w14:srgbClr w14:val="000000"/>
          </w14:shadow>
        </w:rPr>
        <w:t>SPECYFIKACJA</w:t>
      </w:r>
    </w:p>
    <w:p>
      <w:pPr>
        <w:pStyle w:val="Textbody"/>
        <w:spacing w:lineRule="auto" w:line="276"/>
        <w:jc w:val="center"/>
        <w:rPr>
          <w:rFonts w:ascii="Titillium" w:hAnsi="Titillium"/>
        </w:rPr>
      </w:pPr>
      <w:r>
        <w:rPr>
          <w:rFonts w:ascii="Titillium" w:hAnsi="Titillium"/>
          <w:b/>
          <w:sz w:val="30"/>
          <w:szCs w:val="30"/>
          <w14:shadow w14:blurRad="0" w14:dist="17843" w14:dir="2700000" w14:sx="100000" w14:sy="100000" w14:kx="0" w14:ky="0" w14:algn="b">
            <w14:srgbClr w14:val="000000"/>
          </w14:shadow>
        </w:rPr>
        <w:t>WARUNKÓW ZAMÓWIENIA</w:t>
      </w:r>
    </w:p>
    <w:p>
      <w:pPr>
        <w:pStyle w:val="BodyText2"/>
        <w:spacing w:lineRule="auto" w:line="276" w:before="0" w:after="0"/>
        <w:jc w:val="center"/>
        <w:rPr>
          <w:rFonts w:ascii="Titillium" w:hAnsi="Titillium"/>
          <w:b/>
          <w:i/>
          <w:i/>
          <w:sz w:val="30"/>
          <w:szCs w:val="30"/>
        </w:rPr>
      </w:pPr>
      <w:r>
        <w:rPr>
          <w:rFonts w:ascii="Titillium" w:hAnsi="Titillium"/>
          <w:b/>
          <w:i/>
          <w:sz w:val="30"/>
          <w:szCs w:val="30"/>
        </w:rPr>
      </w:r>
    </w:p>
    <w:p>
      <w:pPr>
        <w:pStyle w:val="BodyText2"/>
        <w:spacing w:lineRule="auto" w:line="276" w:before="0" w:after="0"/>
        <w:jc w:val="center"/>
        <w:rPr>
          <w:rFonts w:ascii="Titillium" w:hAnsi="Titillium"/>
        </w:rPr>
      </w:pPr>
      <w:r>
        <w:rPr>
          <w:rFonts w:cs="Verdana" w:ascii="Titillium" w:hAnsi="Titillium"/>
          <w:b/>
          <w:bCs/>
          <w:color w:val="000000"/>
          <w:sz w:val="30"/>
          <w:szCs w:val="30"/>
        </w:rPr>
        <w:t xml:space="preserve">Postępowanie prowadzone w trybie podstawowym </w:t>
      </w:r>
    </w:p>
    <w:p>
      <w:pPr>
        <w:pStyle w:val="BodyText2"/>
        <w:spacing w:lineRule="auto" w:line="276" w:before="0" w:after="0"/>
        <w:jc w:val="center"/>
        <w:rPr>
          <w:rFonts w:ascii="Titillium" w:hAnsi="Titillium"/>
        </w:rPr>
      </w:pPr>
      <w:r>
        <w:rPr>
          <w:rFonts w:cs="Verdana" w:ascii="Titillium" w:hAnsi="Titillium"/>
          <w:b/>
          <w:bCs/>
          <w:color w:val="000000"/>
          <w:sz w:val="30"/>
          <w:szCs w:val="30"/>
        </w:rPr>
        <w:t xml:space="preserve">w wariancie bez negocjacji </w:t>
      </w:r>
    </w:p>
    <w:p>
      <w:pPr>
        <w:pStyle w:val="BodyText2"/>
        <w:spacing w:lineRule="auto" w:line="276" w:before="0" w:after="0"/>
        <w:jc w:val="center"/>
        <w:rPr>
          <w:rFonts w:ascii="Titillium" w:hAnsi="Titillium"/>
        </w:rPr>
      </w:pPr>
      <w:r>
        <w:rPr>
          <w:rFonts w:cs="Verdana" w:ascii="Titillium" w:hAnsi="Titillium"/>
          <w:b/>
          <w:bCs/>
          <w:color w:val="000000"/>
          <w:sz w:val="30"/>
          <w:szCs w:val="30"/>
        </w:rPr>
        <w:t>(art. 275 pkt 1 ustawy Prawo zamówień publicznych)</w:t>
      </w:r>
    </w:p>
    <w:p>
      <w:pPr>
        <w:pStyle w:val="BodyText2"/>
        <w:spacing w:lineRule="auto" w:line="276" w:before="0" w:after="0"/>
        <w:jc w:val="center"/>
        <w:rPr>
          <w:rFonts w:ascii="Titillium" w:hAnsi="Titillium"/>
        </w:rPr>
      </w:pPr>
      <w:r>
        <w:rPr>
          <w:rFonts w:ascii="Titillium" w:hAnsi="Titillium"/>
          <w:b/>
          <w:bCs/>
          <w:sz w:val="30"/>
          <w:szCs w:val="30"/>
        </w:rPr>
        <w:t xml:space="preserve"> </w:t>
      </w:r>
      <w:r>
        <w:rPr>
          <w:rFonts w:ascii="Titillium" w:hAnsi="Titillium"/>
          <w:b/>
          <w:bCs/>
          <w:sz w:val="30"/>
          <w:szCs w:val="30"/>
        </w:rPr>
        <w:t>dla zadania pod nazwą:</w:t>
      </w:r>
    </w:p>
    <w:p>
      <w:pPr>
        <w:pStyle w:val="Standard"/>
        <w:spacing w:lineRule="auto" w:line="276"/>
        <w:jc w:val="center"/>
        <w:rPr>
          <w:rFonts w:ascii="Titillium" w:hAnsi="Titillium"/>
        </w:rPr>
      </w:pPr>
      <w:bookmarkStart w:id="0" w:name="_Hlk162437537"/>
      <w:r>
        <w:rPr>
          <w:rFonts w:ascii="Titillium" w:hAnsi="Titillium"/>
          <w:b/>
          <w:bCs/>
          <w:sz w:val="30"/>
          <w:szCs w:val="30"/>
        </w:rPr>
        <w:t xml:space="preserve">"Modernizacja </w:t>
      </w:r>
      <w:bookmarkEnd w:id="0"/>
      <w:r>
        <w:rPr>
          <w:rFonts w:ascii="Titillium" w:hAnsi="Titillium"/>
          <w:b/>
          <w:bCs/>
          <w:sz w:val="30"/>
          <w:szCs w:val="30"/>
        </w:rPr>
        <w:t xml:space="preserve"> ul. Niewiadomskiej </w:t>
      </w:r>
    </w:p>
    <w:p>
      <w:pPr>
        <w:pStyle w:val="Standard"/>
        <w:spacing w:lineRule="auto" w:line="276"/>
        <w:jc w:val="center"/>
        <w:rPr>
          <w:rFonts w:ascii="Titillium" w:hAnsi="Titillium"/>
        </w:rPr>
      </w:pPr>
      <w:r>
        <w:rPr>
          <w:rFonts w:ascii="Titillium" w:hAnsi="Titillium"/>
          <w:b/>
          <w:bCs/>
          <w:sz w:val="30"/>
          <w:szCs w:val="30"/>
        </w:rPr>
        <w:t>i Osiedla na Wzgórzu w Rydułtowach”</w:t>
      </w:r>
    </w:p>
    <w:p>
      <w:pPr>
        <w:pStyle w:val="BodyText2"/>
        <w:spacing w:lineRule="auto" w:line="276" w:before="0" w:after="0"/>
        <w:jc w:val="center"/>
        <w:rPr>
          <w:rFonts w:ascii="Titillium" w:hAnsi="Titillium" w:cs="Verdana"/>
          <w:b/>
          <w:bCs/>
          <w:color w:val="000000"/>
          <w:sz w:val="30"/>
          <w:szCs w:val="30"/>
        </w:rPr>
      </w:pPr>
      <w:r>
        <w:rPr>
          <w:rFonts w:cs="Verdana" w:ascii="Titillium" w:hAnsi="Titillium"/>
          <w:b/>
          <w:bCs/>
          <w:color w:val="000000"/>
          <w:sz w:val="30"/>
          <w:szCs w:val="30"/>
        </w:rPr>
      </w:r>
    </w:p>
    <w:p>
      <w:pPr>
        <w:pStyle w:val="Standard"/>
        <w:spacing w:lineRule="auto" w:line="276"/>
        <w:jc w:val="both"/>
        <w:rPr>
          <w:rFonts w:ascii="Titillium" w:hAnsi="Titillium"/>
          <w:sz w:val="26"/>
          <w:szCs w:val="26"/>
        </w:rPr>
      </w:pPr>
      <w:r>
        <w:rPr>
          <w:rFonts w:ascii="Titillium" w:hAnsi="Titillium"/>
          <w:sz w:val="26"/>
          <w:szCs w:val="26"/>
        </w:rPr>
      </w:r>
    </w:p>
    <w:p>
      <w:pPr>
        <w:pStyle w:val="Standard"/>
        <w:spacing w:lineRule="auto" w:line="276"/>
        <w:jc w:val="both"/>
        <w:rPr>
          <w:rFonts w:ascii="Titillium" w:hAnsi="Titillium"/>
          <w:sz w:val="26"/>
          <w:szCs w:val="26"/>
        </w:rPr>
      </w:pPr>
      <w:r>
        <w:rPr>
          <w:rFonts w:ascii="Titillium" w:hAnsi="Titillium"/>
          <w:sz w:val="26"/>
          <w:szCs w:val="26"/>
        </w:rPr>
      </w:r>
    </w:p>
    <w:p>
      <w:pPr>
        <w:pStyle w:val="Standard"/>
        <w:spacing w:lineRule="auto" w:line="276"/>
        <w:jc w:val="both"/>
        <w:rPr>
          <w:rFonts w:ascii="Titillium" w:hAnsi="Titillium"/>
          <w:sz w:val="26"/>
          <w:szCs w:val="26"/>
        </w:rPr>
      </w:pPr>
      <w:r>
        <w:rPr>
          <w:rFonts w:ascii="Titillium" w:hAnsi="Titillium"/>
          <w:sz w:val="26"/>
          <w:szCs w:val="26"/>
        </w:rPr>
      </w:r>
    </w:p>
    <w:p>
      <w:pPr>
        <w:pStyle w:val="Standard"/>
        <w:spacing w:lineRule="auto" w:line="276"/>
        <w:ind w:left="4989"/>
        <w:jc w:val="both"/>
        <w:rPr>
          <w:rFonts w:ascii="Titillium" w:hAnsi="Titillium"/>
        </w:rPr>
      </w:pPr>
      <w:r>
        <w:rPr>
          <w:rFonts w:ascii="Titillium" w:hAnsi="Titillium"/>
          <w:sz w:val="22"/>
          <w:szCs w:val="22"/>
        </w:rPr>
        <w:t>Zatwierdził:</w:t>
      </w:r>
    </w:p>
    <w:p>
      <w:pPr>
        <w:pStyle w:val="Standard"/>
        <w:spacing w:lineRule="auto" w:line="276"/>
        <w:ind w:left="4989"/>
        <w:jc w:val="both"/>
        <w:rPr>
          <w:rFonts w:ascii="Titillium" w:hAnsi="Titillium"/>
        </w:rPr>
      </w:pPr>
      <w:r>
        <w:rPr>
          <w:rFonts w:ascii="Titillium" w:hAnsi="Titillium"/>
          <w:sz w:val="22"/>
          <w:szCs w:val="22"/>
        </w:rPr>
        <w:t>Zastępca Burmistrza Miasta Rydułtowy</w:t>
      </w:r>
    </w:p>
    <w:p>
      <w:pPr>
        <w:pStyle w:val="Standard"/>
        <w:spacing w:lineRule="auto" w:line="276"/>
        <w:ind w:left="4989"/>
        <w:jc w:val="both"/>
        <w:rPr>
          <w:rFonts w:ascii="Titillium" w:hAnsi="Titillium"/>
        </w:rPr>
      </w:pPr>
      <w:r>
        <w:rPr>
          <w:rFonts w:ascii="Titillium" w:hAnsi="Titillium"/>
          <w:sz w:val="22"/>
          <w:szCs w:val="22"/>
        </w:rPr>
        <w:t>Mariola Bolisęga</w:t>
      </w:r>
    </w:p>
    <w:p>
      <w:pPr>
        <w:pStyle w:val="Standard"/>
        <w:spacing w:lineRule="auto" w:line="276"/>
        <w:jc w:val="both"/>
        <w:rPr>
          <w:rFonts w:ascii="Titillium" w:hAnsi="Titillium"/>
          <w:b/>
          <w:sz w:val="22"/>
          <w:szCs w:val="22"/>
        </w:rPr>
      </w:pPr>
      <w:r>
        <w:rPr>
          <w:rFonts w:ascii="Titillium" w:hAnsi="Titillium"/>
          <w:b/>
          <w:sz w:val="22"/>
          <w:szCs w:val="22"/>
        </w:rPr>
      </w:r>
    </w:p>
    <w:p>
      <w:pPr>
        <w:pStyle w:val="Standard"/>
        <w:spacing w:lineRule="auto" w:line="276"/>
        <w:jc w:val="both"/>
        <w:rPr>
          <w:rFonts w:ascii="Titillium" w:hAnsi="Titillium"/>
          <w:b/>
          <w:sz w:val="22"/>
          <w:szCs w:val="22"/>
        </w:rPr>
      </w:pPr>
      <w:r>
        <w:rPr>
          <w:rFonts w:ascii="Titillium" w:hAnsi="Titillium"/>
          <w:b/>
          <w:sz w:val="22"/>
          <w:szCs w:val="22"/>
        </w:rPr>
      </w:r>
    </w:p>
    <w:p>
      <w:pPr>
        <w:pStyle w:val="Standard"/>
        <w:spacing w:lineRule="auto" w:line="276"/>
        <w:jc w:val="both"/>
        <w:rPr>
          <w:rFonts w:ascii="Titillium" w:hAnsi="Titillium"/>
          <w:b/>
        </w:rPr>
      </w:pPr>
      <w:r>
        <w:rPr>
          <w:rFonts w:ascii="Titillium" w:hAnsi="Titillium"/>
          <w:b/>
        </w:rPr>
      </w:r>
    </w:p>
    <w:p>
      <w:pPr>
        <w:pStyle w:val="Standard"/>
        <w:spacing w:lineRule="auto" w:line="276"/>
        <w:jc w:val="both"/>
        <w:rPr>
          <w:rFonts w:ascii="Titillium" w:hAnsi="Titillium"/>
          <w:b/>
        </w:rPr>
      </w:pPr>
      <w:r>
        <w:rPr>
          <w:rFonts w:ascii="Titillium" w:hAnsi="Titillium"/>
          <w:b/>
        </w:rPr>
      </w:r>
    </w:p>
    <w:p>
      <w:pPr>
        <w:pStyle w:val="Standard"/>
        <w:spacing w:lineRule="auto" w:line="276"/>
        <w:jc w:val="both"/>
        <w:rPr>
          <w:rFonts w:ascii="Titillium" w:hAnsi="Titillium"/>
          <w:b/>
        </w:rPr>
      </w:pPr>
      <w:r>
        <w:rPr>
          <w:rFonts w:ascii="Titillium" w:hAnsi="Titillium"/>
          <w:b/>
        </w:rPr>
      </w:r>
    </w:p>
    <w:p>
      <w:pPr>
        <w:pStyle w:val="Standard"/>
        <w:spacing w:lineRule="auto" w:line="276"/>
        <w:jc w:val="both"/>
        <w:rPr>
          <w:rFonts w:ascii="Titillium" w:hAnsi="Titillium"/>
        </w:rPr>
      </w:pPr>
      <w:r>
        <w:rPr>
          <w:rFonts w:ascii="Titillium" w:hAnsi="Titillium"/>
          <w:b/>
        </w:rPr>
        <w:t>Załączniki:</w:t>
      </w:r>
    </w:p>
    <w:p>
      <w:pPr>
        <w:pStyle w:val="Standard"/>
        <w:spacing w:lineRule="auto" w:line="276"/>
        <w:jc w:val="both"/>
        <w:rPr>
          <w:rFonts w:ascii="Titillium" w:hAnsi="Titillium"/>
        </w:rPr>
      </w:pPr>
      <w:r>
        <w:rPr>
          <w:rFonts w:eastAsia="Times-Roman, 'Times New Roman'" w:ascii="Titillium" w:hAnsi="Titillium"/>
          <w:color w:val="000000"/>
        </w:rPr>
        <w:t>Zał</w:t>
      </w:r>
      <w:r>
        <w:rPr>
          <w:rFonts w:eastAsia="TTE2279908t00" w:ascii="Titillium" w:hAnsi="Titillium"/>
          <w:color w:val="000000"/>
        </w:rPr>
        <w:t>ą</w:t>
      </w:r>
      <w:r>
        <w:rPr>
          <w:rFonts w:eastAsia="Times-Roman, 'Times New Roman'" w:ascii="Titillium" w:hAnsi="Titillium"/>
          <w:color w:val="000000"/>
        </w:rPr>
        <w:t>cznik nr 1a</w:t>
        <w:tab/>
        <w:t>-</w:t>
        <w:tab/>
        <w:t>formularz oferty dla zadania nr 1,</w:t>
      </w:r>
    </w:p>
    <w:p>
      <w:pPr>
        <w:pStyle w:val="Standard"/>
        <w:spacing w:lineRule="auto" w:line="276"/>
        <w:jc w:val="both"/>
        <w:rPr>
          <w:rFonts w:ascii="Titillium" w:hAnsi="Titillium"/>
        </w:rPr>
      </w:pPr>
      <w:r>
        <w:rPr>
          <w:rFonts w:eastAsia="Times-Roman, 'Times New Roman'" w:ascii="Titillium" w:hAnsi="Titillium"/>
          <w:color w:val="000000"/>
        </w:rPr>
        <w:t xml:space="preserve">Załącznik nr 1b   -               </w:t>
        <w:tab/>
        <w:t>formularz oferty dla zadania nr 2,</w:t>
      </w:r>
    </w:p>
    <w:p>
      <w:pPr>
        <w:pStyle w:val="Standard"/>
        <w:spacing w:lineRule="auto" w:line="276"/>
        <w:jc w:val="both"/>
        <w:rPr>
          <w:rFonts w:ascii="Titillium" w:hAnsi="Titillium"/>
        </w:rPr>
      </w:pPr>
      <w:r>
        <w:rPr>
          <w:rFonts w:eastAsia="Times-Roman, 'Times New Roman'" w:ascii="Titillium" w:hAnsi="Titillium"/>
          <w:color w:val="000000"/>
        </w:rPr>
        <w:t>Załącznik nr 2</w:t>
        <w:tab/>
        <w:t>-</w:t>
        <w:tab/>
        <w:t>oświadczenie z art. 125 ust. 1 ustawy Pzp,</w:t>
      </w:r>
    </w:p>
    <w:p>
      <w:pPr>
        <w:pStyle w:val="Standard"/>
        <w:spacing w:lineRule="auto" w:line="276"/>
        <w:jc w:val="both"/>
        <w:rPr>
          <w:rFonts w:ascii="Titillium" w:hAnsi="Titillium"/>
        </w:rPr>
      </w:pPr>
      <w:r>
        <w:rPr>
          <w:rFonts w:eastAsia="Times-Roman, 'Times New Roman'" w:ascii="Titillium" w:hAnsi="Titillium"/>
          <w:color w:val="000000"/>
        </w:rPr>
        <w:t>Załącznik nr 2a</w:t>
        <w:tab/>
        <w:t>-</w:t>
        <w:tab/>
        <w:t>oświadczenie z art. 125 ust. 1 ustawy Pzp podmiotu udostępniającego zasoby,</w:t>
      </w:r>
    </w:p>
    <w:p>
      <w:pPr>
        <w:pStyle w:val="Standard"/>
        <w:spacing w:lineRule="auto" w:line="276"/>
        <w:jc w:val="both"/>
        <w:rPr>
          <w:rFonts w:ascii="Titillium" w:hAnsi="Titillium"/>
        </w:rPr>
      </w:pPr>
      <w:r>
        <w:rPr>
          <w:rFonts w:ascii="Titillium" w:hAnsi="Titillium"/>
          <w:color w:val="000000"/>
        </w:rPr>
        <w:t>Załącznik nr 3</w:t>
        <w:tab/>
        <w:t>-</w:t>
        <w:tab/>
        <w:t>wykaz wykonanych robót,</w:t>
      </w:r>
    </w:p>
    <w:p>
      <w:pPr>
        <w:pStyle w:val="Standard"/>
        <w:spacing w:lineRule="auto" w:line="276"/>
        <w:ind w:hanging="2154" w:left="2154"/>
        <w:jc w:val="both"/>
        <w:rPr>
          <w:rFonts w:ascii="Titillium" w:hAnsi="Titillium"/>
        </w:rPr>
      </w:pPr>
      <w:r>
        <w:rPr>
          <w:rFonts w:eastAsia="Times-Roman, 'Times New Roman'" w:ascii="Titillium" w:hAnsi="Titillium"/>
          <w:color w:val="000000"/>
        </w:rPr>
        <w:t>Załącznik nr 4      -</w:t>
        <w:tab/>
        <w:t xml:space="preserve">wykaz osób </w:t>
      </w:r>
      <w:r>
        <w:rPr>
          <w:rFonts w:eastAsia="Times-Roman, 'Times New Roman'" w:ascii="Titillium" w:hAnsi="Titillium"/>
        </w:rPr>
        <w:t>skierowanych przez wykonawcę do realizacji zamówienia publicznego,</w:t>
      </w:r>
    </w:p>
    <w:p>
      <w:pPr>
        <w:pStyle w:val="Standard"/>
        <w:tabs>
          <w:tab w:val="clear" w:pos="720"/>
          <w:tab w:val="left" w:pos="3587" w:leader="none"/>
        </w:tabs>
        <w:spacing w:lineRule="auto" w:line="276"/>
        <w:ind w:hanging="2154" w:left="2154"/>
        <w:jc w:val="both"/>
        <w:rPr>
          <w:rFonts w:ascii="Titillium" w:hAnsi="Titillium"/>
        </w:rPr>
      </w:pPr>
      <w:r>
        <w:rPr>
          <w:rFonts w:eastAsia="Times-Roman, 'Times New Roman'" w:ascii="Titillium" w:hAnsi="Titillium"/>
          <w:color w:val="000000"/>
        </w:rPr>
        <w:t>Załącznik nr 5   -</w:t>
        <w:tab/>
        <w:t>oświadczenie wykonawców występujących wspólnie odnośnie usług i robót, które wykonają poszczególni wykonawcy,</w:t>
      </w:r>
    </w:p>
    <w:p>
      <w:pPr>
        <w:pStyle w:val="Standard"/>
        <w:spacing w:lineRule="auto" w:line="276"/>
        <w:jc w:val="both"/>
        <w:rPr>
          <w:rFonts w:ascii="Titillium" w:hAnsi="Titillium"/>
        </w:rPr>
      </w:pPr>
      <w:r>
        <w:rPr>
          <w:rFonts w:ascii="Titillium" w:hAnsi="Titillium"/>
          <w:color w:val="000000"/>
        </w:rPr>
        <w:t>Załącznik nr 6a i b -</w:t>
        <w:tab/>
        <w:t>projekt umowy,</w:t>
      </w:r>
    </w:p>
    <w:p>
      <w:pPr>
        <w:pStyle w:val="Standard"/>
        <w:spacing w:lineRule="auto" w:line="276"/>
        <w:jc w:val="both"/>
        <w:rPr>
          <w:rFonts w:ascii="Titillium" w:hAnsi="Titillium"/>
        </w:rPr>
      </w:pPr>
      <w:r>
        <w:rPr>
          <w:rFonts w:ascii="Titillium" w:hAnsi="Titillium"/>
          <w:color w:val="000000"/>
        </w:rPr>
        <w:t>Załącznik nr 7</w:t>
        <w:tab/>
        <w:t>-</w:t>
        <w:tab/>
        <w:t>program funkcjonalno- użytkowy,</w:t>
      </w:r>
    </w:p>
    <w:p>
      <w:pPr>
        <w:pStyle w:val="Standard"/>
        <w:spacing w:lineRule="auto" w:line="276"/>
        <w:jc w:val="both"/>
        <w:rPr>
          <w:rFonts w:ascii="Titillium" w:hAnsi="Titillium"/>
        </w:rPr>
      </w:pPr>
      <w:r>
        <w:rPr>
          <w:rFonts w:ascii="Titillium" w:hAnsi="Titillium"/>
          <w:color w:val="000000"/>
        </w:rPr>
        <w:t>Załącznik nr 8      -               dokumentacja projektowa i STWiORB,</w:t>
      </w:r>
    </w:p>
    <w:p>
      <w:pPr>
        <w:pStyle w:val="Standard"/>
        <w:spacing w:lineRule="auto" w:line="276"/>
        <w:jc w:val="both"/>
        <w:rPr>
          <w:rFonts w:ascii="Titillium" w:hAnsi="Titillium"/>
        </w:rPr>
      </w:pPr>
      <w:r>
        <w:rPr>
          <w:rFonts w:ascii="Titillium" w:hAnsi="Titillium"/>
          <w:color w:val="000000"/>
        </w:rPr>
        <w:t xml:space="preserve">Załącznik nr 9 </w:t>
        <w:tab/>
        <w:t xml:space="preserve"> -             mapa sytuacyjna dla zadania nr 1 – etap II i III,</w:t>
      </w:r>
    </w:p>
    <w:p>
      <w:pPr>
        <w:pStyle w:val="Standard"/>
        <w:spacing w:lineRule="auto" w:line="276"/>
        <w:jc w:val="both"/>
        <w:rPr>
          <w:rFonts w:ascii="Titillium" w:hAnsi="Titillium"/>
        </w:rPr>
      </w:pPr>
      <w:r>
        <w:rPr>
          <w:rFonts w:ascii="Titillium" w:hAnsi="Titillium"/>
          <w:color w:val="000000"/>
        </w:rPr>
        <w:t>Załącznik nr 10   -               wstępna promesa.</w:t>
      </w:r>
    </w:p>
    <w:p>
      <w:pPr>
        <w:pStyle w:val="Standard"/>
        <w:spacing w:lineRule="auto" w:line="276"/>
        <w:jc w:val="both"/>
        <w:rPr>
          <w:rFonts w:ascii="Titillium" w:hAnsi="Titillium"/>
          <w:color w:val="000000"/>
        </w:rPr>
      </w:pPr>
      <w:r>
        <w:rPr>
          <w:rFonts w:ascii="Titillium" w:hAnsi="Titillium"/>
          <w:color w:val="000000"/>
        </w:rPr>
      </w:r>
    </w:p>
    <w:p>
      <w:pPr>
        <w:pStyle w:val="Standard"/>
        <w:spacing w:lineRule="auto" w:line="276"/>
        <w:jc w:val="both"/>
        <w:rPr>
          <w:rFonts w:ascii="Titillium" w:hAnsi="Titillium"/>
          <w:color w:val="000000"/>
        </w:rPr>
      </w:pPr>
      <w:r>
        <w:rPr>
          <w:rFonts w:ascii="Titillium" w:hAnsi="Titillium"/>
          <w:color w:val="000000"/>
        </w:rPr>
      </w:r>
    </w:p>
    <w:p>
      <w:pPr>
        <w:pStyle w:val="Standard"/>
        <w:spacing w:lineRule="auto" w:line="276"/>
        <w:jc w:val="both"/>
        <w:rPr>
          <w:rFonts w:ascii="Titillium" w:hAnsi="Titillium"/>
          <w:color w:val="000000"/>
        </w:rPr>
      </w:pPr>
      <w:r>
        <w:rPr>
          <w:rFonts w:ascii="Titillium" w:hAnsi="Titillium"/>
          <w:color w:val="000000"/>
        </w:rPr>
      </w:r>
    </w:p>
    <w:p>
      <w:pPr>
        <w:pStyle w:val="Standard"/>
        <w:spacing w:lineRule="auto" w:line="276"/>
        <w:jc w:val="both"/>
        <w:rPr>
          <w:rFonts w:ascii="Titillium" w:hAnsi="Titillium"/>
          <w:color w:val="000000"/>
        </w:rPr>
      </w:pPr>
      <w:r>
        <w:rPr>
          <w:rFonts w:ascii="Titillium" w:hAnsi="Titillium"/>
          <w:color w:val="000000"/>
        </w:rPr>
      </w:r>
    </w:p>
    <w:p>
      <w:pPr>
        <w:pStyle w:val="Standard"/>
        <w:spacing w:lineRule="auto" w:line="276"/>
        <w:jc w:val="both"/>
        <w:rPr>
          <w:rFonts w:ascii="Titillium" w:hAnsi="Titillium"/>
          <w:color w:val="000000"/>
        </w:rPr>
      </w:pPr>
      <w:r>
        <w:rPr>
          <w:rFonts w:ascii="Titillium" w:hAnsi="Titillium"/>
          <w:color w:val="000000"/>
        </w:rPr>
      </w:r>
    </w:p>
    <w:p>
      <w:pPr>
        <w:pStyle w:val="Standard"/>
        <w:spacing w:lineRule="auto" w:line="276" w:before="0" w:after="0"/>
        <w:jc w:val="both"/>
        <w:rPr>
          <w:rFonts w:ascii="Titillium" w:hAnsi="Titillium"/>
        </w:rPr>
      </w:pPr>
      <w:r>
        <w:rPr>
          <w:rFonts w:ascii="Titillium" w:hAnsi="Titillium"/>
        </w:rPr>
        <w:t>Nazwa (firma) oraz adres Zamawiającego</w:t>
      </w:r>
    </w:p>
    <w:p>
      <w:pPr>
        <w:pStyle w:val="Standard"/>
        <w:spacing w:lineRule="auto" w:line="276"/>
        <w:jc w:val="both"/>
        <w:rPr>
          <w:rFonts w:ascii="Titillium" w:hAnsi="Titillium"/>
        </w:rPr>
      </w:pPr>
      <w:r>
        <w:rPr>
          <w:rFonts w:ascii="Titillium" w:hAnsi="Titillium"/>
          <w:b/>
        </w:rPr>
        <w:t>Miasto Rydułtowy</w:t>
      </w:r>
    </w:p>
    <w:p>
      <w:pPr>
        <w:pStyle w:val="Standard"/>
        <w:spacing w:lineRule="auto" w:line="276"/>
        <w:jc w:val="both"/>
        <w:rPr>
          <w:rFonts w:ascii="Titillium" w:hAnsi="Titillium"/>
        </w:rPr>
      </w:pPr>
      <w:r>
        <w:rPr>
          <w:rFonts w:ascii="Titillium" w:hAnsi="Titillium"/>
          <w:b/>
        </w:rPr>
        <w:t>ul. Ofiar Terroru 36</w:t>
      </w:r>
    </w:p>
    <w:p>
      <w:pPr>
        <w:pStyle w:val="Standard"/>
        <w:spacing w:lineRule="auto" w:line="276"/>
        <w:jc w:val="both"/>
        <w:rPr>
          <w:rFonts w:ascii="Titillium" w:hAnsi="Titillium"/>
        </w:rPr>
      </w:pPr>
      <w:r>
        <w:rPr>
          <w:rFonts w:ascii="Titillium" w:hAnsi="Titillium"/>
          <w:b/>
        </w:rPr>
        <w:t>44-280 Rydułtowy</w:t>
      </w:r>
    </w:p>
    <w:p>
      <w:pPr>
        <w:pStyle w:val="Standard"/>
        <w:spacing w:lineRule="auto" w:line="276"/>
        <w:ind w:hanging="709" w:left="709"/>
        <w:jc w:val="both"/>
        <w:rPr>
          <w:rFonts w:ascii="Titillium" w:hAnsi="Titillium"/>
        </w:rPr>
      </w:pPr>
      <w:r>
        <w:rPr>
          <w:rFonts w:ascii="Titillium" w:hAnsi="Titillium"/>
          <w:b/>
          <w:color w:val="000000"/>
        </w:rPr>
        <w:t xml:space="preserve">tel.: </w:t>
      </w:r>
      <w:r>
        <w:rPr>
          <w:rFonts w:ascii="Titillium" w:hAnsi="Titillium"/>
          <w:b/>
          <w:bCs/>
          <w:color w:val="000000"/>
        </w:rPr>
        <w:t>(032) 4537411</w:t>
      </w:r>
    </w:p>
    <w:p>
      <w:pPr>
        <w:pStyle w:val="Standard"/>
        <w:spacing w:lineRule="auto" w:line="276"/>
        <w:jc w:val="both"/>
        <w:rPr/>
      </w:pPr>
      <w:r>
        <w:rPr>
          <w:rFonts w:ascii="Titillium" w:hAnsi="Titillium"/>
          <w:b/>
        </w:rPr>
        <w:t xml:space="preserve">e-mail: </w:t>
      </w:r>
      <w:r>
        <w:rPr>
          <w:rStyle w:val="Internetlink"/>
          <w:rFonts w:ascii="Titillium" w:hAnsi="Titillium"/>
        </w:rPr>
        <w:t>um@rydultowy.pl</w:t>
      </w:r>
    </w:p>
    <w:p>
      <w:pPr>
        <w:pStyle w:val="Standard"/>
        <w:spacing w:lineRule="auto" w:line="276"/>
        <w:jc w:val="both"/>
        <w:rPr/>
      </w:pPr>
      <w:r>
        <w:rPr>
          <w:rFonts w:ascii="Titillium" w:hAnsi="Titillium"/>
          <w:color w:val="000000"/>
        </w:rPr>
        <w:t xml:space="preserve">strona internetowa prowadzonego postępowania </w:t>
      </w:r>
      <w:hyperlink r:id="rId2">
        <w:r>
          <w:rPr>
            <w:rFonts w:ascii="Titillium" w:hAnsi="Titillium"/>
            <w:color w:val="000000"/>
          </w:rPr>
          <w:t>https://platformazakupowa.pl/pn/rydultowy</w:t>
        </w:r>
      </w:hyperlink>
    </w:p>
    <w:p>
      <w:pPr>
        <w:pStyle w:val="Standard"/>
        <w:spacing w:lineRule="auto" w:line="276"/>
        <w:jc w:val="both"/>
        <w:rPr/>
      </w:pPr>
      <w:r>
        <w:rPr>
          <w:rFonts w:ascii="Titillium" w:hAnsi="Titillium"/>
          <w:color w:val="000000"/>
        </w:rPr>
        <w:t xml:space="preserve">adres internetowy: </w:t>
      </w:r>
      <w:r>
        <w:rPr>
          <w:rStyle w:val="Internetlink"/>
          <w:rFonts w:ascii="Titillium" w:hAnsi="Titillium"/>
        </w:rPr>
        <w:t>www.rydultowy.pl</w:t>
      </w:r>
    </w:p>
    <w:p>
      <w:pPr>
        <w:pStyle w:val="Standard"/>
        <w:spacing w:lineRule="auto" w:line="276"/>
        <w:jc w:val="both"/>
        <w:rPr>
          <w:rFonts w:ascii="Titillium" w:hAnsi="Titillium"/>
        </w:rPr>
      </w:pPr>
      <w:r>
        <w:rPr>
          <w:rFonts w:ascii="Titillium" w:hAnsi="Titillium"/>
          <w:color w:val="000000"/>
        </w:rPr>
        <w:t>rodzaj Zamawiającego: administracja samorządowa.</w:t>
      </w:r>
    </w:p>
    <w:p>
      <w:pPr>
        <w:pStyle w:val="Standard"/>
        <w:spacing w:lineRule="auto" w:line="276"/>
        <w:jc w:val="both"/>
        <w:rPr>
          <w:rFonts w:ascii="Titillium" w:hAnsi="Titillium"/>
          <w:color w:val="000000"/>
        </w:rPr>
      </w:pPr>
      <w:r>
        <w:rPr>
          <w:rFonts w:ascii="Titillium" w:hAnsi="Titillium"/>
          <w:color w:val="000000"/>
        </w:rPr>
      </w:r>
    </w:p>
    <w:p>
      <w:pPr>
        <w:pStyle w:val="Standard"/>
        <w:spacing w:lineRule="auto" w:line="276"/>
        <w:jc w:val="both"/>
        <w:rPr>
          <w:rFonts w:ascii="Titillium" w:hAnsi="Titillium"/>
        </w:rPr>
      </w:pPr>
      <w:r>
        <w:rPr>
          <w:rFonts w:ascii="Titillium" w:hAnsi="Titillium"/>
        </w:rPr>
        <w:t>Informacje ogólne</w:t>
      </w:r>
    </w:p>
    <w:p>
      <w:pPr>
        <w:pStyle w:val="Standard"/>
        <w:numPr>
          <w:ilvl w:val="0"/>
          <w:numId w:val="9"/>
        </w:numPr>
        <w:spacing w:lineRule="auto" w:line="276"/>
        <w:ind w:hanging="567" w:left="567"/>
        <w:jc w:val="both"/>
        <w:rPr>
          <w:rFonts w:ascii="Titillium" w:hAnsi="Titillium"/>
        </w:rPr>
      </w:pPr>
      <w:r>
        <w:rPr>
          <w:rFonts w:ascii="Titillium" w:hAnsi="Titillium"/>
          <w:b/>
          <w:bCs/>
          <w:color w:val="000000"/>
        </w:rPr>
        <w:t>Miasto Rydułtowy</w:t>
      </w:r>
      <w:r>
        <w:rPr>
          <w:rFonts w:ascii="Titillium" w:hAnsi="Titillium"/>
          <w:color w:val="000000"/>
        </w:rPr>
        <w:t xml:space="preserve"> z siedzibą w Urzędzie Miasta przy ul. Ofiar Terroru 36, 44-280 Rydułtowy, zwane w dalszej części</w:t>
      </w:r>
      <w:r>
        <w:rPr>
          <w:rFonts w:ascii="Titillium" w:hAnsi="Titillium"/>
          <w:b/>
          <w:bCs/>
          <w:color w:val="000000"/>
        </w:rPr>
        <w:t xml:space="preserve"> „Zamawiającym”, </w:t>
      </w:r>
      <w:r>
        <w:rPr>
          <w:rFonts w:ascii="Titillium" w:hAnsi="Titillium"/>
          <w:color w:val="000000"/>
        </w:rPr>
        <w:t>zaprasza Wykonawców do udziału w postępowaniu prowadzonym w trybie podstawowym</w:t>
      </w:r>
      <w:r>
        <w:rPr>
          <w:rFonts w:ascii="Titillium" w:hAnsi="Titillium"/>
          <w:b/>
          <w:bCs/>
          <w:color w:val="000000"/>
        </w:rPr>
        <w:t xml:space="preserve"> </w:t>
      </w:r>
      <w:r>
        <w:rPr>
          <w:rFonts w:cs="Verdana" w:ascii="Titillium" w:hAnsi="Titillium"/>
          <w:color w:val="000000"/>
        </w:rPr>
        <w:t>dla zadania pod nazwą</w:t>
      </w:r>
      <w:r>
        <w:rPr>
          <w:rFonts w:cs="Verdana" w:ascii="Titillium" w:hAnsi="Titillium"/>
          <w:color w:val="000000"/>
          <w:sz w:val="20"/>
          <w:szCs w:val="20"/>
        </w:rPr>
        <w:t>:</w:t>
      </w:r>
      <w:r>
        <w:rPr>
          <w:rFonts w:cs="Verdana" w:ascii="Titillium" w:hAnsi="Titillium"/>
          <w:b/>
          <w:bCs/>
          <w:color w:val="000000"/>
          <w:sz w:val="20"/>
          <w:szCs w:val="20"/>
        </w:rPr>
        <w:t xml:space="preserve"> </w:t>
      </w:r>
      <w:bookmarkStart w:id="1" w:name="_Hlk162437537_kopia_1"/>
      <w:r>
        <w:rPr>
          <w:rFonts w:cs="Verdana" w:ascii="Titillium" w:hAnsi="Titillium"/>
          <w:b/>
          <w:bCs/>
          <w:color w:val="000000"/>
          <w:sz w:val="20"/>
          <w:szCs w:val="20"/>
        </w:rPr>
        <w:t xml:space="preserve">"Modernizacja </w:t>
      </w:r>
      <w:bookmarkEnd w:id="1"/>
      <w:r>
        <w:rPr>
          <w:rFonts w:cs="Verdana" w:ascii="Titillium" w:hAnsi="Titillium"/>
          <w:b/>
          <w:bCs/>
          <w:color w:val="000000"/>
          <w:sz w:val="20"/>
          <w:szCs w:val="20"/>
        </w:rPr>
        <w:t xml:space="preserve"> ul. Niewiadomskiej             </w:t>
      </w:r>
      <w:r>
        <w:rPr>
          <w:rFonts w:ascii="Titillium" w:hAnsi="Titillium"/>
          <w:b/>
          <w:bCs/>
          <w:sz w:val="20"/>
          <w:szCs w:val="20"/>
        </w:rPr>
        <w:t>i Osiedla na Wzgórzu w Rydułtowach”.</w:t>
      </w:r>
    </w:p>
    <w:p>
      <w:pPr>
        <w:pStyle w:val="Standard"/>
        <w:numPr>
          <w:ilvl w:val="0"/>
          <w:numId w:val="9"/>
        </w:numPr>
        <w:spacing w:lineRule="auto" w:line="276"/>
        <w:ind w:hanging="567" w:left="567"/>
        <w:jc w:val="both"/>
        <w:rPr>
          <w:rFonts w:ascii="Titillium" w:hAnsi="Titillium"/>
        </w:rPr>
      </w:pPr>
      <w:r>
        <w:rPr>
          <w:rFonts w:ascii="Titillium" w:hAnsi="Titillium"/>
          <w:color w:val="000000"/>
        </w:rPr>
        <w:t xml:space="preserve">Postępowanie prowadzone jest w trybie </w:t>
      </w:r>
      <w:r>
        <w:rPr>
          <w:rFonts w:ascii="Titillium" w:hAnsi="Titillium"/>
          <w:b/>
          <w:bCs/>
          <w:color w:val="000000"/>
        </w:rPr>
        <w:t>podstawowym zgodnie z</w:t>
      </w:r>
      <w:r>
        <w:rPr>
          <w:rFonts w:cs="Calibri" w:ascii="Titillium" w:hAnsi="Titillium"/>
          <w:b/>
          <w:bCs/>
          <w:color w:val="000000"/>
        </w:rPr>
        <w:t> </w:t>
      </w:r>
      <w:r>
        <w:rPr>
          <w:rFonts w:ascii="Titillium" w:hAnsi="Titillium"/>
          <w:b/>
          <w:bCs/>
          <w:color w:val="000000"/>
        </w:rPr>
        <w:t xml:space="preserve">art. 275 pkt 1 </w:t>
      </w:r>
      <w:r>
        <w:rPr>
          <w:rFonts w:ascii="Titillium" w:hAnsi="Titillium"/>
          <w:bCs/>
          <w:color w:val="000000"/>
        </w:rPr>
        <w:t>ustawy z dnia 11</w:t>
      </w:r>
      <w:r>
        <w:rPr>
          <w:rFonts w:cs="Calibri" w:ascii="Titillium" w:hAnsi="Titillium"/>
          <w:bCs/>
          <w:color w:val="000000"/>
        </w:rPr>
        <w:t> </w:t>
      </w:r>
      <w:r>
        <w:rPr>
          <w:rFonts w:ascii="Titillium" w:hAnsi="Titillium"/>
          <w:bCs/>
          <w:color w:val="000000"/>
        </w:rPr>
        <w:t>wrze</w:t>
      </w:r>
      <w:r>
        <w:rPr>
          <w:rFonts w:cs="Titillium" w:ascii="Titillium" w:hAnsi="Titillium"/>
          <w:bCs/>
          <w:color w:val="000000"/>
        </w:rPr>
        <w:t>ś</w:t>
      </w:r>
      <w:r>
        <w:rPr>
          <w:rFonts w:ascii="Titillium" w:hAnsi="Titillium"/>
          <w:bCs/>
          <w:color w:val="000000"/>
        </w:rPr>
        <w:t>nia 2019 r. - Prawo zamówień publicznych (t. j. Dz. U. z 2023 r. poz. 1605 ze zm.).</w:t>
      </w:r>
    </w:p>
    <w:p>
      <w:pPr>
        <w:pStyle w:val="Standard"/>
        <w:numPr>
          <w:ilvl w:val="0"/>
          <w:numId w:val="9"/>
        </w:numPr>
        <w:spacing w:lineRule="auto" w:line="276"/>
        <w:ind w:hanging="567" w:left="567"/>
        <w:jc w:val="both"/>
        <w:rPr>
          <w:rFonts w:ascii="Titillium" w:hAnsi="Titillium"/>
        </w:rPr>
      </w:pPr>
      <w:r>
        <w:rPr>
          <w:rFonts w:ascii="Titillium" w:hAnsi="Titillium"/>
          <w:color w:val="000000"/>
        </w:rPr>
        <w:t>Postępowanie niniejsze prowadzi się pisemnie oraz w języku polskim.</w:t>
      </w:r>
    </w:p>
    <w:p>
      <w:pPr>
        <w:pStyle w:val="Standard"/>
        <w:numPr>
          <w:ilvl w:val="0"/>
          <w:numId w:val="9"/>
        </w:numPr>
        <w:spacing w:lineRule="auto" w:line="276"/>
        <w:ind w:hanging="567" w:left="567"/>
        <w:jc w:val="both"/>
        <w:rPr>
          <w:rFonts w:ascii="Titillium" w:hAnsi="Titillium"/>
        </w:rPr>
      </w:pPr>
      <w:r>
        <w:rPr>
          <w:rFonts w:ascii="Titillium" w:hAnsi="Titillium"/>
          <w:bCs/>
          <w:color w:val="000000"/>
        </w:rPr>
        <w:t>Zamawiający nie przewiduje wyboru najkorzystniejszej oferty z możliwością prowadzenia negocjacji.</w:t>
      </w:r>
    </w:p>
    <w:p>
      <w:pPr>
        <w:pStyle w:val="Standard"/>
        <w:numPr>
          <w:ilvl w:val="0"/>
          <w:numId w:val="9"/>
        </w:numPr>
        <w:spacing w:lineRule="auto" w:line="276"/>
        <w:ind w:hanging="567" w:left="567"/>
        <w:jc w:val="both"/>
        <w:rPr>
          <w:rFonts w:ascii="Titillium" w:hAnsi="Titillium"/>
        </w:rPr>
      </w:pPr>
      <w:r>
        <w:rPr>
          <w:rFonts w:ascii="Titillium" w:hAnsi="Titillium"/>
          <w:color w:val="000000"/>
          <w:lang w:eastAsia="pl-PL"/>
        </w:rPr>
        <w:t>Wykonawcy porozumiewając się z Zamawiającym powinni powoływać się na znak sprawy względnie ID postępowania a korespondencja odbywa się będzie przy pomocy środków komunikacji elektronicznej na platformie zakupowej przez funkcję „Wyślij wiadomość”.</w:t>
      </w:r>
    </w:p>
    <w:p>
      <w:pPr>
        <w:pStyle w:val="Standard"/>
        <w:numPr>
          <w:ilvl w:val="0"/>
          <w:numId w:val="9"/>
        </w:numPr>
        <w:spacing w:lineRule="auto" w:line="276"/>
        <w:ind w:hanging="567" w:left="567"/>
        <w:jc w:val="both"/>
        <w:rPr/>
      </w:pPr>
      <w:r>
        <w:rPr>
          <w:rFonts w:ascii="Titillium" w:hAnsi="Titillium"/>
          <w:color w:val="000000"/>
          <w:lang w:eastAsia="pl-PL"/>
        </w:rPr>
        <w:t xml:space="preserve">Źródła finansowania: </w:t>
      </w:r>
      <w:r>
        <w:rPr>
          <w:rStyle w:val="StrongEmphasis"/>
          <w:rFonts w:eastAsia="Times-Roman, 'Times New Roman'" w:cs="Arial" w:ascii="Titillium" w:hAnsi="Titillium"/>
          <w:b w:val="false"/>
          <w:bCs w:val="false"/>
          <w:color w:val="000000"/>
          <w:lang w:eastAsia="pl-PL"/>
        </w:rPr>
        <w:t>zadanie jest współfinansowane ze środków Rządowego Funduszu Polski Ład: Programu Inwestycji Strategicznych – edycja ósma.</w:t>
      </w:r>
    </w:p>
    <w:p>
      <w:pPr>
        <w:pStyle w:val="Standard"/>
        <w:numPr>
          <w:ilvl w:val="0"/>
          <w:numId w:val="9"/>
        </w:numPr>
        <w:spacing w:lineRule="auto" w:line="276"/>
        <w:ind w:hanging="567" w:left="567"/>
        <w:jc w:val="both"/>
        <w:rPr>
          <w:rFonts w:ascii="Titillium" w:hAnsi="Titillium"/>
        </w:rPr>
      </w:pPr>
      <w:r>
        <w:rPr>
          <w:rFonts w:ascii="Titillium" w:hAnsi="Titillium"/>
          <w:bCs/>
          <w:color w:val="000000"/>
        </w:rPr>
        <w:t>Rodzaj zamówienia:</w:t>
      </w:r>
      <w:r>
        <w:rPr>
          <w:rFonts w:ascii="Titillium" w:hAnsi="Titillium"/>
          <w:b/>
          <w:bCs/>
          <w:color w:val="000000"/>
        </w:rPr>
        <w:t xml:space="preserve"> roboty budowlane. </w:t>
      </w:r>
      <w:r>
        <w:rPr>
          <w:rFonts w:ascii="Titillium" w:hAnsi="Titillium"/>
          <w:color w:val="000000"/>
        </w:rPr>
        <w:t>Zamówienie nie dotyczy usług społecznych i innych szczególnych usług.</w:t>
      </w:r>
    </w:p>
    <w:p>
      <w:pPr>
        <w:pStyle w:val="Standard"/>
        <w:numPr>
          <w:ilvl w:val="0"/>
          <w:numId w:val="9"/>
        </w:numPr>
        <w:spacing w:lineRule="auto" w:line="276"/>
        <w:ind w:hanging="567" w:left="567"/>
        <w:jc w:val="both"/>
        <w:rPr>
          <w:rFonts w:ascii="Titillium" w:hAnsi="Titillium"/>
        </w:rPr>
      </w:pPr>
      <w:r>
        <w:rPr>
          <w:rFonts w:ascii="Titillium" w:hAnsi="Titillium"/>
        </w:rPr>
        <w:t>Ilekroć w niniejszej specyfikacji jest mowa o:</w:t>
      </w:r>
    </w:p>
    <w:p>
      <w:pPr>
        <w:pStyle w:val="Standard"/>
        <w:numPr>
          <w:ilvl w:val="1"/>
          <w:numId w:val="9"/>
        </w:numPr>
        <w:spacing w:lineRule="auto" w:line="276"/>
        <w:ind w:hanging="567" w:left="1134"/>
        <w:jc w:val="both"/>
        <w:rPr>
          <w:rFonts w:ascii="Titillium" w:hAnsi="Titillium"/>
        </w:rPr>
      </w:pPr>
      <w:r>
        <w:rPr>
          <w:rFonts w:ascii="Titillium" w:hAnsi="Titillium"/>
        </w:rPr>
        <w:t>„</w:t>
      </w:r>
      <w:r>
        <w:rPr>
          <w:rFonts w:ascii="Titillium" w:hAnsi="Titillium"/>
        </w:rPr>
        <w:t>ustawie Pzp” należy przez to rozumieć ustawę z</w:t>
      </w:r>
      <w:r>
        <w:rPr>
          <w:rFonts w:cs="Calibri" w:ascii="Titillium" w:hAnsi="Titillium"/>
        </w:rPr>
        <w:t> </w:t>
      </w:r>
      <w:r>
        <w:rPr>
          <w:rFonts w:ascii="Titillium" w:hAnsi="Titillium"/>
        </w:rPr>
        <w:t>dnia 11 września 2019 r. - Prawo zamówień publicznych  (</w:t>
      </w:r>
      <w:r>
        <w:rPr>
          <w:rFonts w:ascii="Titillium" w:hAnsi="Titillium"/>
          <w:bCs/>
          <w:color w:val="000000"/>
        </w:rPr>
        <w:t>t. j. Dz. U. z 2023 r. poz. 1605 ze zm.</w:t>
      </w:r>
      <w:r>
        <w:rPr>
          <w:rFonts w:ascii="Titillium" w:hAnsi="Titillium"/>
        </w:rPr>
        <w:t>),</w:t>
      </w:r>
    </w:p>
    <w:p>
      <w:pPr>
        <w:pStyle w:val="Standard"/>
        <w:numPr>
          <w:ilvl w:val="1"/>
          <w:numId w:val="9"/>
        </w:numPr>
        <w:spacing w:lineRule="auto" w:line="276"/>
        <w:ind w:hanging="567" w:left="1134"/>
        <w:jc w:val="both"/>
        <w:rPr>
          <w:rFonts w:ascii="Titillium" w:hAnsi="Titillium"/>
        </w:rPr>
      </w:pPr>
      <w:r>
        <w:rPr>
          <w:rFonts w:ascii="Titillium" w:hAnsi="Titillium"/>
          <w:color w:val="000000"/>
        </w:rPr>
        <w:t>„</w:t>
      </w:r>
      <w:r>
        <w:rPr>
          <w:rFonts w:ascii="Titillium" w:hAnsi="Titillium"/>
          <w:color w:val="000000"/>
        </w:rPr>
        <w:t>RODO” należy przez to rozumieć rozporządzenie Parlamentu Europejskiego i Rady (UE) 2016/679 z dnia 27 kwietnia 2016 r. w sprawie ochrony osób fizycznych w związku                         z</w:t>
      </w:r>
      <w:r>
        <w:rPr>
          <w:rFonts w:cs="Calibri" w:ascii="Titillium" w:hAnsi="Titillium"/>
          <w:color w:val="000000"/>
        </w:rPr>
        <w:t> </w:t>
      </w:r>
      <w:r>
        <w:rPr>
          <w:rFonts w:ascii="Titillium" w:hAnsi="Titillium"/>
          <w:color w:val="000000"/>
        </w:rPr>
        <w:t>przetwarzaniem danych osobowych i w sprawie swobodnego przep</w:t>
      </w:r>
      <w:r>
        <w:rPr>
          <w:rFonts w:cs="Titillium" w:ascii="Titillium" w:hAnsi="Titillium"/>
          <w:color w:val="000000"/>
        </w:rPr>
        <w:t>ł</w:t>
      </w:r>
      <w:r>
        <w:rPr>
          <w:rFonts w:ascii="Titillium" w:hAnsi="Titillium"/>
          <w:color w:val="000000"/>
        </w:rPr>
        <w:t>ywu takich danych oraz uchylenia dyrektywy 95/46/WE (og</w:t>
      </w:r>
      <w:r>
        <w:rPr>
          <w:rFonts w:cs="Titillium" w:ascii="Titillium" w:hAnsi="Titillium"/>
          <w:color w:val="000000"/>
        </w:rPr>
        <w:t>ó</w:t>
      </w:r>
      <w:r>
        <w:rPr>
          <w:rFonts w:ascii="Titillium" w:hAnsi="Titillium"/>
          <w:color w:val="000000"/>
        </w:rPr>
        <w:t>lne rozporz</w:t>
      </w:r>
      <w:r>
        <w:rPr>
          <w:rFonts w:cs="Titillium" w:ascii="Titillium" w:hAnsi="Titillium"/>
          <w:color w:val="000000"/>
        </w:rPr>
        <w:t>ą</w:t>
      </w:r>
      <w:r>
        <w:rPr>
          <w:rFonts w:ascii="Titillium" w:hAnsi="Titillium"/>
          <w:color w:val="000000"/>
        </w:rPr>
        <w:t>dzenie o ochronie danych) (Dz. Urz. UE L 119 z 04.05.2016, str. 1),</w:t>
      </w:r>
    </w:p>
    <w:p>
      <w:pPr>
        <w:pStyle w:val="Standard"/>
        <w:numPr>
          <w:ilvl w:val="1"/>
          <w:numId w:val="9"/>
        </w:numPr>
        <w:spacing w:lineRule="auto" w:line="276"/>
        <w:ind w:hanging="567" w:left="1134"/>
        <w:jc w:val="both"/>
        <w:rPr>
          <w:rFonts w:ascii="Titillium" w:hAnsi="Titillium"/>
        </w:rPr>
      </w:pPr>
      <w:r>
        <w:rPr>
          <w:rFonts w:ascii="Titillium" w:hAnsi="Titillium"/>
          <w:color w:val="000000"/>
        </w:rPr>
        <w:t>PFU- należy przez to rozumieć program funkcjonalno-użytkowy.</w:t>
      </w:r>
    </w:p>
    <w:p>
      <w:pPr>
        <w:pStyle w:val="Standard"/>
        <w:numPr>
          <w:ilvl w:val="0"/>
          <w:numId w:val="9"/>
        </w:numPr>
        <w:spacing w:lineRule="auto" w:line="276"/>
        <w:ind w:hanging="567" w:left="567"/>
        <w:jc w:val="both"/>
        <w:rPr>
          <w:rFonts w:ascii="Titillium" w:hAnsi="Titillium"/>
        </w:rPr>
      </w:pPr>
      <w:r>
        <w:rPr>
          <w:rFonts w:ascii="Titillium" w:hAnsi="Titillium"/>
          <w:color w:val="000000"/>
        </w:rPr>
        <w:t xml:space="preserve">Do czynności podejmowanych przez Zamawiającego, Wykonawców w postępowaniu o udzielenie zamówienia oraz do umów w sprawach zamówień publicznych stosuje się przepisy </w:t>
      </w:r>
      <w:r>
        <w:rPr>
          <w:rFonts w:ascii="Titillium" w:hAnsi="Titillium"/>
        </w:rPr>
        <w:t>ustawy</w:t>
      </w:r>
      <w:r>
        <w:rPr>
          <w:rFonts w:ascii="Titillium" w:hAnsi="Titillium"/>
          <w:color w:val="000000"/>
        </w:rPr>
        <w:t xml:space="preserve"> z dnia 23</w:t>
      </w:r>
      <w:r>
        <w:rPr>
          <w:rFonts w:cs="Calibri" w:ascii="Titillium" w:hAnsi="Titillium"/>
          <w:color w:val="000000"/>
        </w:rPr>
        <w:t> </w:t>
      </w:r>
      <w:r>
        <w:rPr>
          <w:rFonts w:ascii="Titillium" w:hAnsi="Titillium"/>
          <w:color w:val="000000"/>
        </w:rPr>
        <w:t>kwietnia 1964 r. - Kodeks cywilny (Dz. U. z 2023 r. poz. 1610 ze zm.), jeżeli przepisy ustawy nie stanowią inaczej.</w:t>
      </w:r>
    </w:p>
    <w:p>
      <w:pPr>
        <w:pStyle w:val="Standard"/>
        <w:numPr>
          <w:ilvl w:val="0"/>
          <w:numId w:val="9"/>
        </w:numPr>
        <w:spacing w:lineRule="auto" w:line="276"/>
        <w:ind w:hanging="567" w:left="567"/>
        <w:jc w:val="both"/>
        <w:rPr/>
      </w:pPr>
      <w:r>
        <w:rPr>
          <w:rFonts w:ascii="Titillium" w:hAnsi="Titillium"/>
        </w:rPr>
        <w:t>Komplet materiałów (</w:t>
      </w:r>
      <w:r>
        <w:rPr>
          <w:rFonts w:ascii="Titillium" w:hAnsi="Titillium"/>
          <w:color w:val="000000"/>
        </w:rPr>
        <w:t>SWZ wraz z programem funkcjonalno- użytkowym oraz dokumentacją projektową i specyfikację techniczną wykonania i odbioru robót budowlanych) zostanie</w:t>
      </w:r>
      <w:r>
        <w:rPr>
          <w:rFonts w:ascii="Titillium" w:hAnsi="Titillium"/>
        </w:rPr>
        <w:t xml:space="preserve"> udostępniony bezpłatnie na stronie internetowej prowadzonego postępowania, tj. </w:t>
      </w:r>
      <w:hyperlink r:id="rId3">
        <w:r>
          <w:rPr>
            <w:rFonts w:ascii="Titillium" w:hAnsi="Titillium"/>
          </w:rPr>
          <w:t>https://platformazakupowa.pl/pn/rydultowy</w:t>
        </w:r>
      </w:hyperlink>
      <w:r>
        <w:rPr>
          <w:rFonts w:ascii="Titillium" w:hAnsi="Titillium"/>
          <w:color w:val="000000"/>
        </w:rPr>
        <w:t xml:space="preserve"> .</w:t>
      </w:r>
    </w:p>
    <w:p>
      <w:pPr>
        <w:pStyle w:val="Standard"/>
        <w:numPr>
          <w:ilvl w:val="0"/>
          <w:numId w:val="9"/>
        </w:numPr>
        <w:spacing w:lineRule="auto" w:line="276"/>
        <w:ind w:hanging="567" w:left="567"/>
        <w:jc w:val="both"/>
        <w:rPr>
          <w:rFonts w:ascii="Titillium" w:hAnsi="Titillium"/>
        </w:rPr>
      </w:pPr>
      <w:r>
        <w:rPr>
          <w:rFonts w:ascii="Titillium" w:hAnsi="Titillium"/>
          <w:color w:val="000000"/>
        </w:rPr>
        <w:t>Rozliczenia między Zamawiającym a Wykonawcą prowadzone będą w PLN.</w:t>
      </w:r>
    </w:p>
    <w:p>
      <w:pPr>
        <w:pStyle w:val="Standard"/>
        <w:numPr>
          <w:ilvl w:val="0"/>
          <w:numId w:val="9"/>
        </w:numPr>
        <w:spacing w:lineRule="auto" w:line="276"/>
        <w:ind w:hanging="567" w:left="567"/>
        <w:jc w:val="both"/>
        <w:rPr>
          <w:rFonts w:ascii="Titillium" w:hAnsi="Titillium"/>
        </w:rPr>
      </w:pPr>
      <w:r>
        <w:rPr>
          <w:rFonts w:ascii="Titillium" w:hAnsi="Titillium"/>
          <w:color w:val="000000"/>
        </w:rPr>
        <w:t>Niniejsze zamówienie zostało podzielone na 2 części (zadania):</w:t>
      </w:r>
    </w:p>
    <w:p>
      <w:pPr>
        <w:pStyle w:val="Standard"/>
        <w:widowControl/>
        <w:numPr>
          <w:ilvl w:val="1"/>
          <w:numId w:val="9"/>
        </w:numPr>
        <w:tabs>
          <w:tab w:val="clear" w:pos="720"/>
          <w:tab w:val="left" w:pos="984" w:leader="none"/>
        </w:tabs>
        <w:suppressAutoHyphens w:val="true"/>
        <w:bidi w:val="0"/>
        <w:spacing w:lineRule="auto" w:line="276" w:before="0" w:after="0"/>
        <w:ind w:hanging="0" w:left="567" w:right="0"/>
        <w:jc w:val="both"/>
        <w:textAlignment w:val="baseline"/>
        <w:rPr>
          <w:rFonts w:ascii="Titillium" w:hAnsi="Titillium"/>
        </w:rPr>
      </w:pPr>
      <w:r>
        <w:rPr>
          <w:rFonts w:ascii="Titillium" w:hAnsi="Titillium"/>
        </w:rPr>
        <w:t>Modernizacja ul. Niewiadomskiej jako zadanie nr 1,</w:t>
      </w:r>
    </w:p>
    <w:p>
      <w:pPr>
        <w:pStyle w:val="Standard"/>
        <w:widowControl/>
        <w:numPr>
          <w:ilvl w:val="1"/>
          <w:numId w:val="9"/>
        </w:numPr>
        <w:tabs>
          <w:tab w:val="clear" w:pos="720"/>
          <w:tab w:val="left" w:pos="984" w:leader="none"/>
        </w:tabs>
        <w:suppressAutoHyphens w:val="true"/>
        <w:bidi w:val="0"/>
        <w:spacing w:lineRule="auto" w:line="276" w:before="0" w:after="0"/>
        <w:ind w:hanging="0" w:left="567" w:right="0"/>
        <w:jc w:val="both"/>
        <w:textAlignment w:val="baseline"/>
        <w:rPr>
          <w:rFonts w:ascii="Titillium" w:hAnsi="Titillium"/>
        </w:rPr>
      </w:pPr>
      <w:r>
        <w:rPr>
          <w:rFonts w:ascii="Titillium" w:hAnsi="Titillium"/>
        </w:rPr>
        <w:t>Modernizacja ul. Osiedla na Wzgórzu jako zadanie nr 2.</w:t>
      </w:r>
    </w:p>
    <w:p>
      <w:pPr>
        <w:pStyle w:val="Standard"/>
        <w:widowControl/>
        <w:numPr>
          <w:ilvl w:val="0"/>
          <w:numId w:val="0"/>
        </w:numPr>
        <w:tabs>
          <w:tab w:val="clear" w:pos="720"/>
          <w:tab w:val="left" w:pos="984" w:leader="none"/>
        </w:tabs>
        <w:suppressAutoHyphens w:val="true"/>
        <w:bidi w:val="0"/>
        <w:spacing w:lineRule="auto" w:line="276" w:before="0" w:after="0"/>
        <w:ind w:hanging="0" w:left="567" w:right="0"/>
        <w:jc w:val="both"/>
        <w:textAlignment w:val="baseline"/>
        <w:rPr>
          <w:rFonts w:ascii="Titillium" w:hAnsi="Titillium"/>
        </w:rPr>
      </w:pPr>
      <w:r>
        <w:rPr>
          <w:rFonts w:ascii="Titillium" w:hAnsi="Titillium"/>
        </w:rPr>
        <w:t>Wykonawca może składać oferty na obydwie części zamówienia lub na jedną wybraną część.</w:t>
      </w:r>
    </w:p>
    <w:p>
      <w:pPr>
        <w:pStyle w:val="Standard"/>
        <w:numPr>
          <w:ilvl w:val="0"/>
          <w:numId w:val="9"/>
        </w:numPr>
        <w:spacing w:lineRule="auto" w:line="276"/>
        <w:ind w:hanging="567" w:left="567"/>
        <w:jc w:val="both"/>
        <w:rPr>
          <w:rFonts w:ascii="Titillium" w:hAnsi="Titillium"/>
        </w:rPr>
      </w:pPr>
      <w:r>
        <w:rPr>
          <w:rFonts w:ascii="Titillium" w:hAnsi="Titillium"/>
        </w:rPr>
        <w:t>Zamawiający nie przewiduje złożenia ofert wariantowych.</w:t>
      </w:r>
    </w:p>
    <w:p>
      <w:pPr>
        <w:pStyle w:val="Standard"/>
        <w:numPr>
          <w:ilvl w:val="0"/>
          <w:numId w:val="9"/>
        </w:numPr>
        <w:spacing w:lineRule="auto" w:line="276"/>
        <w:ind w:hanging="567" w:left="567"/>
        <w:jc w:val="both"/>
        <w:rPr>
          <w:rFonts w:ascii="Titillium" w:hAnsi="Titillium"/>
        </w:rPr>
      </w:pPr>
      <w:r>
        <w:rPr>
          <w:rFonts w:ascii="Titillium" w:hAnsi="Titillium"/>
        </w:rPr>
        <w:t>Niniejsze zamówienie nie obejmuje opcji. Nie przewiduje się wznowienia.</w:t>
      </w:r>
    </w:p>
    <w:p>
      <w:pPr>
        <w:pStyle w:val="Standard"/>
        <w:numPr>
          <w:ilvl w:val="0"/>
          <w:numId w:val="9"/>
        </w:numPr>
        <w:spacing w:lineRule="auto" w:line="276"/>
        <w:ind w:hanging="567" w:left="567"/>
        <w:jc w:val="both"/>
        <w:rPr>
          <w:rFonts w:ascii="Titillium" w:hAnsi="Titillium"/>
        </w:rPr>
      </w:pPr>
      <w:r>
        <w:rPr>
          <w:rFonts w:ascii="Titillium" w:hAnsi="Titillium"/>
        </w:rPr>
        <w:t>Zamawiający nie przewiduje udzielenia zamówień, o których mowa w przepisie art. 214 ust.1 pkt 7 ustawy Pzp.</w:t>
      </w:r>
    </w:p>
    <w:p>
      <w:pPr>
        <w:pStyle w:val="Standard"/>
        <w:numPr>
          <w:ilvl w:val="0"/>
          <w:numId w:val="9"/>
        </w:numPr>
        <w:spacing w:lineRule="auto" w:line="276"/>
        <w:ind w:hanging="567" w:left="567"/>
        <w:jc w:val="both"/>
        <w:rPr>
          <w:rFonts w:ascii="Titillium" w:hAnsi="Titillium"/>
        </w:rPr>
      </w:pPr>
      <w:r>
        <w:rPr>
          <w:rFonts w:ascii="Titillium" w:hAnsi="Titillium"/>
        </w:rPr>
        <w:t>Zamawiający nie wymaga odbycia przez Wykonawcę wizji lokalnej ani sprawdzenia dokumentów niezbędnych do realizacji zamówienia dostępnych na miejscu u Zamawiającego.</w:t>
      </w:r>
    </w:p>
    <w:p>
      <w:pPr>
        <w:pStyle w:val="Standard"/>
        <w:numPr>
          <w:ilvl w:val="0"/>
          <w:numId w:val="9"/>
        </w:numPr>
        <w:spacing w:lineRule="auto" w:line="276"/>
        <w:ind w:hanging="567" w:left="567"/>
        <w:jc w:val="both"/>
        <w:rPr>
          <w:rFonts w:ascii="Titillium" w:hAnsi="Titillium"/>
        </w:rPr>
      </w:pPr>
      <w:r>
        <w:rPr>
          <w:rFonts w:ascii="Titillium" w:hAnsi="Titillium"/>
        </w:rPr>
        <w:t xml:space="preserve">Zamawiający nie przewiduje zawarcia umowy ramowej.  </w:t>
      </w:r>
    </w:p>
    <w:p>
      <w:pPr>
        <w:pStyle w:val="Standard"/>
        <w:numPr>
          <w:ilvl w:val="0"/>
          <w:numId w:val="9"/>
        </w:numPr>
        <w:spacing w:lineRule="auto" w:line="276"/>
        <w:ind w:hanging="567" w:left="567"/>
        <w:jc w:val="both"/>
        <w:rPr>
          <w:rFonts w:ascii="Titillium" w:hAnsi="Titillium"/>
        </w:rPr>
      </w:pPr>
      <w:r>
        <w:rPr>
          <w:rFonts w:ascii="Titillium" w:hAnsi="Titillium"/>
        </w:rPr>
        <w:t>Zamawiający nie przewiduje ustanowienia dynamicznego systemu zakupów.</w:t>
      </w:r>
    </w:p>
    <w:p>
      <w:pPr>
        <w:pStyle w:val="Standard"/>
        <w:numPr>
          <w:ilvl w:val="0"/>
          <w:numId w:val="9"/>
        </w:numPr>
        <w:spacing w:lineRule="auto" w:line="276"/>
        <w:ind w:hanging="567" w:left="567"/>
        <w:jc w:val="both"/>
        <w:rPr>
          <w:rFonts w:ascii="Titillium" w:hAnsi="Titillium"/>
        </w:rPr>
      </w:pPr>
      <w:r>
        <w:rPr>
          <w:rFonts w:ascii="Titillium" w:hAnsi="Titillium"/>
        </w:rPr>
        <w:t>Zamawiający nie przewiduje wyboru najkorzystniejszej oferty z zastosowaniem aukcji elektronicznej.</w:t>
      </w:r>
    </w:p>
    <w:p>
      <w:pPr>
        <w:pStyle w:val="Standard"/>
        <w:numPr>
          <w:ilvl w:val="0"/>
          <w:numId w:val="9"/>
        </w:numPr>
        <w:spacing w:lineRule="auto" w:line="276"/>
        <w:ind w:hanging="567" w:left="567"/>
        <w:jc w:val="both"/>
        <w:rPr>
          <w:rFonts w:ascii="Titillium" w:hAnsi="Titillium"/>
        </w:rPr>
      </w:pPr>
      <w:r>
        <w:rPr>
          <w:rFonts w:ascii="Titillium" w:hAnsi="Titillium"/>
        </w:rPr>
        <w:t>Zamawiający nie planuje organizowania zebrania Wykonawców, o którym mowa w przepisie art.</w:t>
      </w:r>
      <w:r>
        <w:rPr>
          <w:rFonts w:cs="Calibri" w:ascii="Titillium" w:hAnsi="Titillium"/>
        </w:rPr>
        <w:t> </w:t>
      </w:r>
      <w:r>
        <w:rPr>
          <w:rFonts w:ascii="Titillium" w:hAnsi="Titillium"/>
        </w:rPr>
        <w:t>285 ustawy Pzp.</w:t>
      </w:r>
    </w:p>
    <w:p>
      <w:pPr>
        <w:pStyle w:val="Standard"/>
        <w:numPr>
          <w:ilvl w:val="0"/>
          <w:numId w:val="9"/>
        </w:numPr>
        <w:spacing w:lineRule="auto" w:line="276"/>
        <w:ind w:hanging="567" w:left="567"/>
        <w:jc w:val="both"/>
        <w:rPr>
          <w:rFonts w:ascii="Titillium" w:hAnsi="Titillium"/>
        </w:rPr>
      </w:pPr>
      <w:r>
        <w:rPr>
          <w:rFonts w:ascii="Titillium" w:hAnsi="Titillium"/>
        </w:rPr>
        <w:t>Nie przeprowadzono wstępnych konsultacji rynkowych, o których mowa w przepisie art. 84 ustawy Pzp.</w:t>
      </w:r>
    </w:p>
    <w:p>
      <w:pPr>
        <w:pStyle w:val="Standard"/>
        <w:numPr>
          <w:ilvl w:val="0"/>
          <w:numId w:val="9"/>
        </w:numPr>
        <w:spacing w:lineRule="auto" w:line="276"/>
        <w:ind w:hanging="567" w:left="567"/>
        <w:jc w:val="both"/>
        <w:rPr>
          <w:rFonts w:ascii="Titillium" w:hAnsi="Titillium"/>
        </w:rPr>
      </w:pPr>
      <w:r>
        <w:rPr>
          <w:rFonts w:ascii="Titillium" w:hAnsi="Titillium"/>
        </w:rPr>
        <w:t>Zamawiający nie przewiduje w SWZ wymagań, o których mowa w art. 96 ust. 2 pkt 2 ustawy Pzp.</w:t>
      </w:r>
    </w:p>
    <w:p>
      <w:pPr>
        <w:pStyle w:val="Standard"/>
        <w:numPr>
          <w:ilvl w:val="0"/>
          <w:numId w:val="9"/>
        </w:numPr>
        <w:spacing w:lineRule="auto" w:line="276"/>
        <w:ind w:hanging="567" w:left="567"/>
        <w:jc w:val="both"/>
        <w:rPr>
          <w:rFonts w:ascii="Titillium" w:hAnsi="Titillium"/>
        </w:rPr>
      </w:pPr>
      <w:r>
        <w:rPr>
          <w:rFonts w:ascii="Titillium" w:hAnsi="Titillium"/>
        </w:rPr>
        <w:t>Zamawiający nie będzie udzielał zaliczek na realizację zamówienia.</w:t>
      </w:r>
    </w:p>
    <w:p>
      <w:pPr>
        <w:pStyle w:val="Standard"/>
        <w:numPr>
          <w:ilvl w:val="0"/>
          <w:numId w:val="9"/>
        </w:numPr>
        <w:spacing w:lineRule="auto" w:line="276"/>
        <w:ind w:hanging="567" w:left="567"/>
        <w:jc w:val="both"/>
        <w:rPr>
          <w:rFonts w:ascii="Titillium" w:hAnsi="Titillium"/>
        </w:rPr>
      </w:pPr>
      <w:r>
        <w:rPr>
          <w:rFonts w:ascii="Titillium" w:hAnsi="Titillium"/>
        </w:rPr>
        <w:t>Zamawiający nie dopuszcza możliwości złożenia oferty w postaci katalogów elektronicznych lub dołączenia do oferty katalogów elektronicznych.</w:t>
      </w:r>
    </w:p>
    <w:p>
      <w:pPr>
        <w:pStyle w:val="Standard"/>
        <w:numPr>
          <w:ilvl w:val="0"/>
          <w:numId w:val="9"/>
        </w:numPr>
        <w:spacing w:lineRule="auto" w:line="276"/>
        <w:ind w:hanging="567" w:left="567"/>
        <w:jc w:val="both"/>
        <w:rPr>
          <w:rFonts w:ascii="Titillium" w:hAnsi="Titillium"/>
        </w:rPr>
      </w:pPr>
      <w:r>
        <w:rPr>
          <w:rFonts w:ascii="Titillium" w:hAnsi="Titillium"/>
        </w:rPr>
        <w:t>Zamówienia zastrzeżone: Zamawiający rezygnuje z zastrzeżenia w ogłoszeniu o zamówieniu, że o</w:t>
      </w:r>
      <w:r>
        <w:rPr>
          <w:rFonts w:cs="Calibri" w:ascii="Titillium" w:hAnsi="Titillium"/>
        </w:rPr>
        <w:t> </w:t>
      </w:r>
      <w:r>
        <w:rPr>
          <w:rFonts w:ascii="Titillium" w:hAnsi="Titillium"/>
        </w:rPr>
        <w:t>udzielenie zam</w:t>
      </w:r>
      <w:r>
        <w:rPr>
          <w:rFonts w:cs="Titillium" w:ascii="Titillium" w:hAnsi="Titillium"/>
        </w:rPr>
        <w:t>ó</w:t>
      </w:r>
      <w:r>
        <w:rPr>
          <w:rFonts w:ascii="Titillium" w:hAnsi="Titillium"/>
        </w:rPr>
        <w:t>wienia mog</w:t>
      </w:r>
      <w:r>
        <w:rPr>
          <w:rFonts w:cs="Titillium" w:ascii="Titillium" w:hAnsi="Titillium"/>
        </w:rPr>
        <w:t>ą</w:t>
      </w:r>
      <w:r>
        <w:rPr>
          <w:rFonts w:ascii="Titillium" w:hAnsi="Titillium"/>
        </w:rPr>
        <w:t xml:space="preserve"> ubiega</w:t>
      </w:r>
      <w:r>
        <w:rPr>
          <w:rFonts w:cs="Titillium" w:ascii="Titillium" w:hAnsi="Titillium"/>
        </w:rPr>
        <w:t>ć</w:t>
      </w:r>
      <w:r>
        <w:rPr>
          <w:rFonts w:ascii="Titillium" w:hAnsi="Titillium"/>
        </w:rPr>
        <w:t xml:space="preserve"> si</w:t>
      </w:r>
      <w:r>
        <w:rPr>
          <w:rFonts w:cs="Titillium" w:ascii="Titillium" w:hAnsi="Titillium"/>
        </w:rPr>
        <w:t>ę</w:t>
      </w:r>
      <w:r>
        <w:rPr>
          <w:rFonts w:ascii="Titillium" w:hAnsi="Titillium"/>
        </w:rPr>
        <w:t xml:space="preserve"> wy</w:t>
      </w:r>
      <w:r>
        <w:rPr>
          <w:rFonts w:cs="Titillium" w:ascii="Titillium" w:hAnsi="Titillium"/>
        </w:rPr>
        <w:t>łą</w:t>
      </w:r>
      <w:r>
        <w:rPr>
          <w:rFonts w:ascii="Titillium" w:hAnsi="Titillium"/>
        </w:rPr>
        <w:t>cznie zak</w:t>
      </w:r>
      <w:r>
        <w:rPr>
          <w:rFonts w:cs="Titillium" w:ascii="Titillium" w:hAnsi="Titillium"/>
        </w:rPr>
        <w:t>ł</w:t>
      </w:r>
      <w:r>
        <w:rPr>
          <w:rFonts w:ascii="Titillium" w:hAnsi="Titillium"/>
        </w:rPr>
        <w:t>ady pracy chronionej oraz inni Wykonawcy, kt</w:t>
      </w:r>
      <w:r>
        <w:rPr>
          <w:rFonts w:cs="Titillium" w:ascii="Titillium" w:hAnsi="Titillium"/>
        </w:rPr>
        <w:t>ó</w:t>
      </w:r>
      <w:r>
        <w:rPr>
          <w:rFonts w:ascii="Titillium" w:hAnsi="Titillium"/>
        </w:rPr>
        <w:t>rych dzia</w:t>
      </w:r>
      <w:r>
        <w:rPr>
          <w:rFonts w:cs="Titillium" w:ascii="Titillium" w:hAnsi="Titillium"/>
        </w:rPr>
        <w:t>ł</w:t>
      </w:r>
      <w:r>
        <w:rPr>
          <w:rFonts w:ascii="Titillium" w:hAnsi="Titillium"/>
        </w:rPr>
        <w:t>alno</w:t>
      </w:r>
      <w:r>
        <w:rPr>
          <w:rFonts w:cs="Titillium" w:ascii="Titillium" w:hAnsi="Titillium"/>
        </w:rPr>
        <w:t>ść</w:t>
      </w:r>
      <w:r>
        <w:rPr>
          <w:rFonts w:ascii="Titillium" w:hAnsi="Titillium"/>
        </w:rPr>
        <w:t>, lub dzia</w:t>
      </w:r>
      <w:r>
        <w:rPr>
          <w:rFonts w:cs="Titillium" w:ascii="Titillium" w:hAnsi="Titillium"/>
        </w:rPr>
        <w:t>ł</w:t>
      </w:r>
      <w:r>
        <w:rPr>
          <w:rFonts w:ascii="Titillium" w:hAnsi="Titillium"/>
        </w:rPr>
        <w:t>alno</w:t>
      </w:r>
      <w:r>
        <w:rPr>
          <w:rFonts w:cs="Titillium" w:ascii="Titillium" w:hAnsi="Titillium"/>
        </w:rPr>
        <w:t>ść</w:t>
      </w:r>
      <w:r>
        <w:rPr>
          <w:rFonts w:ascii="Titillium" w:hAnsi="Titillium"/>
        </w:rPr>
        <w:t xml:space="preserve"> ich wyodr</w:t>
      </w:r>
      <w:r>
        <w:rPr>
          <w:rFonts w:cs="Titillium" w:ascii="Titillium" w:hAnsi="Titillium"/>
        </w:rPr>
        <w:t>ę</w:t>
      </w:r>
      <w:r>
        <w:rPr>
          <w:rFonts w:ascii="Titillium" w:hAnsi="Titillium"/>
        </w:rPr>
        <w:t>bnionych organizacyjnie jednostek, kt</w:t>
      </w:r>
      <w:r>
        <w:rPr>
          <w:rFonts w:cs="Titillium" w:ascii="Titillium" w:hAnsi="Titillium"/>
        </w:rPr>
        <w:t>ó</w:t>
      </w:r>
      <w:r>
        <w:rPr>
          <w:rFonts w:ascii="Titillium" w:hAnsi="Titillium"/>
        </w:rPr>
        <w:t>re b</w:t>
      </w:r>
      <w:r>
        <w:rPr>
          <w:rFonts w:cs="Titillium" w:ascii="Titillium" w:hAnsi="Titillium"/>
        </w:rPr>
        <w:t>ę</w:t>
      </w:r>
      <w:r>
        <w:rPr>
          <w:rFonts w:ascii="Titillium" w:hAnsi="Titillium"/>
        </w:rPr>
        <w:t>d</w:t>
      </w:r>
      <w:r>
        <w:rPr>
          <w:rFonts w:cs="Titillium" w:ascii="Titillium" w:hAnsi="Titillium"/>
        </w:rPr>
        <w:t>ą</w:t>
      </w:r>
      <w:r>
        <w:rPr>
          <w:rFonts w:ascii="Titillium" w:hAnsi="Titillium"/>
        </w:rPr>
        <w:t xml:space="preserve"> realizowa</w:t>
      </w:r>
      <w:r>
        <w:rPr>
          <w:rFonts w:cs="Titillium" w:ascii="Titillium" w:hAnsi="Titillium"/>
        </w:rPr>
        <w:t>ł</w:t>
      </w:r>
      <w:r>
        <w:rPr>
          <w:rFonts w:ascii="Titillium" w:hAnsi="Titillium"/>
        </w:rPr>
        <w:t>y zam</w:t>
      </w:r>
      <w:r>
        <w:rPr>
          <w:rFonts w:cs="Titillium" w:ascii="Titillium" w:hAnsi="Titillium"/>
        </w:rPr>
        <w:t>ó</w:t>
      </w:r>
      <w:r>
        <w:rPr>
          <w:rFonts w:ascii="Titillium" w:hAnsi="Titillium"/>
        </w:rPr>
        <w:t>wienie, obejmuje spo</w:t>
      </w:r>
      <w:r>
        <w:rPr>
          <w:rFonts w:cs="Titillium" w:ascii="Titillium" w:hAnsi="Titillium"/>
        </w:rPr>
        <w:t>ł</w:t>
      </w:r>
      <w:r>
        <w:rPr>
          <w:rFonts w:ascii="Titillium" w:hAnsi="Titillium"/>
        </w:rPr>
        <w:t>eczn</w:t>
      </w:r>
      <w:r>
        <w:rPr>
          <w:rFonts w:cs="Titillium" w:ascii="Titillium" w:hAnsi="Titillium"/>
        </w:rPr>
        <w:t>ą</w:t>
      </w:r>
      <w:r>
        <w:rPr>
          <w:rFonts w:ascii="Titillium" w:hAnsi="Titillium"/>
        </w:rPr>
        <w:t xml:space="preserve"> i zawodow</w:t>
      </w:r>
      <w:r>
        <w:rPr>
          <w:rFonts w:cs="Titillium" w:ascii="Titillium" w:hAnsi="Titillium"/>
        </w:rPr>
        <w:t>ą</w:t>
      </w:r>
      <w:r>
        <w:rPr>
          <w:rFonts w:ascii="Titillium" w:hAnsi="Titillium"/>
        </w:rPr>
        <w:t xml:space="preserve"> integracj</w:t>
      </w:r>
      <w:r>
        <w:rPr>
          <w:rFonts w:cs="Titillium" w:ascii="Titillium" w:hAnsi="Titillium"/>
        </w:rPr>
        <w:t>ę</w:t>
      </w:r>
      <w:r>
        <w:rPr>
          <w:rFonts w:ascii="Titillium" w:hAnsi="Titillium"/>
        </w:rPr>
        <w:t xml:space="preserve"> os</w:t>
      </w:r>
      <w:r>
        <w:rPr>
          <w:rFonts w:cs="Titillium" w:ascii="Titillium" w:hAnsi="Titillium"/>
        </w:rPr>
        <w:t>ó</w:t>
      </w:r>
      <w:r>
        <w:rPr>
          <w:rFonts w:ascii="Titillium" w:hAnsi="Titillium"/>
        </w:rPr>
        <w:t>b b</w:t>
      </w:r>
      <w:r>
        <w:rPr>
          <w:rFonts w:cs="Titillium" w:ascii="Titillium" w:hAnsi="Titillium"/>
        </w:rPr>
        <w:t>ę</w:t>
      </w:r>
      <w:r>
        <w:rPr>
          <w:rFonts w:ascii="Titillium" w:hAnsi="Titillium"/>
        </w:rPr>
        <w:t>d</w:t>
      </w:r>
      <w:r>
        <w:rPr>
          <w:rFonts w:cs="Titillium" w:ascii="Titillium" w:hAnsi="Titillium"/>
        </w:rPr>
        <w:t>ą</w:t>
      </w:r>
      <w:r>
        <w:rPr>
          <w:rFonts w:ascii="Titillium" w:hAnsi="Titillium"/>
        </w:rPr>
        <w:t>cych cz</w:t>
      </w:r>
      <w:r>
        <w:rPr>
          <w:rFonts w:cs="Titillium" w:ascii="Titillium" w:hAnsi="Titillium"/>
        </w:rPr>
        <w:t>ł</w:t>
      </w:r>
      <w:r>
        <w:rPr>
          <w:rFonts w:ascii="Titillium" w:hAnsi="Titillium"/>
        </w:rPr>
        <w:t>onkami grup spo</w:t>
      </w:r>
      <w:r>
        <w:rPr>
          <w:rFonts w:cs="Titillium" w:ascii="Titillium" w:hAnsi="Titillium"/>
        </w:rPr>
        <w:t>ł</w:t>
      </w:r>
      <w:r>
        <w:rPr>
          <w:rFonts w:ascii="Titillium" w:hAnsi="Titillium"/>
        </w:rPr>
        <w:t>ecznie marginalizowanych, o kt</w:t>
      </w:r>
      <w:r>
        <w:rPr>
          <w:rFonts w:cs="Titillium" w:ascii="Titillium" w:hAnsi="Titillium"/>
        </w:rPr>
        <w:t>ó</w:t>
      </w:r>
      <w:r>
        <w:rPr>
          <w:rFonts w:ascii="Titillium" w:hAnsi="Titillium"/>
        </w:rPr>
        <w:t>rych mowa w art. 94 ust. 1 ustawy Pzp.</w:t>
      </w:r>
    </w:p>
    <w:p>
      <w:pPr>
        <w:pStyle w:val="Standard"/>
        <w:numPr>
          <w:ilvl w:val="0"/>
          <w:numId w:val="9"/>
        </w:numPr>
        <w:spacing w:lineRule="auto" w:line="276"/>
        <w:ind w:hanging="567" w:left="567"/>
        <w:jc w:val="both"/>
        <w:rPr>
          <w:rFonts w:ascii="Titillium" w:hAnsi="Titillium"/>
        </w:rPr>
      </w:pPr>
      <w:r>
        <w:rPr>
          <w:rFonts w:ascii="Titillium" w:hAnsi="Titillium"/>
        </w:rPr>
        <w:t>Zamawiający nie przewiduje unieważnienia postępowania w sytuacji określonej w przepisie art. 257 ustawy Pzp.</w:t>
      </w:r>
    </w:p>
    <w:p>
      <w:pPr>
        <w:pStyle w:val="Standard"/>
        <w:numPr>
          <w:ilvl w:val="0"/>
          <w:numId w:val="9"/>
        </w:numPr>
        <w:spacing w:lineRule="auto" w:line="276"/>
        <w:ind w:hanging="567" w:left="567"/>
        <w:jc w:val="both"/>
        <w:rPr>
          <w:rFonts w:ascii="Titillium" w:hAnsi="Titillium"/>
        </w:rPr>
      </w:pPr>
      <w:r>
        <w:rPr>
          <w:rFonts w:ascii="Titillium" w:hAnsi="Titillium"/>
        </w:rPr>
        <w:t>Zamawiający nie przewiduje zwrotu kosztów w postępowaniu z zastrzeżeniem art. 261 ustawy Pzp.</w:t>
      </w:r>
    </w:p>
    <w:p>
      <w:pPr>
        <w:pStyle w:val="Standard"/>
        <w:numPr>
          <w:ilvl w:val="0"/>
          <w:numId w:val="9"/>
        </w:numPr>
        <w:spacing w:lineRule="auto" w:line="276"/>
        <w:ind w:hanging="567" w:left="567"/>
        <w:jc w:val="both"/>
        <w:rPr>
          <w:rFonts w:ascii="Titillium" w:hAnsi="Titillium"/>
        </w:rPr>
      </w:pPr>
      <w:r>
        <w:rPr>
          <w:rFonts w:ascii="Titillium" w:hAnsi="Titillium"/>
        </w:rPr>
        <w:t>Zgodnie z art. 19 ust. 1 ustawy Pzp Zamawiający realizuje obowiązek informacyjny dotyczący przetwarzania danych osobowych w następujący sposób: z</w:t>
      </w:r>
      <w:r>
        <w:rPr>
          <w:rFonts w:cs="Arial" w:ascii="Titillium" w:hAnsi="Titillium"/>
          <w:lang w:eastAsia="pl-PL"/>
        </w:rPr>
        <w:t>godnie z art. 13 ust. 1 i 2 RODO informuję, że:</w:t>
      </w:r>
    </w:p>
    <w:p>
      <w:pPr>
        <w:pStyle w:val="Standard"/>
        <w:numPr>
          <w:ilvl w:val="1"/>
          <w:numId w:val="9"/>
        </w:numPr>
        <w:spacing w:lineRule="auto" w:line="276"/>
        <w:ind w:hanging="567" w:left="1134"/>
        <w:jc w:val="both"/>
        <w:rPr/>
      </w:pPr>
      <w:r>
        <w:rPr>
          <w:rFonts w:ascii="Titillium" w:hAnsi="Titillium"/>
          <w:lang w:eastAsia="pl-PL"/>
        </w:rPr>
        <w:t>administratorem Pani/Pana danych osobowych jest: Burmistrz Miasta Rydułtowy z siedzibą przy ul. Ofiar Terroru 36, 44-280 Rydułtowy,  tel</w:t>
      </w:r>
      <w:r>
        <w:rPr>
          <w:rFonts w:ascii="Titillium" w:hAnsi="Titillium"/>
          <w:color w:val="000000"/>
          <w:lang w:eastAsia="pl-PL"/>
        </w:rPr>
        <w:t>.: 32 45 37411</w:t>
      </w:r>
      <w:r>
        <w:rPr>
          <w:rFonts w:ascii="Titillium" w:hAnsi="Titillium"/>
          <w:color w:val="000000"/>
        </w:rPr>
        <w:t xml:space="preserve">, </w:t>
      </w:r>
      <w:r>
        <w:rPr>
          <w:rFonts w:ascii="Titillium" w:hAnsi="Titillium"/>
        </w:rPr>
        <w:t>e-mail:</w:t>
      </w:r>
      <w:r>
        <w:rPr>
          <w:rStyle w:val="Internetlink"/>
          <w:rFonts w:ascii="Titillium" w:hAnsi="Titillium"/>
          <w:b/>
          <w:u w:val="none"/>
        </w:rPr>
        <w:t xml:space="preserve"> </w:t>
      </w:r>
      <w:r>
        <w:rPr>
          <w:rFonts w:ascii="Titillium" w:hAnsi="Titillium"/>
          <w:color w:val="000000"/>
          <w:lang w:eastAsia="pl-PL"/>
        </w:rPr>
        <w:t xml:space="preserve">adres internetowy: </w:t>
      </w:r>
      <w:hyperlink r:id="rId4">
        <w:r>
          <w:rPr>
            <w:rFonts w:ascii="Titillium" w:hAnsi="Titillium"/>
          </w:rPr>
          <w:t>um@rydultowy.pl</w:t>
        </w:r>
      </w:hyperlink>
      <w:r>
        <w:rPr>
          <w:rFonts w:ascii="Titillium" w:hAnsi="Titillium"/>
          <w:color w:val="000000"/>
          <w:lang w:eastAsia="pl-PL"/>
        </w:rPr>
        <w:t>,</w:t>
      </w:r>
    </w:p>
    <w:p>
      <w:pPr>
        <w:pStyle w:val="Standard"/>
        <w:numPr>
          <w:ilvl w:val="1"/>
          <w:numId w:val="9"/>
        </w:numPr>
        <w:spacing w:lineRule="auto" w:line="276"/>
        <w:ind w:hanging="567" w:left="1134"/>
        <w:jc w:val="both"/>
        <w:rPr/>
      </w:pPr>
      <w:r>
        <w:rPr>
          <w:rFonts w:ascii="Titillium" w:hAnsi="Titillium"/>
        </w:rPr>
        <w:t xml:space="preserve">inspektor </w:t>
      </w:r>
      <w:r>
        <w:rPr>
          <w:rFonts w:ascii="Titillium" w:hAnsi="Titillium"/>
          <w:lang w:eastAsia="pl-PL"/>
        </w:rPr>
        <w:t>ochrony danych  jest dostępny pod numerem</w:t>
      </w:r>
      <w:r>
        <w:rPr>
          <w:rFonts w:ascii="Titillium" w:hAnsi="Titillium"/>
          <w:b/>
          <w:bCs/>
          <w:i/>
          <w:color w:val="000000"/>
          <w:lang w:eastAsia="pl-PL"/>
        </w:rPr>
        <w:t xml:space="preserve"> </w:t>
      </w:r>
      <w:r>
        <w:rPr>
          <w:rFonts w:ascii="Titillium" w:hAnsi="Titillium"/>
          <w:color w:val="000000"/>
          <w:lang w:eastAsia="pl-PL"/>
        </w:rPr>
        <w:t xml:space="preserve">(032 4537480) oraz pod adresem               e-mail </w:t>
      </w:r>
      <w:hyperlink r:id="rId5">
        <w:r>
          <w:rPr>
            <w:rStyle w:val="Internetlink"/>
            <w:rFonts w:ascii="Titillium" w:hAnsi="Titillium"/>
            <w:i/>
            <w:lang w:eastAsia="pl-PL"/>
          </w:rPr>
          <w:t>iod@rydultowy.pl</w:t>
        </w:r>
      </w:hyperlink>
      <w:r>
        <w:rPr>
          <w:rStyle w:val="Internetlink"/>
          <w:rFonts w:ascii="Titillium" w:hAnsi="Titillium"/>
          <w:i/>
          <w:lang w:eastAsia="pl-PL"/>
        </w:rPr>
        <w:t>,</w:t>
      </w:r>
    </w:p>
    <w:p>
      <w:pPr>
        <w:pStyle w:val="Standard"/>
        <w:numPr>
          <w:ilvl w:val="1"/>
          <w:numId w:val="9"/>
        </w:numPr>
        <w:spacing w:lineRule="auto" w:line="276"/>
        <w:ind w:hanging="567" w:left="1134"/>
        <w:jc w:val="both"/>
        <w:rPr>
          <w:rFonts w:ascii="Titillium" w:hAnsi="Titillium"/>
        </w:rPr>
      </w:pPr>
      <w:r>
        <w:rPr>
          <w:rFonts w:ascii="Titillium" w:hAnsi="Titillium"/>
          <w:lang w:eastAsia="pl-PL"/>
        </w:rPr>
        <w:t>Pani/Pana dane osobowe przetwarzane będą na podstawie art. 6 ust. 1 lit. c</w:t>
      </w:r>
      <w:r>
        <w:rPr>
          <w:rFonts w:ascii="Titillium" w:hAnsi="Titillium"/>
          <w:i/>
          <w:lang w:eastAsia="pl-PL"/>
        </w:rPr>
        <w:t xml:space="preserve"> </w:t>
      </w:r>
      <w:r>
        <w:rPr>
          <w:rFonts w:ascii="Titillium" w:hAnsi="Titillium"/>
          <w:lang w:eastAsia="pl-PL"/>
        </w:rPr>
        <w:t xml:space="preserve">RODO w celu </w:t>
      </w:r>
      <w:r>
        <w:rPr>
          <w:rFonts w:ascii="Titillium" w:hAnsi="Titillium"/>
        </w:rPr>
        <w:t xml:space="preserve">związanym z postępowaniem o udzielenie zamówienia publicznego prowadzonym w trybie podstawowym dla zadania pod nazwą: </w:t>
      </w:r>
      <w:bookmarkStart w:id="2" w:name="_Hlk162437537_kopia_1_kopia_1"/>
      <w:r>
        <w:rPr>
          <w:rFonts w:cs="Verdana" w:ascii="Titillium" w:hAnsi="Titillium"/>
          <w:b/>
          <w:bCs/>
          <w:color w:val="000000"/>
          <w:sz w:val="20"/>
          <w:szCs w:val="20"/>
        </w:rPr>
        <w:t>"Modernizacja</w:t>
      </w:r>
      <w:bookmarkEnd w:id="2"/>
      <w:r>
        <w:rPr>
          <w:rFonts w:cs="Verdana" w:ascii="Titillium" w:hAnsi="Titillium"/>
          <w:b/>
          <w:bCs/>
          <w:color w:val="000000"/>
          <w:sz w:val="20"/>
          <w:szCs w:val="20"/>
        </w:rPr>
        <w:t xml:space="preserve"> ul. Niewiadomskiej </w:t>
      </w:r>
      <w:r>
        <w:rPr>
          <w:rFonts w:ascii="Titillium" w:hAnsi="Titillium"/>
          <w:b/>
          <w:bCs/>
          <w:sz w:val="20"/>
          <w:szCs w:val="20"/>
        </w:rPr>
        <w:t>i Osiedla na Wzgórzu w Rydułtowach”.</w:t>
      </w:r>
    </w:p>
    <w:p>
      <w:pPr>
        <w:pStyle w:val="Standard"/>
        <w:numPr>
          <w:ilvl w:val="1"/>
          <w:numId w:val="9"/>
        </w:numPr>
        <w:spacing w:lineRule="auto" w:line="276"/>
        <w:ind w:hanging="567" w:left="1134"/>
        <w:jc w:val="both"/>
        <w:rPr>
          <w:rFonts w:ascii="Titillium" w:hAnsi="Titillium"/>
        </w:rPr>
      </w:pPr>
      <w:r>
        <w:rPr>
          <w:rFonts w:ascii="Titillium" w:hAnsi="Titillium"/>
          <w:lang w:eastAsia="pl-PL"/>
        </w:rPr>
        <w:t>odbiorcami Pani/Pana danych osobowych będą osoby lub podmioty, którym udostępniona zostanie dokumentacja postępowania w oparciu o art. 18 ust. 1 oraz art. 74  ust.1 ustawy Pzp,</w:t>
      </w:r>
    </w:p>
    <w:p>
      <w:pPr>
        <w:pStyle w:val="Standard"/>
        <w:numPr>
          <w:ilvl w:val="1"/>
          <w:numId w:val="9"/>
        </w:numPr>
        <w:spacing w:lineRule="auto" w:line="276"/>
        <w:ind w:hanging="567" w:left="1134"/>
        <w:jc w:val="both"/>
        <w:rPr>
          <w:rFonts w:ascii="Titillium" w:hAnsi="Titillium"/>
        </w:rPr>
      </w:pPr>
      <w:r>
        <w:rPr>
          <w:rFonts w:ascii="Titillium" w:hAnsi="Titillium"/>
          <w:lang w:eastAsia="pl-PL"/>
        </w:rPr>
        <w:t xml:space="preserve">Pani/Pana dane osobowe będą przechowywane </w:t>
      </w:r>
      <w:r>
        <w:rPr>
          <w:rFonts w:ascii="Titillium" w:hAnsi="Titillium"/>
          <w:color w:val="000000"/>
        </w:rPr>
        <w:t xml:space="preserve">zgodnie </w:t>
      </w:r>
      <w:r>
        <w:rPr>
          <w:rFonts w:ascii="Titillium" w:hAnsi="Titillium"/>
          <w:color w:val="000000"/>
          <w:lang w:eastAsia="pl-PL"/>
        </w:rPr>
        <w:t>z art. 78 ustawy Pzp, przez okres 4 lat od dnia zakończenia postępowania o udzielenie zamówienia, a jeżeli czas trwania umowy przekracza 4 lata, okres przechowywania obejmuje cały czas trwania umowy,</w:t>
      </w:r>
    </w:p>
    <w:p>
      <w:pPr>
        <w:pStyle w:val="Standard"/>
        <w:numPr>
          <w:ilvl w:val="1"/>
          <w:numId w:val="9"/>
        </w:numPr>
        <w:spacing w:lineRule="auto" w:line="276"/>
        <w:ind w:hanging="567" w:left="1134"/>
        <w:jc w:val="both"/>
        <w:rPr>
          <w:rFonts w:ascii="Titillium" w:hAnsi="Titillium"/>
        </w:rPr>
      </w:pPr>
      <w:r>
        <w:rPr>
          <w:rFonts w:ascii="Titillium" w:hAnsi="Titillium"/>
          <w:lang w:eastAsia="pl-PL"/>
        </w:rPr>
        <w:t>obowiązek podania przez Panią/Pana danych osobowych bezpośrednio Pani/Pana dotyczących jest wymogiem ustawowym określonym w przepisach ustawy Pzp, związanym z</w:t>
      </w:r>
      <w:r>
        <w:rPr>
          <w:rFonts w:cs="Calibri" w:ascii="Titillium" w:hAnsi="Titillium"/>
          <w:lang w:eastAsia="pl-PL"/>
        </w:rPr>
        <w:t> </w:t>
      </w:r>
      <w:r>
        <w:rPr>
          <w:rFonts w:ascii="Titillium" w:hAnsi="Titillium"/>
          <w:lang w:eastAsia="pl-PL"/>
        </w:rPr>
        <w:t>udziałem w postępowaniu o udzielenie zamówienia publicznego; konsekwencje niepodania określonych danych wynikają z ustawy;</w:t>
      </w:r>
    </w:p>
    <w:p>
      <w:pPr>
        <w:pStyle w:val="Standard"/>
        <w:numPr>
          <w:ilvl w:val="1"/>
          <w:numId w:val="9"/>
        </w:numPr>
        <w:spacing w:lineRule="auto" w:line="276"/>
        <w:ind w:hanging="567" w:left="1134"/>
        <w:jc w:val="both"/>
        <w:rPr>
          <w:rFonts w:ascii="Titillium" w:hAnsi="Titillium"/>
        </w:rPr>
      </w:pPr>
      <w:r>
        <w:rPr>
          <w:rFonts w:ascii="Titillium" w:hAnsi="Titillium"/>
          <w:lang w:eastAsia="pl-PL"/>
        </w:rPr>
        <w:t>w odniesieniu do Pani/Pana danych osobowych decyzje nie będą podejmowane w sposób zautomatyzowany, stosowanie do art. 22 RODO;</w:t>
      </w:r>
    </w:p>
    <w:p>
      <w:pPr>
        <w:pStyle w:val="Standard"/>
        <w:numPr>
          <w:ilvl w:val="1"/>
          <w:numId w:val="9"/>
        </w:numPr>
        <w:spacing w:lineRule="auto" w:line="276"/>
        <w:ind w:hanging="567" w:left="1134"/>
        <w:jc w:val="both"/>
        <w:rPr>
          <w:rFonts w:ascii="Titillium" w:hAnsi="Titillium"/>
        </w:rPr>
      </w:pPr>
      <w:r>
        <w:rPr>
          <w:rFonts w:ascii="Titillium" w:hAnsi="Titillium"/>
          <w:lang w:eastAsia="pl-PL"/>
        </w:rPr>
        <w:t>posiada Pani/Pan:</w:t>
      </w:r>
    </w:p>
    <w:p>
      <w:pPr>
        <w:pStyle w:val="Standard"/>
        <w:numPr>
          <w:ilvl w:val="2"/>
          <w:numId w:val="9"/>
        </w:numPr>
        <w:tabs>
          <w:tab w:val="clear" w:pos="720"/>
          <w:tab w:val="left" w:pos="3174" w:leader="none"/>
          <w:tab w:val="left" w:pos="3624" w:leader="none"/>
          <w:tab w:val="left" w:pos="4362" w:leader="none"/>
          <w:tab w:val="left" w:pos="4862" w:leader="none"/>
          <w:tab w:val="left" w:pos="5774" w:leader="none"/>
        </w:tabs>
        <w:spacing w:lineRule="auto" w:line="276"/>
        <w:ind w:hanging="283" w:left="1474"/>
        <w:jc w:val="both"/>
        <w:rPr>
          <w:rFonts w:ascii="Titillium" w:hAnsi="Titillium"/>
        </w:rPr>
      </w:pPr>
      <w:r>
        <w:rPr>
          <w:rFonts w:ascii="Titillium" w:hAnsi="Titillium"/>
          <w:lang w:eastAsia="pl-PL"/>
        </w:rPr>
        <w:t>na podstawie art. 15 RODO prawo dostępu do danych osobowych Pani/Pana dotyczących; W przypadku gdy wykonanie obowiązków, o których mowa w art. 15 ust. 1-3 rozporządzenia RODO, wymagałoby niewspółmiernie dużego wysiłku, Zamawiający może żądać od osoby, której dane dotyczą, wskazania dodatkowych informacji mających na celu sprecyzowanie żądania, w szczególności podania nazwy lub postępowania o</w:t>
      </w:r>
      <w:r>
        <w:rPr>
          <w:rFonts w:cs="Calibri" w:ascii="Titillium" w:hAnsi="Titillium"/>
          <w:lang w:eastAsia="pl-PL"/>
        </w:rPr>
        <w:t> </w:t>
      </w:r>
      <w:r>
        <w:rPr>
          <w:rFonts w:ascii="Titillium" w:hAnsi="Titillium"/>
          <w:lang w:eastAsia="pl-PL"/>
        </w:rPr>
        <w:t>udzielenie zam</w:t>
      </w:r>
      <w:r>
        <w:rPr>
          <w:rFonts w:cs="Titillium" w:ascii="Titillium" w:hAnsi="Titillium"/>
          <w:lang w:eastAsia="pl-PL"/>
        </w:rPr>
        <w:t>ó</w:t>
      </w:r>
      <w:r>
        <w:rPr>
          <w:rFonts w:ascii="Titillium" w:hAnsi="Titillium"/>
          <w:lang w:eastAsia="pl-PL"/>
        </w:rPr>
        <w:t>wienia publicznego,</w:t>
      </w:r>
    </w:p>
    <w:p>
      <w:pPr>
        <w:pStyle w:val="Standard"/>
        <w:numPr>
          <w:ilvl w:val="2"/>
          <w:numId w:val="9"/>
        </w:numPr>
        <w:tabs>
          <w:tab w:val="clear" w:pos="720"/>
          <w:tab w:val="left" w:pos="3174" w:leader="none"/>
          <w:tab w:val="left" w:pos="3187" w:leader="none"/>
          <w:tab w:val="left" w:pos="3624" w:leader="none"/>
          <w:tab w:val="left" w:pos="4362" w:leader="none"/>
          <w:tab w:val="left" w:pos="4862" w:leader="none"/>
          <w:tab w:val="left" w:pos="5774" w:leader="none"/>
        </w:tabs>
        <w:spacing w:lineRule="auto" w:line="276"/>
        <w:ind w:hanging="283" w:left="1474"/>
        <w:jc w:val="both"/>
        <w:rPr>
          <w:rFonts w:ascii="Titillium" w:hAnsi="Titillium"/>
        </w:rPr>
      </w:pPr>
      <w:r>
        <w:rPr>
          <w:rFonts w:ascii="Titillium" w:hAnsi="Titillium"/>
          <w:lang w:eastAsia="pl-PL"/>
        </w:rPr>
        <w:t>na podstawie art. 16 RODO prawo do sprostowania Pani/Pana danych osobowych, przy czym skorzystanie z prawa do sprostowania nie może skutkować zmianą wyniku postępowania o udzielenie zamówienia publicznego ani zmianą umowy w zakresie niezgodnym z Pzp oraz nie może naruszać integralności protokołu oraz jego załączników,</w:t>
      </w:r>
    </w:p>
    <w:p>
      <w:pPr>
        <w:pStyle w:val="Standard"/>
        <w:numPr>
          <w:ilvl w:val="2"/>
          <w:numId w:val="9"/>
        </w:numPr>
        <w:tabs>
          <w:tab w:val="clear" w:pos="720"/>
          <w:tab w:val="left" w:pos="3174" w:leader="none"/>
          <w:tab w:val="left" w:pos="3187" w:leader="none"/>
          <w:tab w:val="left" w:pos="3624" w:leader="none"/>
          <w:tab w:val="left" w:pos="4362" w:leader="none"/>
          <w:tab w:val="left" w:pos="4862" w:leader="none"/>
          <w:tab w:val="left" w:pos="5774" w:leader="none"/>
        </w:tabs>
        <w:spacing w:lineRule="auto" w:line="276"/>
        <w:ind w:hanging="283" w:left="1474"/>
        <w:jc w:val="both"/>
        <w:rPr>
          <w:rFonts w:ascii="Titillium" w:hAnsi="Titillium"/>
        </w:rPr>
      </w:pPr>
      <w:r>
        <w:rPr>
          <w:rFonts w:ascii="Titillium" w:hAnsi="Titillium"/>
          <w:lang w:eastAsia="pl-PL"/>
        </w:rPr>
        <w:t>na podstawie art. 18 RODO prawo żądania od administratora ograniczenia przetwarzania danych osobowych z zastrzeżeniem przypadków, o których mowa w</w:t>
      </w:r>
      <w:r>
        <w:rPr>
          <w:rFonts w:cs="Calibri" w:ascii="Titillium" w:hAnsi="Titillium"/>
          <w:lang w:eastAsia="pl-PL"/>
        </w:rPr>
        <w:t> </w:t>
      </w:r>
      <w:r>
        <w:rPr>
          <w:rFonts w:ascii="Titillium" w:hAnsi="Titillium"/>
          <w:lang w:eastAsia="pl-PL"/>
        </w:rPr>
        <w:t>art. 18 ust. 2 RODO; Wyst</w:t>
      </w:r>
      <w:r>
        <w:rPr>
          <w:rFonts w:cs="Titillium" w:ascii="Titillium" w:hAnsi="Titillium"/>
          <w:lang w:eastAsia="pl-PL"/>
        </w:rPr>
        <w:t>ą</w:t>
      </w:r>
      <w:r>
        <w:rPr>
          <w:rFonts w:ascii="Titillium" w:hAnsi="Titillium"/>
          <w:lang w:eastAsia="pl-PL"/>
        </w:rPr>
        <w:t xml:space="preserve">pienie z </w:t>
      </w:r>
      <w:r>
        <w:rPr>
          <w:rFonts w:cs="Titillium" w:ascii="Titillium" w:hAnsi="Titillium"/>
          <w:lang w:eastAsia="pl-PL"/>
        </w:rPr>
        <w:t>żą</w:t>
      </w:r>
      <w:r>
        <w:rPr>
          <w:rFonts w:ascii="Titillium" w:hAnsi="Titillium"/>
          <w:lang w:eastAsia="pl-PL"/>
        </w:rPr>
        <w:t>daniem, o kt</w:t>
      </w:r>
      <w:r>
        <w:rPr>
          <w:rFonts w:cs="Titillium" w:ascii="Titillium" w:hAnsi="Titillium"/>
          <w:lang w:eastAsia="pl-PL"/>
        </w:rPr>
        <w:t>ó</w:t>
      </w:r>
      <w:r>
        <w:rPr>
          <w:rFonts w:ascii="Titillium" w:hAnsi="Titillium"/>
          <w:lang w:eastAsia="pl-PL"/>
        </w:rPr>
        <w:t>rym mowa w art. 18 ust. 1 RODO, nie ogranicza przetwarzania danych osobowych do czasu zako</w:t>
      </w:r>
      <w:r>
        <w:rPr>
          <w:rFonts w:cs="Titillium" w:ascii="Titillium" w:hAnsi="Titillium"/>
          <w:lang w:eastAsia="pl-PL"/>
        </w:rPr>
        <w:t>ń</w:t>
      </w:r>
      <w:r>
        <w:rPr>
          <w:rFonts w:ascii="Titillium" w:hAnsi="Titillium"/>
          <w:lang w:eastAsia="pl-PL"/>
        </w:rPr>
        <w:t>czenia post</w:t>
      </w:r>
      <w:r>
        <w:rPr>
          <w:rFonts w:cs="Titillium" w:ascii="Titillium" w:hAnsi="Titillium"/>
          <w:lang w:eastAsia="pl-PL"/>
        </w:rPr>
        <w:t>ę</w:t>
      </w:r>
      <w:r>
        <w:rPr>
          <w:rFonts w:ascii="Titillium" w:hAnsi="Titillium"/>
          <w:lang w:eastAsia="pl-PL"/>
        </w:rPr>
        <w:t>powania o udzielenie zam</w:t>
      </w:r>
      <w:r>
        <w:rPr>
          <w:rFonts w:cs="Titillium" w:ascii="Titillium" w:hAnsi="Titillium"/>
          <w:lang w:eastAsia="pl-PL"/>
        </w:rPr>
        <w:t>ó</w:t>
      </w:r>
      <w:r>
        <w:rPr>
          <w:rFonts w:ascii="Titillium" w:hAnsi="Titillium"/>
          <w:lang w:eastAsia="pl-PL"/>
        </w:rPr>
        <w:t xml:space="preserve">wienia publicznego. </w:t>
      </w:r>
      <w:r>
        <w:rPr>
          <w:rFonts w:ascii="Titillium" w:hAnsi="Titillium"/>
        </w:rPr>
        <w:t>W przypadku gdy wniesienie żądania dotyczącego prawa, o</w:t>
      </w:r>
      <w:r>
        <w:rPr>
          <w:rFonts w:cs="Calibri" w:ascii="Titillium" w:hAnsi="Titillium"/>
        </w:rPr>
        <w:t> </w:t>
      </w:r>
      <w:r>
        <w:rPr>
          <w:rFonts w:ascii="Titillium" w:hAnsi="Titillium"/>
        </w:rPr>
        <w:t>kt</w:t>
      </w:r>
      <w:r>
        <w:rPr>
          <w:rFonts w:cs="Titillium" w:ascii="Titillium" w:hAnsi="Titillium"/>
        </w:rPr>
        <w:t>ó</w:t>
      </w:r>
      <w:r>
        <w:rPr>
          <w:rFonts w:ascii="Titillium" w:hAnsi="Titillium"/>
        </w:rPr>
        <w:t>rym mowa w art. 18 ust. 1 rozporz</w:t>
      </w:r>
      <w:r>
        <w:rPr>
          <w:rFonts w:cs="Titillium" w:ascii="Titillium" w:hAnsi="Titillium"/>
        </w:rPr>
        <w:t>ą</w:t>
      </w:r>
      <w:r>
        <w:rPr>
          <w:rFonts w:ascii="Titillium" w:hAnsi="Titillium"/>
        </w:rPr>
        <w:t>dzenia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RODO. Udostępnianie, o</w:t>
      </w:r>
      <w:r>
        <w:rPr>
          <w:rFonts w:cs="Calibri" w:ascii="Titillium" w:hAnsi="Titillium"/>
        </w:rPr>
        <w:t> </w:t>
      </w:r>
      <w:r>
        <w:rPr>
          <w:rFonts w:ascii="Titillium" w:hAnsi="Titillium"/>
        </w:rPr>
        <w:t>kt</w:t>
      </w:r>
      <w:r>
        <w:rPr>
          <w:rFonts w:cs="Titillium" w:ascii="Titillium" w:hAnsi="Titillium"/>
        </w:rPr>
        <w:t>ó</w:t>
      </w:r>
      <w:r>
        <w:rPr>
          <w:rFonts w:ascii="Titillium" w:hAnsi="Titillium"/>
        </w:rPr>
        <w:t>rym mowa powyżej, ma zastosowanie do wszystkich danych osobowych, z</w:t>
      </w:r>
      <w:r>
        <w:rPr>
          <w:rFonts w:cs="Calibri" w:ascii="Titillium" w:hAnsi="Titillium"/>
        </w:rPr>
        <w:t> </w:t>
      </w:r>
      <w:r>
        <w:rPr>
          <w:rFonts w:ascii="Titillium" w:hAnsi="Titillium"/>
        </w:rPr>
        <w:t>wyj</w:t>
      </w:r>
      <w:r>
        <w:rPr>
          <w:rFonts w:cs="Titillium" w:ascii="Titillium" w:hAnsi="Titillium"/>
        </w:rPr>
        <w:t>ą</w:t>
      </w:r>
      <w:r>
        <w:rPr>
          <w:rFonts w:ascii="Titillium" w:hAnsi="Titillium"/>
        </w:rPr>
        <w:t>tkiem danych, o kt</w:t>
      </w:r>
      <w:r>
        <w:rPr>
          <w:rFonts w:cs="Titillium" w:ascii="Titillium" w:hAnsi="Titillium"/>
        </w:rPr>
        <w:t>ó</w:t>
      </w:r>
      <w:r>
        <w:rPr>
          <w:rFonts w:ascii="Titillium" w:hAnsi="Titillium"/>
        </w:rPr>
        <w:t>rych mowa w</w:t>
      </w:r>
      <w:r>
        <w:rPr>
          <w:rFonts w:cs="Calibri" w:ascii="Titillium" w:hAnsi="Titillium"/>
        </w:rPr>
        <w:t> </w:t>
      </w:r>
      <w:r>
        <w:rPr>
          <w:rFonts w:ascii="Titillium" w:hAnsi="Titillium"/>
        </w:rPr>
        <w:t>art. 9 ust. 1 rozporz</w:t>
      </w:r>
      <w:r>
        <w:rPr>
          <w:rFonts w:cs="Titillium" w:ascii="Titillium" w:hAnsi="Titillium"/>
        </w:rPr>
        <w:t>ą</w:t>
      </w:r>
      <w:r>
        <w:rPr>
          <w:rFonts w:ascii="Titillium" w:hAnsi="Titillium"/>
        </w:rPr>
        <w:t>dzenia RODO zebranych w toku postępowania o udzielenie zamówienia. Ograniczenia zasady jawności, o</w:t>
      </w:r>
      <w:r>
        <w:rPr>
          <w:rFonts w:cs="Calibri" w:ascii="Titillium" w:hAnsi="Titillium"/>
        </w:rPr>
        <w:t> </w:t>
      </w:r>
      <w:r>
        <w:rPr>
          <w:rFonts w:ascii="Titillium" w:hAnsi="Titillium"/>
        </w:rPr>
        <w:t>kt</w:t>
      </w:r>
      <w:r>
        <w:rPr>
          <w:rFonts w:cs="Titillium" w:ascii="Titillium" w:hAnsi="Titillium"/>
        </w:rPr>
        <w:t>ó</w:t>
      </w:r>
      <w:r>
        <w:rPr>
          <w:rFonts w:ascii="Titillium" w:hAnsi="Titillium"/>
        </w:rPr>
        <w:t>rych mowa w ust. 3 i art. 18 ust. 3-6, stosuje si</w:t>
      </w:r>
      <w:r>
        <w:rPr>
          <w:rFonts w:cs="Titillium" w:ascii="Titillium" w:hAnsi="Titillium"/>
        </w:rPr>
        <w:t>ę</w:t>
      </w:r>
      <w:r>
        <w:rPr>
          <w:rFonts w:ascii="Titillium" w:hAnsi="Titillium"/>
        </w:rPr>
        <w:t xml:space="preserve"> odpowiednio,</w:t>
      </w:r>
    </w:p>
    <w:p>
      <w:pPr>
        <w:pStyle w:val="Standard"/>
        <w:numPr>
          <w:ilvl w:val="2"/>
          <w:numId w:val="9"/>
        </w:numPr>
        <w:tabs>
          <w:tab w:val="clear" w:pos="720"/>
          <w:tab w:val="left" w:pos="3174" w:leader="none"/>
          <w:tab w:val="left" w:pos="3187" w:leader="none"/>
          <w:tab w:val="left" w:pos="3624" w:leader="none"/>
          <w:tab w:val="left" w:pos="4362" w:leader="none"/>
          <w:tab w:val="left" w:pos="4862" w:leader="none"/>
          <w:tab w:val="left" w:pos="5774" w:leader="none"/>
        </w:tabs>
        <w:spacing w:lineRule="auto" w:line="276"/>
        <w:ind w:hanging="283" w:left="1474"/>
        <w:jc w:val="both"/>
        <w:rPr>
          <w:rFonts w:ascii="Titillium" w:hAnsi="Titillium"/>
        </w:rPr>
      </w:pPr>
      <w:r>
        <w:rPr>
          <w:rFonts w:ascii="Titillium" w:hAnsi="Titillium"/>
          <w:lang w:eastAsia="pl-PL"/>
        </w:rPr>
        <w:t>prawo do wniesienia skargi do Prezesa Urzędu Ochrony Danych Osobowych, gdy uzna Pani/Pan, że przetwarzanie danych osobowych Pani/Pana dotyczących narusza przepisy RODO;</w:t>
      </w:r>
    </w:p>
    <w:p>
      <w:pPr>
        <w:pStyle w:val="Standard"/>
        <w:numPr>
          <w:ilvl w:val="1"/>
          <w:numId w:val="9"/>
        </w:numPr>
        <w:tabs>
          <w:tab w:val="clear" w:pos="720"/>
          <w:tab w:val="left" w:pos="2259" w:leader="none"/>
          <w:tab w:val="left" w:pos="2834" w:leader="none"/>
          <w:tab w:val="left" w:pos="2847" w:leader="none"/>
          <w:tab w:val="left" w:pos="3284" w:leader="none"/>
          <w:tab w:val="left" w:pos="4022" w:leader="none"/>
          <w:tab w:val="left" w:pos="4522" w:leader="none"/>
          <w:tab w:val="left" w:pos="5434" w:leader="none"/>
        </w:tabs>
        <w:spacing w:lineRule="auto" w:line="276"/>
        <w:ind w:hanging="567" w:left="1134"/>
        <w:jc w:val="both"/>
        <w:rPr>
          <w:rFonts w:ascii="Titillium" w:hAnsi="Titillium"/>
        </w:rPr>
      </w:pPr>
      <w:r>
        <w:rPr>
          <w:rFonts w:ascii="Titillium" w:hAnsi="Titillium"/>
          <w:lang w:eastAsia="pl-PL"/>
        </w:rPr>
        <w:t>nie przysługuje Pani/Panu:</w:t>
      </w:r>
    </w:p>
    <w:p>
      <w:pPr>
        <w:pStyle w:val="Standard"/>
        <w:numPr>
          <w:ilvl w:val="2"/>
          <w:numId w:val="9"/>
        </w:numPr>
        <w:tabs>
          <w:tab w:val="clear" w:pos="720"/>
          <w:tab w:val="left" w:pos="2949" w:leader="none"/>
          <w:tab w:val="left" w:pos="3174" w:leader="none"/>
          <w:tab w:val="left" w:pos="3187" w:leader="none"/>
          <w:tab w:val="left" w:pos="3624" w:leader="none"/>
          <w:tab w:val="left" w:pos="4362" w:leader="none"/>
          <w:tab w:val="left" w:pos="4862" w:leader="none"/>
          <w:tab w:val="left" w:pos="5774" w:leader="none"/>
        </w:tabs>
        <w:spacing w:lineRule="auto" w:line="276"/>
        <w:ind w:hanging="283" w:left="1474"/>
        <w:jc w:val="both"/>
        <w:rPr>
          <w:rFonts w:ascii="Titillium" w:hAnsi="Titillium"/>
        </w:rPr>
      </w:pPr>
      <w:r>
        <w:rPr>
          <w:rFonts w:ascii="Titillium" w:hAnsi="Titillium"/>
          <w:lang w:eastAsia="pl-PL"/>
        </w:rPr>
        <w:t>w związku z art. 17 ust. 3 lit. b, d lub e RODO prawo do usunięcia danych osobowych;</w:t>
      </w:r>
    </w:p>
    <w:p>
      <w:pPr>
        <w:pStyle w:val="Standard"/>
        <w:numPr>
          <w:ilvl w:val="2"/>
          <w:numId w:val="9"/>
        </w:numPr>
        <w:tabs>
          <w:tab w:val="clear" w:pos="720"/>
          <w:tab w:val="left" w:pos="2949" w:leader="none"/>
          <w:tab w:val="left" w:pos="3174" w:leader="none"/>
          <w:tab w:val="left" w:pos="3187" w:leader="none"/>
          <w:tab w:val="left" w:pos="3624" w:leader="none"/>
          <w:tab w:val="left" w:pos="4362" w:leader="none"/>
          <w:tab w:val="left" w:pos="4862" w:leader="none"/>
          <w:tab w:val="left" w:pos="5774" w:leader="none"/>
        </w:tabs>
        <w:spacing w:lineRule="auto" w:line="276"/>
        <w:ind w:hanging="283" w:left="1474"/>
        <w:jc w:val="both"/>
        <w:rPr>
          <w:rFonts w:ascii="Titillium" w:hAnsi="Titillium"/>
        </w:rPr>
      </w:pPr>
      <w:r>
        <w:rPr>
          <w:rFonts w:ascii="Titillium" w:hAnsi="Titillium"/>
          <w:lang w:eastAsia="pl-PL"/>
        </w:rPr>
        <w:t>prawo do przenoszenia danych osobowych, o którym mowa w art. 20 RODO,</w:t>
      </w:r>
    </w:p>
    <w:p>
      <w:pPr>
        <w:pStyle w:val="Standard"/>
        <w:numPr>
          <w:ilvl w:val="2"/>
          <w:numId w:val="9"/>
        </w:numPr>
        <w:tabs>
          <w:tab w:val="clear" w:pos="720"/>
          <w:tab w:val="left" w:pos="2949" w:leader="none"/>
          <w:tab w:val="left" w:pos="3174" w:leader="none"/>
          <w:tab w:val="left" w:pos="3187" w:leader="none"/>
          <w:tab w:val="left" w:pos="3624" w:leader="none"/>
          <w:tab w:val="left" w:pos="4362" w:leader="none"/>
          <w:tab w:val="left" w:pos="4862" w:leader="none"/>
          <w:tab w:val="left" w:pos="5774" w:leader="none"/>
        </w:tabs>
        <w:spacing w:lineRule="auto" w:line="276"/>
        <w:ind w:hanging="283" w:left="1474"/>
        <w:jc w:val="both"/>
        <w:rPr>
          <w:rFonts w:ascii="Titillium" w:hAnsi="Titillium"/>
        </w:rPr>
      </w:pPr>
      <w:r>
        <w:rPr>
          <w:rFonts w:ascii="Titillium" w:hAnsi="Titillium"/>
          <w:lang w:eastAsia="pl-PL"/>
        </w:rPr>
        <w:t>na podstawie art. 21 RODO prawo sprzeciwu, wobec przetwarzania danych osobowych, gdyż podstawą prawną przetwarzania Pani/Pana danych osobowych jest art. 6 ust. 1 lit. c RODO.</w:t>
      </w:r>
    </w:p>
    <w:p>
      <w:pPr>
        <w:pStyle w:val="Standard"/>
        <w:spacing w:lineRule="auto" w:line="276"/>
        <w:jc w:val="both"/>
        <w:rPr>
          <w:rFonts w:ascii="Titillium" w:hAnsi="Titillium"/>
        </w:rPr>
      </w:pPr>
      <w:r>
        <w:rPr>
          <w:rFonts w:ascii="Titillium" w:hAnsi="Titillium"/>
        </w:rPr>
      </w:r>
    </w:p>
    <w:p>
      <w:pPr>
        <w:pStyle w:val="Heading1"/>
        <w:numPr>
          <w:ilvl w:val="0"/>
          <w:numId w:val="46"/>
        </w:numPr>
        <w:jc w:val="both"/>
        <w:rPr>
          <w:rFonts w:ascii="Titillium" w:hAnsi="Titillium"/>
        </w:rPr>
      </w:pPr>
      <w:r>
        <w:rPr>
          <w:rFonts w:ascii="Titillium" w:hAnsi="Titillium"/>
        </w:rPr>
        <w:t>Opis przedmiotu zamówienia i wymogi dotyczące realizacji zamówienia</w:t>
      </w:r>
    </w:p>
    <w:p>
      <w:pPr>
        <w:pStyle w:val="Standard"/>
        <w:spacing w:lineRule="auto" w:line="276"/>
        <w:ind w:left="15"/>
        <w:jc w:val="both"/>
        <w:rPr>
          <w:rFonts w:ascii="Titillium" w:hAnsi="Titillium" w:eastAsia="Calibri"/>
          <w:kern w:val="0"/>
          <w:sz w:val="20"/>
          <w:szCs w:val="20"/>
          <w:lang w:eastAsia="en-US"/>
        </w:rPr>
      </w:pPr>
      <w:r>
        <w:rPr>
          <w:rFonts w:eastAsia="Calibri" w:ascii="Titillium" w:hAnsi="Titillium"/>
          <w:kern w:val="0"/>
          <w:sz w:val="20"/>
          <w:szCs w:val="20"/>
          <w:lang w:eastAsia="en-US"/>
        </w:rPr>
      </w:r>
    </w:p>
    <w:p>
      <w:pPr>
        <w:pStyle w:val="Standard"/>
        <w:spacing w:lineRule="auto" w:line="276"/>
        <w:ind w:left="15"/>
        <w:jc w:val="both"/>
        <w:rPr>
          <w:rFonts w:ascii="Titillium" w:hAnsi="Titillium"/>
          <w:sz w:val="20"/>
          <w:szCs w:val="20"/>
        </w:rPr>
      </w:pPr>
      <w:r>
        <w:rPr>
          <w:rFonts w:eastAsia="Calibri" w:ascii="Titillium" w:hAnsi="Titillium"/>
          <w:kern w:val="0"/>
          <w:sz w:val="20"/>
          <w:szCs w:val="20"/>
          <w:lang w:eastAsia="en-US"/>
        </w:rPr>
        <w:t>Nomenklatura wg Wspólnego Słownika Zamówień</w:t>
      </w:r>
    </w:p>
    <w:p>
      <w:pPr>
        <w:pStyle w:val="Normal"/>
        <w:widowControl/>
        <w:tabs>
          <w:tab w:val="clear" w:pos="685"/>
          <w:tab w:val="clear" w:pos="4876"/>
          <w:tab w:val="clear" w:pos="5470"/>
        </w:tabs>
        <w:spacing w:lineRule="auto" w:line="276"/>
        <w:ind w:hanging="0" w:left="0"/>
        <w:textAlignment w:val="auto"/>
        <w:rPr>
          <w:rFonts w:ascii="Titillium" w:hAnsi="Titillium"/>
          <w:sz w:val="20"/>
          <w:szCs w:val="20"/>
        </w:rPr>
      </w:pPr>
      <w:r>
        <w:rPr>
          <w:rFonts w:eastAsia="Calibri" w:cs="Times New Roman" w:ascii="Titillium" w:hAnsi="Titillium"/>
          <w:b w:val="false"/>
          <w:kern w:val="0"/>
          <w:sz w:val="20"/>
          <w:szCs w:val="20"/>
          <w:lang w:eastAsia="en-US" w:bidi="ar-SA"/>
        </w:rPr>
        <w:t>45000000-7</w:t>
        <w:tab/>
        <w:t>Roboty budowlane</w:t>
      </w:r>
    </w:p>
    <w:p>
      <w:pPr>
        <w:pStyle w:val="Normal"/>
        <w:widowControl/>
        <w:tabs>
          <w:tab w:val="clear" w:pos="685"/>
          <w:tab w:val="clear" w:pos="4876"/>
          <w:tab w:val="clear" w:pos="5470"/>
        </w:tabs>
        <w:spacing w:lineRule="auto" w:line="276"/>
        <w:ind w:hanging="0" w:left="0"/>
        <w:textAlignment w:val="auto"/>
        <w:rPr>
          <w:rFonts w:ascii="Titillium" w:hAnsi="Titillium"/>
          <w:sz w:val="20"/>
          <w:szCs w:val="20"/>
        </w:rPr>
      </w:pPr>
      <w:r>
        <w:rPr>
          <w:rFonts w:eastAsia="Calibri" w:cs="Times New Roman" w:ascii="Titillium" w:hAnsi="Titillium"/>
          <w:b w:val="false"/>
          <w:kern w:val="0"/>
          <w:sz w:val="20"/>
          <w:szCs w:val="20"/>
          <w:lang w:eastAsia="en-US" w:bidi="ar-SA"/>
        </w:rPr>
        <w:t xml:space="preserve">45100000-8 </w:t>
        <w:tab/>
        <w:t>Przygotowanie terenu pod budowę</w:t>
      </w:r>
    </w:p>
    <w:p>
      <w:pPr>
        <w:pStyle w:val="Normal"/>
        <w:widowControl/>
        <w:tabs>
          <w:tab w:val="clear" w:pos="685"/>
          <w:tab w:val="clear" w:pos="4876"/>
          <w:tab w:val="clear" w:pos="5470"/>
        </w:tabs>
        <w:spacing w:lineRule="auto" w:line="276"/>
        <w:ind w:hanging="1418" w:left="1418"/>
        <w:textAlignment w:val="auto"/>
        <w:rPr>
          <w:rFonts w:ascii="Titillium" w:hAnsi="Titillium"/>
          <w:sz w:val="20"/>
          <w:szCs w:val="20"/>
        </w:rPr>
      </w:pPr>
      <w:r>
        <w:rPr>
          <w:rFonts w:eastAsia="Calibri" w:cs="Times New Roman" w:ascii="Titillium" w:hAnsi="Titillium"/>
          <w:b w:val="false"/>
          <w:kern w:val="0"/>
          <w:sz w:val="20"/>
          <w:szCs w:val="20"/>
          <w:lang w:eastAsia="en-US" w:bidi="ar-SA"/>
        </w:rPr>
        <w:t>45200000-9</w:t>
        <w:tab/>
        <w:t>Roboty budowlane w zakresie wznoszenia kompletnych obiektów budowlanych lub ich części oraz roboty w zakresie inżynierii lądowej i</w:t>
      </w:r>
      <w:r>
        <w:rPr>
          <w:rFonts w:eastAsia="Calibri" w:cs="Calibri" w:ascii="Titillium" w:hAnsi="Titillium"/>
          <w:b w:val="false"/>
          <w:kern w:val="0"/>
          <w:sz w:val="20"/>
          <w:szCs w:val="20"/>
          <w:lang w:eastAsia="en-US" w:bidi="ar-SA"/>
        </w:rPr>
        <w:t> </w:t>
      </w:r>
      <w:r>
        <w:rPr>
          <w:rFonts w:eastAsia="Calibri" w:cs="Times New Roman" w:ascii="Titillium" w:hAnsi="Titillium"/>
          <w:b w:val="false"/>
          <w:kern w:val="0"/>
          <w:sz w:val="20"/>
          <w:szCs w:val="20"/>
          <w:lang w:eastAsia="en-US" w:bidi="ar-SA"/>
        </w:rPr>
        <w:t>wodnej</w:t>
      </w:r>
    </w:p>
    <w:p>
      <w:pPr>
        <w:pStyle w:val="Normal"/>
        <w:widowControl/>
        <w:tabs>
          <w:tab w:val="clear" w:pos="685"/>
          <w:tab w:val="clear" w:pos="4876"/>
          <w:tab w:val="clear" w:pos="5470"/>
          <w:tab w:val="left" w:pos="1418" w:leader="none"/>
        </w:tabs>
        <w:spacing w:lineRule="auto" w:line="276"/>
        <w:ind w:hanging="2124" w:left="2124"/>
        <w:textAlignment w:val="auto"/>
        <w:rPr>
          <w:rFonts w:ascii="Titillium" w:hAnsi="Titillium"/>
          <w:sz w:val="20"/>
          <w:szCs w:val="20"/>
        </w:rPr>
      </w:pPr>
      <w:r>
        <w:rPr>
          <w:rFonts w:eastAsia="Calibri" w:cs="Times New Roman" w:ascii="Titillium" w:hAnsi="Titillium"/>
          <w:b w:val="false"/>
          <w:kern w:val="0"/>
          <w:sz w:val="20"/>
          <w:szCs w:val="20"/>
          <w:lang w:eastAsia="en-US" w:bidi="ar-SA"/>
        </w:rPr>
        <w:t>45233140-2       Roboty drogowe</w:t>
      </w:r>
    </w:p>
    <w:p>
      <w:pPr>
        <w:pStyle w:val="Normal"/>
        <w:widowControl/>
        <w:tabs>
          <w:tab w:val="clear" w:pos="685"/>
          <w:tab w:val="clear" w:pos="4876"/>
          <w:tab w:val="clear" w:pos="5470"/>
          <w:tab w:val="left" w:pos="1418" w:leader="none"/>
        </w:tabs>
        <w:spacing w:lineRule="auto" w:line="276"/>
        <w:ind w:hanging="2124" w:left="2124"/>
        <w:textAlignment w:val="auto"/>
        <w:rPr>
          <w:rFonts w:ascii="Titillium" w:hAnsi="Titillium"/>
          <w:sz w:val="20"/>
          <w:szCs w:val="20"/>
        </w:rPr>
      </w:pPr>
      <w:r>
        <w:rPr>
          <w:rFonts w:eastAsia="Calibri" w:cs="Times New Roman" w:ascii="Titillium" w:hAnsi="Titillium"/>
          <w:b w:val="false"/>
          <w:kern w:val="0"/>
          <w:sz w:val="20"/>
          <w:szCs w:val="20"/>
          <w:lang w:eastAsia="en-US" w:bidi="ar-SA"/>
        </w:rPr>
        <w:t>45110000-1</w:t>
        <w:tab/>
        <w:t>Roboty w zakresie burzenia i rozbiórki obiektów budowlanych; roboty ziemne</w:t>
      </w:r>
    </w:p>
    <w:p>
      <w:pPr>
        <w:pStyle w:val="Normal"/>
        <w:widowControl/>
        <w:tabs>
          <w:tab w:val="clear" w:pos="685"/>
          <w:tab w:val="clear" w:pos="4876"/>
          <w:tab w:val="clear" w:pos="5470"/>
          <w:tab w:val="left" w:pos="1418" w:leader="none"/>
        </w:tabs>
        <w:spacing w:lineRule="auto" w:line="276"/>
        <w:ind w:hanging="1416" w:left="1416"/>
        <w:textAlignment w:val="auto"/>
        <w:rPr>
          <w:rFonts w:ascii="Titillium" w:hAnsi="Titillium"/>
          <w:sz w:val="20"/>
          <w:szCs w:val="20"/>
        </w:rPr>
      </w:pPr>
      <w:r>
        <w:rPr>
          <w:rFonts w:eastAsia="Calibri" w:cs="Times New Roman" w:ascii="Titillium" w:hAnsi="Titillium"/>
          <w:b w:val="false"/>
          <w:kern w:val="0"/>
          <w:sz w:val="20"/>
          <w:szCs w:val="20"/>
          <w:lang w:eastAsia="en-US" w:bidi="ar-SA"/>
        </w:rPr>
        <w:t>45230000-8</w:t>
        <w:tab/>
        <w:t>Roboty budowlane w zakresie budowy rurociągów, linii komunikacyjnych i</w:t>
      </w:r>
      <w:r>
        <w:rPr>
          <w:rFonts w:eastAsia="Calibri" w:cs="Calibri" w:ascii="Titillium" w:hAnsi="Titillium"/>
          <w:b w:val="false"/>
          <w:kern w:val="0"/>
          <w:sz w:val="20"/>
          <w:szCs w:val="20"/>
          <w:lang w:eastAsia="en-US" w:bidi="ar-SA"/>
        </w:rPr>
        <w:t> </w:t>
      </w:r>
      <w:r>
        <w:rPr>
          <w:rFonts w:eastAsia="Calibri" w:cs="Times New Roman" w:ascii="Titillium" w:hAnsi="Titillium"/>
          <w:b w:val="false"/>
          <w:kern w:val="0"/>
          <w:sz w:val="20"/>
          <w:szCs w:val="20"/>
          <w:lang w:eastAsia="en-US" w:bidi="ar-SA"/>
        </w:rPr>
        <w:t xml:space="preserve"> elektroenergetycznych, autostrad, dróg, lotnisk i kolei, wyrównywanie terenu</w:t>
      </w:r>
    </w:p>
    <w:p>
      <w:pPr>
        <w:pStyle w:val="Textbody"/>
        <w:tabs>
          <w:tab w:val="clear" w:pos="720"/>
          <w:tab w:val="left" w:pos="1418" w:leader="none"/>
        </w:tabs>
        <w:spacing w:lineRule="auto" w:line="276"/>
        <w:jc w:val="both"/>
        <w:rPr>
          <w:rFonts w:ascii="Titillium" w:hAnsi="Titillium"/>
          <w:sz w:val="20"/>
          <w:szCs w:val="20"/>
        </w:rPr>
      </w:pPr>
      <w:r>
        <w:rPr>
          <w:rFonts w:eastAsia="Calibri" w:ascii="Titillium" w:hAnsi="Titillium"/>
          <w:kern w:val="0"/>
          <w:sz w:val="20"/>
          <w:szCs w:val="20"/>
          <w:lang w:eastAsia="en-US"/>
        </w:rPr>
        <w:t>71320000-7</w:t>
        <w:tab/>
        <w:t>Usługi inżynieryjne w zakresie projektowania</w:t>
      </w:r>
    </w:p>
    <w:p>
      <w:pPr>
        <w:pStyle w:val="Normal"/>
        <w:widowControl/>
        <w:tabs>
          <w:tab w:val="clear" w:pos="685"/>
          <w:tab w:val="clear" w:pos="4876"/>
          <w:tab w:val="clear" w:pos="5470"/>
          <w:tab w:val="left" w:pos="1418" w:leader="none"/>
        </w:tabs>
        <w:spacing w:lineRule="auto" w:line="276"/>
        <w:ind w:hanging="2124" w:left="2124"/>
        <w:textAlignment w:val="auto"/>
        <w:rPr>
          <w:rFonts w:ascii="Titillium" w:hAnsi="Titillium"/>
          <w:sz w:val="20"/>
          <w:szCs w:val="20"/>
        </w:rPr>
      </w:pPr>
      <w:r>
        <w:rPr>
          <w:rFonts w:eastAsia="Calibri" w:cs="Times New Roman" w:ascii="Titillium" w:hAnsi="Titillium"/>
          <w:b w:val="false"/>
          <w:kern w:val="0"/>
          <w:sz w:val="20"/>
          <w:szCs w:val="20"/>
          <w:lang w:eastAsia="en-US" w:bidi="ar-SA"/>
        </w:rPr>
        <w:t>71300000-1</w:t>
        <w:tab/>
        <w:t>Usługi inżynieryjne.</w:t>
      </w:r>
    </w:p>
    <w:p>
      <w:pPr>
        <w:pStyle w:val="Normal"/>
        <w:widowControl/>
        <w:tabs>
          <w:tab w:val="clear" w:pos="685"/>
          <w:tab w:val="clear" w:pos="4876"/>
          <w:tab w:val="clear" w:pos="5470"/>
          <w:tab w:val="left" w:pos="1418" w:leader="none"/>
        </w:tabs>
        <w:spacing w:lineRule="auto" w:line="276"/>
        <w:ind w:hanging="2124" w:left="2124"/>
        <w:textAlignment w:val="auto"/>
        <w:rPr>
          <w:rFonts w:ascii="Titillium" w:hAnsi="Titillium"/>
          <w:sz w:val="20"/>
          <w:szCs w:val="20"/>
        </w:rPr>
      </w:pPr>
      <w:r>
        <w:rPr>
          <w:rFonts w:ascii="Titillium" w:hAnsi="Titillium"/>
          <w:sz w:val="20"/>
          <w:szCs w:val="20"/>
        </w:rPr>
      </w:r>
    </w:p>
    <w:p>
      <w:pPr>
        <w:pStyle w:val="Normal"/>
        <w:widowControl/>
        <w:numPr>
          <w:ilvl w:val="0"/>
          <w:numId w:val="10"/>
        </w:numPr>
        <w:tabs>
          <w:tab w:val="clear" w:pos="685"/>
          <w:tab w:val="clear" w:pos="4876"/>
          <w:tab w:val="clear" w:pos="5470"/>
        </w:tabs>
        <w:spacing w:lineRule="auto" w:line="276"/>
        <w:ind w:hanging="567" w:left="567"/>
        <w:rPr/>
      </w:pPr>
      <w:r>
        <w:rPr>
          <w:rFonts w:eastAsia="Times New Roman" w:cs="Arial" w:ascii="Titillium" w:hAnsi="Titillium"/>
          <w:b w:val="false"/>
          <w:sz w:val="20"/>
          <w:szCs w:val="20"/>
          <w:lang w:bidi="ar-SA"/>
        </w:rPr>
        <w:t>Przedmiot zamówienia obejmuje modernizację dróg gminnych poprzez ich remont wraz                              z niezbędną infrastrukturą.</w:t>
      </w:r>
      <w:bookmarkStart w:id="3" w:name="_Hlk163118594"/>
      <w:r>
        <w:rPr>
          <w:rFonts w:eastAsia="Times New Roman" w:cs="Arial" w:ascii="Titillium" w:hAnsi="Titillium"/>
          <w:b w:val="false"/>
          <w:sz w:val="20"/>
          <w:szCs w:val="20"/>
          <w:lang w:bidi="ar-SA"/>
        </w:rPr>
        <w:t xml:space="preserve"> </w:t>
      </w:r>
      <w:bookmarkEnd w:id="3"/>
      <w:r>
        <w:rPr>
          <w:rFonts w:eastAsia="Times New Roman" w:cs="Arial" w:ascii="Titillium" w:hAnsi="Titillium"/>
          <w:b w:val="false"/>
          <w:sz w:val="20"/>
          <w:szCs w:val="20"/>
          <w:lang w:bidi="ar-SA"/>
        </w:rPr>
        <w:t>Inwestycja zosta</w:t>
      </w:r>
      <w:r>
        <w:rPr>
          <w:rFonts w:eastAsia="Times New Roman" w:cs="Titillium" w:ascii="Titillium" w:hAnsi="Titillium"/>
          <w:b w:val="false"/>
          <w:sz w:val="20"/>
          <w:szCs w:val="20"/>
          <w:lang w:bidi="ar-SA"/>
        </w:rPr>
        <w:t>ł</w:t>
      </w:r>
      <w:r>
        <w:rPr>
          <w:rFonts w:eastAsia="Times New Roman" w:cs="Arial" w:ascii="Titillium" w:hAnsi="Titillium"/>
          <w:b w:val="false"/>
          <w:sz w:val="20"/>
          <w:szCs w:val="20"/>
          <w:lang w:bidi="ar-SA"/>
        </w:rPr>
        <w:t>a uj</w:t>
      </w:r>
      <w:r>
        <w:rPr>
          <w:rFonts w:eastAsia="Times New Roman" w:cs="Titillium" w:ascii="Titillium" w:hAnsi="Titillium"/>
          <w:b w:val="false"/>
          <w:sz w:val="20"/>
          <w:szCs w:val="20"/>
          <w:lang w:bidi="ar-SA"/>
        </w:rPr>
        <w:t>ę</w:t>
      </w:r>
      <w:r>
        <w:rPr>
          <w:rFonts w:eastAsia="Times New Roman" w:cs="Arial" w:ascii="Titillium" w:hAnsi="Titillium"/>
          <w:b w:val="false"/>
          <w:sz w:val="20"/>
          <w:szCs w:val="20"/>
          <w:lang w:bidi="ar-SA"/>
        </w:rPr>
        <w:t xml:space="preserve">ta do realizacji w ramach </w:t>
      </w:r>
      <w:r>
        <w:rPr>
          <w:rFonts w:eastAsia="Times New Roman" w:cs="Times New Roman" w:ascii="Titillium" w:hAnsi="Titillium"/>
          <w:b w:val="false"/>
          <w:sz w:val="20"/>
          <w:szCs w:val="20"/>
          <w:lang w:bidi="ar-SA"/>
        </w:rPr>
        <w:t xml:space="preserve">programu Rządowy Fundusz Polski Ład: Program Inwestycji Strategicznych. </w:t>
      </w:r>
      <w:r>
        <w:rPr>
          <w:rStyle w:val="Domylnaczcionkaakapitu"/>
          <w:rFonts w:eastAsia="Times New Roman" w:cs="Arial" w:ascii="Titillium" w:hAnsi="Titillium"/>
          <w:b w:val="false"/>
          <w:sz w:val="20"/>
          <w:szCs w:val="20"/>
          <w:lang w:bidi="ar-SA"/>
        </w:rPr>
        <w:t xml:space="preserve">Zadanie </w:t>
      </w:r>
      <w:r>
        <w:rPr>
          <w:rStyle w:val="Domylnaczcionkaakapitu"/>
          <w:rFonts w:eastAsia="Times New Roman" w:cs="Arial" w:ascii="Titillium" w:hAnsi="Titillium"/>
          <w:b/>
          <w:bCs/>
          <w:sz w:val="20"/>
          <w:szCs w:val="20"/>
          <w:lang w:bidi="ar-SA"/>
        </w:rPr>
        <w:t>Modernizacja ul. Niewiadomskiej</w:t>
      </w:r>
      <w:r>
        <w:rPr>
          <w:rStyle w:val="Domylnaczcionkaakapitu"/>
          <w:rFonts w:eastAsia="Times New Roman" w:cs="Arial" w:ascii="Titillium" w:hAnsi="Titillium"/>
          <w:b w:val="false"/>
          <w:sz w:val="20"/>
          <w:szCs w:val="20"/>
          <w:lang w:bidi="ar-SA"/>
        </w:rPr>
        <w:t xml:space="preserve"> realizowana będzie w procedurze </w:t>
      </w:r>
      <w:r>
        <w:rPr>
          <w:rStyle w:val="Domylnaczcionkaakapitu"/>
          <w:rFonts w:eastAsia="Times New Roman" w:cs="Arial" w:ascii="Titillium" w:hAnsi="Titillium"/>
          <w:b/>
          <w:bCs/>
          <w:sz w:val="20"/>
          <w:szCs w:val="20"/>
          <w:lang w:bidi="ar-SA"/>
        </w:rPr>
        <w:t xml:space="preserve">zaprojektuj i wybuduj, </w:t>
      </w:r>
      <w:r>
        <w:rPr>
          <w:rStyle w:val="Domylnaczcionkaakapitu"/>
          <w:rFonts w:eastAsia="Times New Roman" w:cs="Arial" w:ascii="Titillium" w:hAnsi="Titillium"/>
          <w:b w:val="false"/>
          <w:bCs w:val="false"/>
          <w:sz w:val="20"/>
          <w:szCs w:val="20"/>
          <w:lang w:bidi="ar-SA"/>
        </w:rPr>
        <w:t>natomiast zadanie</w:t>
      </w:r>
      <w:r>
        <w:rPr>
          <w:rStyle w:val="Domylnaczcionkaakapitu"/>
          <w:rFonts w:eastAsia="Times New Roman" w:cs="Arial" w:ascii="Titillium" w:hAnsi="Titillium"/>
          <w:b/>
          <w:bCs/>
          <w:sz w:val="20"/>
          <w:szCs w:val="20"/>
          <w:lang w:bidi="ar-SA"/>
        </w:rPr>
        <w:t xml:space="preserve"> Modernizacja Osiedla na Wzgórzu</w:t>
      </w:r>
      <w:r>
        <w:rPr>
          <w:rStyle w:val="Domylnaczcionkaakapitu"/>
          <w:rFonts w:eastAsia="Times New Roman" w:cs="Arial" w:ascii="Titillium" w:hAnsi="Titillium"/>
          <w:b w:val="false"/>
          <w:bCs w:val="false"/>
          <w:sz w:val="20"/>
          <w:szCs w:val="20"/>
          <w:lang w:bidi="ar-SA"/>
        </w:rPr>
        <w:t xml:space="preserve"> obejmuje jedynie wykonanie robót budowlanych.</w:t>
      </w:r>
    </w:p>
    <w:p>
      <w:pPr>
        <w:pStyle w:val="Normal"/>
        <w:widowControl/>
        <w:tabs>
          <w:tab w:val="clear" w:pos="685"/>
          <w:tab w:val="clear" w:pos="4876"/>
          <w:tab w:val="clear" w:pos="5470"/>
        </w:tabs>
        <w:spacing w:lineRule="auto" w:line="276"/>
        <w:ind w:hanging="567" w:left="567"/>
        <w:rPr>
          <w:rStyle w:val="Domylnaczcionkaakapitu"/>
          <w:rFonts w:ascii="Titillium" w:hAnsi="Titillium" w:eastAsia="Times New Roman" w:cs="Arial"/>
          <w:b w:val="false"/>
          <w:bCs w:val="false"/>
          <w:sz w:val="20"/>
          <w:szCs w:val="20"/>
          <w:lang w:bidi="ar-SA"/>
        </w:rPr>
      </w:pPr>
      <w:r>
        <w:rPr>
          <w:rFonts w:eastAsia="Times New Roman" w:cs="Arial" w:ascii="Titillium" w:hAnsi="Titillium"/>
          <w:b w:val="false"/>
          <w:bCs w:val="false"/>
          <w:sz w:val="20"/>
          <w:szCs w:val="20"/>
          <w:lang w:bidi="ar-SA"/>
        </w:rPr>
      </w:r>
    </w:p>
    <w:p>
      <w:pPr>
        <w:pStyle w:val="Normal"/>
        <w:widowControl/>
        <w:tabs>
          <w:tab w:val="clear" w:pos="685"/>
          <w:tab w:val="clear" w:pos="4876"/>
          <w:tab w:val="clear" w:pos="5470"/>
        </w:tabs>
        <w:spacing w:lineRule="auto" w:line="276"/>
        <w:ind w:hanging="567" w:left="567"/>
        <w:rPr/>
      </w:pPr>
      <w:r>
        <w:rPr>
          <w:rStyle w:val="Domylnaczcionkaakapitu"/>
          <w:rFonts w:eastAsia="Times New Roman" w:cs="Arial" w:ascii="Titillium" w:hAnsi="Titillium"/>
          <w:b w:val="false"/>
          <w:bCs w:val="false"/>
          <w:sz w:val="24"/>
          <w:szCs w:val="24"/>
          <w:lang w:bidi="ar-SA"/>
        </w:rPr>
        <w:t xml:space="preserve">ZADANIE NR 1  </w:t>
      </w:r>
      <w:r>
        <w:rPr>
          <w:rStyle w:val="Domylnaczcionkaakapitu"/>
          <w:rFonts w:eastAsia="Times New Roman" w:cs="Arial" w:ascii="Titillium" w:hAnsi="Titillium"/>
          <w:b/>
          <w:bCs/>
          <w:sz w:val="24"/>
          <w:szCs w:val="24"/>
          <w:lang w:bidi="ar-SA"/>
        </w:rPr>
        <w:t xml:space="preserve">Modernizacja ul. Niewiadomskiej </w:t>
      </w:r>
      <w:r>
        <w:rPr>
          <w:rStyle w:val="Domylnaczcionkaakapitu"/>
          <w:rFonts w:eastAsia="Times New Roman" w:cs="Times New Roman" w:ascii="Titillium" w:hAnsi="Titillium"/>
          <w:b/>
          <w:bCs/>
          <w:color w:val="000000"/>
          <w:sz w:val="24"/>
          <w:szCs w:val="24"/>
          <w:lang w:bidi="ar-SA"/>
        </w:rPr>
        <w:t>– formuła ZAPROJEKTUJ I WYBUDUJ</w:t>
      </w:r>
    </w:p>
    <w:p>
      <w:pPr>
        <w:pStyle w:val="Normal"/>
        <w:widowControl w:val="false"/>
        <w:numPr>
          <w:ilvl w:val="0"/>
          <w:numId w:val="10"/>
        </w:numPr>
        <w:tabs>
          <w:tab w:val="clear" w:pos="685"/>
          <w:tab w:val="clear" w:pos="4876"/>
          <w:tab w:val="clear" w:pos="5470"/>
          <w:tab w:val="left" w:pos="-204" w:leader="none"/>
          <w:tab w:val="left" w:pos="570" w:leader="none"/>
          <w:tab w:val="left" w:pos="795" w:leader="none"/>
        </w:tabs>
        <w:suppressAutoHyphens w:val="true"/>
        <w:bidi w:val="0"/>
        <w:spacing w:lineRule="auto" w:line="276" w:before="114" w:after="114"/>
        <w:ind w:hanging="567" w:left="567" w:right="0"/>
        <w:jc w:val="both"/>
        <w:textAlignment w:val="baseline"/>
        <w:rPr/>
      </w:pPr>
      <w:r>
        <w:rPr>
          <w:rStyle w:val="Domylnaczcionkaakapitu"/>
          <w:rFonts w:eastAsia="Times New Roman" w:cs="Arial" w:ascii="Titillium" w:hAnsi="Titillium"/>
          <w:b w:val="false"/>
          <w:bCs w:val="false"/>
          <w:sz w:val="20"/>
          <w:szCs w:val="20"/>
          <w:lang w:bidi="ar-SA"/>
        </w:rPr>
        <w:t xml:space="preserve">Przedmiotem zamówienia jest </w:t>
      </w:r>
      <w:r>
        <w:rPr>
          <w:rStyle w:val="Domylnaczcionkaakapitu"/>
          <w:rFonts w:eastAsia="Times New Roman" w:cs="Calibri" w:ascii="Titillium" w:hAnsi="Titillium"/>
          <w:b w:val="false"/>
          <w:bCs w:val="false"/>
          <w:sz w:val="20"/>
          <w:szCs w:val="20"/>
          <w:lang w:bidi="ar-SA"/>
        </w:rPr>
        <w:t xml:space="preserve">wykonanie dokumentacji projektowej oraz realizacja na jej podstawie robót budowlanych. Celem zamówienia jest remont ulicy Niewiadomskiej – odcinek II              i III, w Rydułtowach. Inwestycja ma na celu poprawę bezpieczeństwa i warunków poruszania się po przedmiotowej ulicy. </w:t>
      </w:r>
    </w:p>
    <w:p>
      <w:pPr>
        <w:pStyle w:val="Normal"/>
        <w:widowControl w:val="false"/>
        <w:numPr>
          <w:ilvl w:val="0"/>
          <w:numId w:val="10"/>
        </w:numPr>
        <w:tabs>
          <w:tab w:val="clear" w:pos="685"/>
          <w:tab w:val="clear" w:pos="4876"/>
          <w:tab w:val="clear" w:pos="5470"/>
          <w:tab w:val="left" w:pos="-204" w:leader="none"/>
          <w:tab w:val="left" w:pos="570" w:leader="none"/>
          <w:tab w:val="left" w:pos="795" w:leader="none"/>
        </w:tabs>
        <w:suppressAutoHyphens w:val="true"/>
        <w:bidi w:val="0"/>
        <w:spacing w:lineRule="auto" w:line="276" w:before="114" w:after="114"/>
        <w:ind w:hanging="567" w:left="567" w:right="0"/>
        <w:jc w:val="both"/>
        <w:textAlignment w:val="baseline"/>
        <w:rPr/>
      </w:pPr>
      <w:r>
        <w:rPr>
          <w:rStyle w:val="Domylnaczcionkaakapitu"/>
          <w:rFonts w:eastAsia="Times New Roman" w:cs="Calibri" w:ascii="Titillium" w:hAnsi="Titillium"/>
          <w:b w:val="false"/>
          <w:bCs w:val="false"/>
          <w:sz w:val="20"/>
          <w:szCs w:val="20"/>
          <w:lang w:bidi="ar-SA"/>
        </w:rPr>
        <w:t>Realizacja zadania polegać będzie w szczególności na:</w:t>
      </w:r>
    </w:p>
    <w:p>
      <w:pPr>
        <w:pStyle w:val="Normal"/>
        <w:widowControl w:val="false"/>
        <w:numPr>
          <w:ilvl w:val="1"/>
          <w:numId w:val="10"/>
        </w:numPr>
        <w:tabs>
          <w:tab w:val="clear" w:pos="685"/>
          <w:tab w:val="clear" w:pos="4876"/>
          <w:tab w:val="clear" w:pos="5470"/>
          <w:tab w:val="left" w:pos="566" w:leader="none"/>
        </w:tabs>
        <w:suppressAutoHyphens w:val="true"/>
        <w:bidi w:val="0"/>
        <w:spacing w:lineRule="auto" w:line="276" w:before="0" w:after="0"/>
        <w:ind w:hanging="283" w:left="567" w:right="0"/>
        <w:jc w:val="both"/>
        <w:textAlignment w:val="baseline"/>
        <w:rPr>
          <w:rFonts w:ascii="Titillium" w:hAnsi="Titillium"/>
          <w:b w:val="false"/>
          <w:bCs w:val="false"/>
          <w:sz w:val="20"/>
          <w:szCs w:val="20"/>
        </w:rPr>
      </w:pPr>
      <w:r>
        <w:rPr>
          <w:rFonts w:cs="Calibri" w:ascii="Titillium" w:hAnsi="Titillium"/>
          <w:b w:val="false"/>
          <w:bCs w:val="false"/>
          <w:sz w:val="20"/>
          <w:szCs w:val="20"/>
        </w:rPr>
        <w:t>Wykonaniu dokumentacji projektowej dla odcinka II i III, a w szczególności:</w:t>
      </w:r>
    </w:p>
    <w:p>
      <w:pPr>
        <w:pStyle w:val="Normal"/>
        <w:widowControl w:val="false"/>
        <w:numPr>
          <w:ilvl w:val="2"/>
          <w:numId w:val="10"/>
        </w:numPr>
        <w:tabs>
          <w:tab w:val="clear" w:pos="685"/>
          <w:tab w:val="clear" w:pos="4876"/>
          <w:tab w:val="clear" w:pos="5470"/>
          <w:tab w:val="left" w:pos="1078" w:leader="none"/>
        </w:tabs>
        <w:suppressAutoHyphens w:val="true"/>
        <w:bidi w:val="0"/>
        <w:spacing w:lineRule="auto" w:line="276" w:before="0" w:after="0"/>
        <w:ind w:hanging="510" w:left="1077" w:right="0"/>
        <w:jc w:val="both"/>
        <w:textAlignment w:val="baseline"/>
        <w:rPr>
          <w:rFonts w:ascii="Titillium" w:hAnsi="Titillium"/>
          <w:b w:val="false"/>
          <w:bCs w:val="false"/>
          <w:sz w:val="20"/>
          <w:szCs w:val="20"/>
        </w:rPr>
      </w:pPr>
      <w:r>
        <w:rPr>
          <w:rFonts w:cs="Calibri" w:ascii="Titillium" w:hAnsi="Titillium"/>
          <w:b w:val="false"/>
          <w:bCs w:val="false"/>
          <w:sz w:val="20"/>
          <w:szCs w:val="20"/>
        </w:rPr>
        <w:t>opracowanie projektu budowlanego zgodnie z rozporządzeniem w sprawie szczegółowego zakresu i formy projektu budowlanego, w tym projekt zagospodarowania terenu</w:t>
      </w:r>
      <w:r>
        <w:rPr>
          <w:rStyle w:val="Domylnaczcionkaakapitu"/>
          <w:rFonts w:eastAsia="Times New Roman" w:cs="Times New Roman" w:ascii="Titillium" w:hAnsi="Titillium"/>
          <w:b w:val="false"/>
          <w:bCs w:val="false"/>
          <w:sz w:val="20"/>
          <w:szCs w:val="20"/>
        </w:rPr>
        <w:t xml:space="preserve">, </w:t>
      </w:r>
      <w:r>
        <w:rPr>
          <w:rFonts w:cs="Calibri" w:ascii="Titillium" w:hAnsi="Titillium"/>
          <w:b w:val="false"/>
          <w:bCs w:val="false"/>
          <w:sz w:val="20"/>
          <w:szCs w:val="20"/>
        </w:rPr>
        <w:t xml:space="preserve">projekt architektoniczno-budowlany wielobranżowy, projekt techniczny </w:t>
      </w:r>
      <w:r>
        <w:rPr>
          <w:rStyle w:val="Domylnaczcionkaakapitu"/>
          <w:rFonts w:eastAsia="Times New Roman" w:cs="Times New Roman" w:ascii="Titillium" w:hAnsi="Titillium"/>
          <w:b w:val="false"/>
          <w:bCs w:val="false"/>
          <w:sz w:val="20"/>
          <w:szCs w:val="20"/>
        </w:rPr>
        <w:t xml:space="preserve">wielobranżowy, </w:t>
      </w:r>
      <w:r>
        <w:rPr>
          <w:rStyle w:val="Domylnaczcionkaakapitu"/>
          <w:rFonts w:eastAsia="Times New Roman" w:cs="Times New Roman" w:ascii="Titillium" w:hAnsi="Titillium"/>
          <w:b w:val="false"/>
          <w:bCs w:val="false"/>
          <w:sz w:val="20"/>
          <w:szCs w:val="20"/>
          <w:lang w:bidi="ar-SA"/>
        </w:rPr>
        <w:t>informację dotyczącą</w:t>
      </w:r>
      <w:r>
        <w:rPr>
          <w:rStyle w:val="Domylnaczcionkaakapitu"/>
          <w:rFonts w:eastAsia="Times New Roman" w:cs="Times New Roman" w:ascii="Titillium" w:hAnsi="Titillium"/>
          <w:b w:val="false"/>
          <w:bCs w:val="false"/>
          <w:sz w:val="20"/>
          <w:szCs w:val="20"/>
        </w:rPr>
        <w:t xml:space="preserve"> bezpieczeństwa i ochrony zdrowia, proj</w:t>
      </w:r>
      <w:r>
        <w:rPr>
          <w:rStyle w:val="Domylnaczcionkaakapitu"/>
          <w:rFonts w:eastAsia="Times New Roman" w:cs="Times New Roman" w:ascii="Titillium" w:hAnsi="Titillium"/>
          <w:b w:val="false"/>
          <w:bCs w:val="false"/>
          <w:sz w:val="20"/>
          <w:szCs w:val="20"/>
          <w:shd w:fill="auto" w:val="clear"/>
        </w:rPr>
        <w:t>ekt stałej i cza</w:t>
      </w:r>
      <w:r>
        <w:rPr>
          <w:rStyle w:val="Domylnaczcionkaakapitu"/>
          <w:rFonts w:eastAsia="Times New Roman" w:cs="Times New Roman" w:ascii="Titillium" w:hAnsi="Titillium"/>
          <w:b w:val="false"/>
          <w:bCs w:val="false"/>
          <w:sz w:val="20"/>
          <w:szCs w:val="20"/>
        </w:rPr>
        <w:t>sowej organizacji ruchu, specyfikację techniczną wykonania i odbioru robót budowlanych dla poszczególnych branż</w:t>
      </w:r>
      <w:r>
        <w:rPr>
          <w:rFonts w:cs="Calibri" w:ascii="Titillium" w:hAnsi="Titillium"/>
          <w:b w:val="false"/>
          <w:bCs w:val="false"/>
          <w:sz w:val="20"/>
          <w:szCs w:val="20"/>
        </w:rPr>
        <w:t xml:space="preserve"> wraz z uzyskaniem wszelkich decyzji, uzgodnień, zgód, pozwoleń, niezbędnych dla realizacji inwestycji w tym również uzyskania odpowiedniego rozstrzygnięcia administracyjnego                             w organie administracji architektonicznej, </w:t>
      </w:r>
    </w:p>
    <w:p>
      <w:pPr>
        <w:pStyle w:val="Normal"/>
        <w:widowControl w:val="false"/>
        <w:numPr>
          <w:ilvl w:val="2"/>
          <w:numId w:val="10"/>
        </w:numPr>
        <w:tabs>
          <w:tab w:val="clear" w:pos="685"/>
          <w:tab w:val="clear" w:pos="4876"/>
          <w:tab w:val="clear" w:pos="5470"/>
          <w:tab w:val="left" w:pos="1078" w:leader="none"/>
        </w:tabs>
        <w:suppressAutoHyphens w:val="true"/>
        <w:bidi w:val="0"/>
        <w:spacing w:lineRule="auto" w:line="276" w:before="0" w:after="0"/>
        <w:ind w:hanging="510" w:left="1077" w:right="0"/>
        <w:jc w:val="both"/>
        <w:textAlignment w:val="baseline"/>
        <w:rPr>
          <w:rFonts w:ascii="Titillium" w:hAnsi="Titillium"/>
          <w:b w:val="false"/>
          <w:bCs w:val="false"/>
          <w:sz w:val="20"/>
          <w:szCs w:val="20"/>
        </w:rPr>
      </w:pPr>
      <w:r>
        <w:rPr>
          <w:rFonts w:cs="Calibri" w:ascii="Titillium" w:hAnsi="Titillium"/>
          <w:b w:val="false"/>
          <w:bCs w:val="false"/>
          <w:sz w:val="20"/>
          <w:szCs w:val="20"/>
        </w:rPr>
        <w:t xml:space="preserve">opracowanie projektu docelowej organizacji ruchu dla odcinka ul. Niewiadomskiej od skrzyżowania z ul. Rydułtowską do skrzyżowania z ul. Szczerbicką oraz tymczasowej na czas prowadzenia robót. </w:t>
      </w:r>
    </w:p>
    <w:p>
      <w:pPr>
        <w:pStyle w:val="Normal"/>
        <w:widowControl w:val="false"/>
        <w:numPr>
          <w:ilvl w:val="1"/>
          <w:numId w:val="10"/>
        </w:numPr>
        <w:tabs>
          <w:tab w:val="clear" w:pos="685"/>
          <w:tab w:val="clear" w:pos="4876"/>
          <w:tab w:val="clear" w:pos="5470"/>
          <w:tab w:val="left" w:pos="281" w:leader="none"/>
          <w:tab w:val="left" w:pos="441" w:leader="none"/>
          <w:tab w:val="left" w:pos="1078" w:leader="none"/>
        </w:tabs>
        <w:suppressAutoHyphens w:val="true"/>
        <w:bidi w:val="0"/>
        <w:spacing w:lineRule="auto" w:line="276" w:before="0" w:after="0"/>
        <w:ind w:hanging="283" w:left="567" w:right="0"/>
        <w:jc w:val="both"/>
        <w:textAlignment w:val="baseline"/>
        <w:rPr>
          <w:rFonts w:ascii="Titillium" w:hAnsi="Titillium"/>
          <w:b w:val="false"/>
          <w:bCs w:val="false"/>
          <w:sz w:val="20"/>
          <w:szCs w:val="20"/>
        </w:rPr>
      </w:pPr>
      <w:r>
        <w:rPr>
          <w:rFonts w:cs="Calibri" w:ascii="Titillium" w:hAnsi="Titillium"/>
          <w:b w:val="false"/>
          <w:bCs w:val="false"/>
          <w:sz w:val="20"/>
          <w:szCs w:val="20"/>
        </w:rPr>
        <w:t>Realizacji robót budowlanych, a w szczególności:</w:t>
      </w:r>
    </w:p>
    <w:p>
      <w:pPr>
        <w:pStyle w:val="Normal"/>
        <w:widowControl w:val="false"/>
        <w:numPr>
          <w:ilvl w:val="2"/>
          <w:numId w:val="10"/>
        </w:numPr>
        <w:tabs>
          <w:tab w:val="clear" w:pos="685"/>
          <w:tab w:val="clear" w:pos="4876"/>
          <w:tab w:val="clear" w:pos="5470"/>
          <w:tab w:val="left" w:pos="441" w:leader="none"/>
          <w:tab w:val="left" w:pos="1078" w:leader="none"/>
        </w:tabs>
        <w:suppressAutoHyphens w:val="true"/>
        <w:bidi w:val="0"/>
        <w:spacing w:lineRule="auto" w:line="276" w:before="0" w:after="0"/>
        <w:ind w:hanging="510" w:left="1077" w:right="0"/>
        <w:jc w:val="both"/>
        <w:textAlignment w:val="baseline"/>
        <w:rPr>
          <w:rFonts w:ascii="Titillium" w:hAnsi="Titillium"/>
          <w:b w:val="false"/>
          <w:bCs w:val="false"/>
          <w:sz w:val="20"/>
          <w:szCs w:val="20"/>
        </w:rPr>
      </w:pPr>
      <w:r>
        <w:rPr>
          <w:rFonts w:cs="Calibri" w:ascii="Titillium" w:hAnsi="Titillium"/>
          <w:b w:val="false"/>
          <w:bCs w:val="false"/>
          <w:sz w:val="20"/>
          <w:szCs w:val="20"/>
        </w:rPr>
        <w:t xml:space="preserve">odcinek od ul. Żytniej do ul. Pietrzkowickiej - nowa konstrukcja drogi, nawierzchnia z betonitów drogowych grubości 12 </w:t>
      </w:r>
      <w:r>
        <w:rPr>
          <w:rFonts w:cs="Calibri" w:ascii="Titillium" w:hAnsi="Titillium"/>
          <w:b w:val="false"/>
          <w:bCs w:val="false"/>
          <w:sz w:val="20"/>
          <w:szCs w:val="20"/>
          <w:shd w:fill="auto" w:val="clear"/>
        </w:rPr>
        <w:t>cm, pobocze utwardzone kruszywem lub destruktem bitumicznym z powierzchniowym utrwaleniem, wymiana krawężników, odtworzenie odwodnienia drogi;</w:t>
      </w:r>
    </w:p>
    <w:p>
      <w:pPr>
        <w:pStyle w:val="Normal"/>
        <w:widowControl w:val="false"/>
        <w:numPr>
          <w:ilvl w:val="2"/>
          <w:numId w:val="10"/>
        </w:numPr>
        <w:tabs>
          <w:tab w:val="clear" w:pos="685"/>
          <w:tab w:val="clear" w:pos="4876"/>
          <w:tab w:val="clear" w:pos="5470"/>
          <w:tab w:val="left" w:pos="441" w:leader="none"/>
          <w:tab w:val="left" w:pos="1078" w:leader="none"/>
        </w:tabs>
        <w:suppressAutoHyphens w:val="true"/>
        <w:bidi w:val="0"/>
        <w:spacing w:lineRule="auto" w:line="276" w:before="0" w:after="0"/>
        <w:ind w:hanging="510" w:left="1077" w:right="0"/>
        <w:jc w:val="both"/>
        <w:textAlignment w:val="baseline"/>
        <w:rPr>
          <w:rFonts w:ascii="Titillium" w:hAnsi="Titillium"/>
          <w:b w:val="false"/>
          <w:bCs w:val="false"/>
          <w:sz w:val="20"/>
          <w:szCs w:val="20"/>
        </w:rPr>
      </w:pPr>
      <w:r>
        <w:rPr>
          <w:rFonts w:cs="Calibri" w:ascii="Titillium" w:hAnsi="Titillium"/>
          <w:b w:val="false"/>
          <w:bCs w:val="false"/>
          <w:sz w:val="20"/>
          <w:szCs w:val="20"/>
          <w:shd w:fill="auto" w:val="clear"/>
        </w:rPr>
        <w:t>odcinek od ul. Pietrzkowickiej do ul. Polnej - nowa konstrukcja drogi, nawierzchnia z betonitów drogowych grubości 12 cm, pobocze utwardzone kruszywem lub destruktem bitumicznym z powierzchniowym utrwaleniem, wymiana krawężników, odtworzenie odwodnienia drogi;</w:t>
      </w:r>
    </w:p>
    <w:p>
      <w:pPr>
        <w:pStyle w:val="Normal"/>
        <w:widowControl w:val="false"/>
        <w:numPr>
          <w:ilvl w:val="1"/>
          <w:numId w:val="10"/>
        </w:numPr>
        <w:tabs>
          <w:tab w:val="clear" w:pos="685"/>
          <w:tab w:val="clear" w:pos="4876"/>
          <w:tab w:val="clear" w:pos="5470"/>
          <w:tab w:val="left" w:pos="281" w:leader="none"/>
          <w:tab w:val="left" w:pos="441" w:leader="none"/>
        </w:tabs>
        <w:suppressAutoHyphens w:val="true"/>
        <w:bidi w:val="0"/>
        <w:spacing w:lineRule="auto" w:line="276" w:before="0" w:after="0"/>
        <w:ind w:hanging="340" w:left="624" w:right="0"/>
        <w:jc w:val="both"/>
        <w:textAlignment w:val="baseline"/>
        <w:rPr>
          <w:rFonts w:ascii="Titillium" w:hAnsi="Titillium"/>
          <w:b w:val="false"/>
          <w:bCs w:val="false"/>
          <w:sz w:val="20"/>
          <w:szCs w:val="20"/>
        </w:rPr>
      </w:pPr>
      <w:r>
        <w:rPr>
          <w:rFonts w:cs="Calibri" w:ascii="Titillium" w:hAnsi="Titillium"/>
          <w:b w:val="false"/>
          <w:bCs w:val="false"/>
          <w:sz w:val="20"/>
          <w:szCs w:val="20"/>
        </w:rPr>
        <w:t xml:space="preserve">Dla całości zadania: </w:t>
      </w:r>
    </w:p>
    <w:p>
      <w:pPr>
        <w:pStyle w:val="Normal"/>
        <w:widowControl w:val="false"/>
        <w:numPr>
          <w:ilvl w:val="2"/>
          <w:numId w:val="10"/>
        </w:numPr>
        <w:tabs>
          <w:tab w:val="clear" w:pos="685"/>
          <w:tab w:val="clear" w:pos="4876"/>
          <w:tab w:val="clear" w:pos="5470"/>
          <w:tab w:val="left" w:pos="441" w:leader="none"/>
          <w:tab w:val="left" w:pos="1078" w:leader="none"/>
        </w:tabs>
        <w:suppressAutoHyphens w:val="true"/>
        <w:bidi w:val="0"/>
        <w:spacing w:lineRule="auto" w:line="276" w:before="0" w:after="0"/>
        <w:ind w:hanging="567" w:left="1077" w:right="0"/>
        <w:jc w:val="both"/>
        <w:textAlignment w:val="baseline"/>
        <w:rPr>
          <w:rFonts w:ascii="Titillium" w:hAnsi="Titillium"/>
          <w:b w:val="false"/>
          <w:bCs w:val="false"/>
          <w:sz w:val="20"/>
          <w:szCs w:val="20"/>
        </w:rPr>
      </w:pPr>
      <w:r>
        <w:rPr>
          <w:rFonts w:cs="Calibri" w:ascii="Titillium" w:hAnsi="Titillium"/>
          <w:b w:val="false"/>
          <w:bCs w:val="false"/>
          <w:sz w:val="20"/>
          <w:szCs w:val="20"/>
        </w:rPr>
        <w:t xml:space="preserve">wymiana całego oznakowania ul. Niewiadomskiej od skrzyżowania z ul. Rydułtowską do skrzyżowania z ul. Szczerbicką na nowe, </w:t>
      </w:r>
    </w:p>
    <w:p>
      <w:pPr>
        <w:pStyle w:val="Normal"/>
        <w:widowControl w:val="false"/>
        <w:numPr>
          <w:ilvl w:val="2"/>
          <w:numId w:val="10"/>
        </w:numPr>
        <w:tabs>
          <w:tab w:val="clear" w:pos="685"/>
          <w:tab w:val="clear" w:pos="4876"/>
          <w:tab w:val="clear" w:pos="5470"/>
          <w:tab w:val="left" w:pos="441" w:leader="none"/>
          <w:tab w:val="left" w:pos="1078" w:leader="none"/>
        </w:tabs>
        <w:suppressAutoHyphens w:val="true"/>
        <w:bidi w:val="0"/>
        <w:spacing w:lineRule="auto" w:line="276" w:before="0" w:after="0"/>
        <w:ind w:hanging="567" w:left="1077" w:right="0"/>
        <w:jc w:val="both"/>
        <w:textAlignment w:val="baseline"/>
        <w:rPr>
          <w:rFonts w:ascii="Titillium" w:hAnsi="Titillium"/>
          <w:b w:val="false"/>
          <w:bCs w:val="false"/>
          <w:sz w:val="20"/>
          <w:szCs w:val="20"/>
        </w:rPr>
      </w:pPr>
      <w:r>
        <w:rPr>
          <w:rFonts w:cs="Calibri" w:ascii="Titillium" w:hAnsi="Titillium"/>
          <w:b w:val="false"/>
          <w:bCs w:val="false"/>
          <w:sz w:val="20"/>
          <w:szCs w:val="20"/>
        </w:rPr>
        <w:t>zabezpieczenie infrastruktury podziemnej dla odcinków objętych dokumentacją.</w:t>
      </w:r>
    </w:p>
    <w:p>
      <w:pPr>
        <w:pStyle w:val="Normal"/>
        <w:widowControl w:val="false"/>
        <w:numPr>
          <w:ilvl w:val="2"/>
          <w:numId w:val="10"/>
        </w:numPr>
        <w:tabs>
          <w:tab w:val="clear" w:pos="685"/>
          <w:tab w:val="clear" w:pos="4876"/>
          <w:tab w:val="clear" w:pos="5470"/>
          <w:tab w:val="left" w:pos="441" w:leader="none"/>
          <w:tab w:val="left" w:pos="1078" w:leader="none"/>
        </w:tabs>
        <w:suppressAutoHyphens w:val="true"/>
        <w:bidi w:val="0"/>
        <w:spacing w:lineRule="auto" w:line="276" w:before="0" w:after="0"/>
        <w:ind w:hanging="567" w:left="1077" w:right="0"/>
        <w:jc w:val="both"/>
        <w:textAlignment w:val="baseline"/>
        <w:rPr>
          <w:rFonts w:ascii="Titillium" w:hAnsi="Titillium"/>
          <w:b w:val="false"/>
          <w:bCs w:val="false"/>
          <w:sz w:val="20"/>
          <w:szCs w:val="20"/>
        </w:rPr>
      </w:pPr>
      <w:r>
        <w:rPr>
          <w:rFonts w:cs="Calibri" w:ascii="Titillium" w:hAnsi="Titillium"/>
          <w:b w:val="false"/>
          <w:bCs w:val="false"/>
          <w:sz w:val="20"/>
          <w:szCs w:val="20"/>
        </w:rPr>
        <w:t xml:space="preserve">obsługa geodezyjna inwestycji (m. in. opracowanie map do celów projektowych, zmiany użytków gruntowych, obsługa w trakcie wykonywania robót, ewentualna stabilizacja punktów granicznych,  inwentaryzacja powykonawcza), </w:t>
      </w:r>
    </w:p>
    <w:p>
      <w:pPr>
        <w:pStyle w:val="Normal"/>
        <w:widowControl w:val="false"/>
        <w:numPr>
          <w:ilvl w:val="2"/>
          <w:numId w:val="10"/>
        </w:numPr>
        <w:tabs>
          <w:tab w:val="clear" w:pos="685"/>
          <w:tab w:val="clear" w:pos="4876"/>
          <w:tab w:val="clear" w:pos="5470"/>
          <w:tab w:val="left" w:pos="441" w:leader="none"/>
          <w:tab w:val="left" w:pos="1078" w:leader="none"/>
        </w:tabs>
        <w:suppressAutoHyphens w:val="true"/>
        <w:bidi w:val="0"/>
        <w:spacing w:lineRule="auto" w:line="276" w:before="0" w:after="0"/>
        <w:ind w:hanging="567" w:left="1077" w:right="0"/>
        <w:jc w:val="both"/>
        <w:textAlignment w:val="baseline"/>
        <w:rPr>
          <w:rFonts w:ascii="Titillium" w:hAnsi="Titillium"/>
          <w:b w:val="false"/>
          <w:bCs w:val="false"/>
          <w:sz w:val="20"/>
          <w:szCs w:val="20"/>
        </w:rPr>
      </w:pPr>
      <w:r>
        <w:rPr>
          <w:rFonts w:cs="Calibri" w:ascii="Titillium" w:hAnsi="Titillium"/>
          <w:b w:val="false"/>
          <w:bCs w:val="false"/>
          <w:sz w:val="20"/>
          <w:szCs w:val="20"/>
        </w:rPr>
        <w:t>obsługa geologiczna inwestycji.</w:t>
      </w:r>
    </w:p>
    <w:p>
      <w:pPr>
        <w:pStyle w:val="Normal"/>
        <w:widowControl w:val="false"/>
        <w:numPr>
          <w:ilvl w:val="1"/>
          <w:numId w:val="10"/>
        </w:numPr>
        <w:tabs>
          <w:tab w:val="clear" w:pos="685"/>
          <w:tab w:val="clear" w:pos="4876"/>
          <w:tab w:val="clear" w:pos="5470"/>
          <w:tab w:val="left" w:pos="441" w:leader="none"/>
          <w:tab w:val="left" w:pos="628" w:leader="none"/>
        </w:tabs>
        <w:suppressAutoHyphens w:val="true"/>
        <w:bidi w:val="0"/>
        <w:spacing w:lineRule="auto" w:line="276" w:before="0" w:after="0"/>
        <w:ind w:hanging="340" w:left="624" w:right="0"/>
        <w:jc w:val="both"/>
        <w:textAlignment w:val="baseline"/>
        <w:rPr>
          <w:rFonts w:ascii="Titillium" w:hAnsi="Titillium"/>
          <w:b w:val="false"/>
          <w:bCs w:val="false"/>
          <w:sz w:val="20"/>
          <w:szCs w:val="20"/>
        </w:rPr>
      </w:pPr>
      <w:r>
        <w:rPr>
          <w:rFonts w:cs="Calibri" w:ascii="Titillium" w:hAnsi="Titillium"/>
          <w:b w:val="false"/>
          <w:bCs w:val="false"/>
          <w:sz w:val="20"/>
          <w:szCs w:val="20"/>
        </w:rPr>
        <w:t>Nadzoru autorskiego, a w szczególności wykonywanie czynności nadzoru autorskiego określonych w art. 20 ust.1 pkt 4 ustawy Prawo budowlane w zakresie: stwierdzania w toku wykonywania robót budowlanych zgodności realizacji z projektem,</w:t>
      </w:r>
      <w:r>
        <w:rPr>
          <w:rStyle w:val="Domylnaczcionkaakapitu"/>
          <w:rFonts w:eastAsia="Times New Roman" w:cs="Calibri" w:ascii="Titillium" w:hAnsi="Titillium"/>
          <w:b w:val="false"/>
          <w:bCs w:val="false"/>
          <w:sz w:val="20"/>
          <w:szCs w:val="20"/>
          <w:lang w:bidi="ar-SA"/>
        </w:rPr>
        <w:t>uzgadniania możliwości wprowadzenia rozwiązań zamiennych w stosunku do przewidzianych w projekcie, zgłoszonych przez kierownika robót lub inspektora nadzoru inwestorskiego.</w:t>
      </w:r>
    </w:p>
    <w:p>
      <w:pPr>
        <w:pStyle w:val="Normal"/>
        <w:numPr>
          <w:ilvl w:val="0"/>
          <w:numId w:val="10"/>
        </w:numPr>
        <w:tabs>
          <w:tab w:val="clear" w:pos="685"/>
          <w:tab w:val="clear" w:pos="4876"/>
          <w:tab w:val="clear" w:pos="5470"/>
          <w:tab w:val="left" w:pos="234" w:leader="none"/>
          <w:tab w:val="left" w:pos="540" w:leader="none"/>
          <w:tab w:val="left" w:pos="1131" w:leader="none"/>
        </w:tabs>
        <w:spacing w:lineRule="auto" w:line="276"/>
        <w:ind w:hanging="567" w:left="567" w:right="0"/>
        <w:jc w:val="both"/>
        <w:rPr>
          <w:rFonts w:ascii="Titillium" w:hAnsi="Titillium"/>
          <w:b w:val="false"/>
          <w:bCs w:val="false"/>
          <w:sz w:val="20"/>
          <w:szCs w:val="20"/>
        </w:rPr>
      </w:pPr>
      <w:r>
        <w:rPr>
          <w:rFonts w:cs="Calibri" w:ascii="Titillium" w:hAnsi="Titillium"/>
          <w:b w:val="false"/>
          <w:bCs w:val="false"/>
          <w:sz w:val="20"/>
          <w:szCs w:val="20"/>
        </w:rPr>
        <w:t>W ramach robót budowlanych należy dokonać remontu:</w:t>
      </w:r>
    </w:p>
    <w:p>
      <w:pPr>
        <w:pStyle w:val="Normal"/>
        <w:widowControl w:val="false"/>
        <w:numPr>
          <w:ilvl w:val="1"/>
          <w:numId w:val="10"/>
        </w:numPr>
        <w:suppressAutoHyphens w:val="true"/>
        <w:bidi w:val="0"/>
        <w:spacing w:lineRule="auto" w:line="276" w:before="0" w:after="0"/>
        <w:ind w:hanging="283" w:left="567" w:right="0"/>
        <w:jc w:val="both"/>
        <w:textAlignment w:val="baseline"/>
        <w:rPr>
          <w:rFonts w:ascii="Titillium" w:hAnsi="Titillium"/>
          <w:b w:val="false"/>
          <w:bCs w:val="false"/>
          <w:sz w:val="20"/>
          <w:szCs w:val="20"/>
        </w:rPr>
      </w:pPr>
      <w:r>
        <w:rPr>
          <w:rFonts w:cs="Calibri" w:ascii="Titillium" w:hAnsi="Titillium"/>
          <w:b w:val="false"/>
          <w:bCs w:val="false"/>
          <w:sz w:val="20"/>
          <w:szCs w:val="20"/>
        </w:rPr>
        <w:t xml:space="preserve">odcinek nr II - odcinek od ul. Żytniej do ul. Pietrzkowickiej - wymiana konstrukcja drogi, wymiana nawierzchni asfaltowej na nawierzchnię z betonitów drogowych grubości 12 cm, pobocze utwardzone kruszywem, wymiana krawężników, odtworzenie odwodnienia drogi. Istniejącą kanalizację deszczową należy oczyścić oraz sprawdzić jej stan techniczny poprzez kamerowanie. W przypadku złego stanu technicznego, należy przeprowadzić jej remont poprzez wymianę uszkodzonych elementów. Istniejące rowy przydrożne należy odmulić. W rejonie posesji nr 123 należy wykonać remont istniejącego przepustu poprzez jego wymianę na nowy tj. fi 400, L=55 m, </w:t>
      </w:r>
    </w:p>
    <w:p>
      <w:pPr>
        <w:pStyle w:val="Normal"/>
        <w:widowControl w:val="false"/>
        <w:numPr>
          <w:ilvl w:val="1"/>
          <w:numId w:val="10"/>
        </w:numPr>
        <w:suppressAutoHyphens w:val="true"/>
        <w:bidi w:val="0"/>
        <w:spacing w:lineRule="auto" w:line="276" w:before="0" w:after="0"/>
        <w:ind w:hanging="283" w:left="567" w:right="0"/>
        <w:jc w:val="both"/>
        <w:textAlignment w:val="baseline"/>
        <w:rPr>
          <w:rFonts w:ascii="Titillium" w:hAnsi="Titillium"/>
          <w:b w:val="false"/>
          <w:bCs w:val="false"/>
          <w:sz w:val="20"/>
          <w:szCs w:val="20"/>
        </w:rPr>
      </w:pPr>
      <w:r>
        <w:rPr>
          <w:rFonts w:cs="Calibri" w:ascii="Titillium" w:hAnsi="Titillium"/>
          <w:b w:val="false"/>
          <w:bCs w:val="false"/>
          <w:sz w:val="20"/>
          <w:szCs w:val="20"/>
        </w:rPr>
        <w:t>odcinek nr III - odcinek od ul. Pietrzkowickiej do ul. Polnej - wymiana konstrukcja drogi, wymiana nawierzchni asfaltowej na nawierzchnię z betonitów drogowych grubości 12 cm, pobocze utwardzone kruszywem, wymiana krawężników, odtworzenie odwodnienia drogi. Istniejące rowy przydrożne należy odmulić.</w:t>
      </w:r>
    </w:p>
    <w:p>
      <w:pPr>
        <w:pStyle w:val="Normal"/>
        <w:widowControl w:val="false"/>
        <w:numPr>
          <w:ilvl w:val="0"/>
          <w:numId w:val="10"/>
        </w:numPr>
        <w:tabs>
          <w:tab w:val="clear" w:pos="685"/>
          <w:tab w:val="clear" w:pos="4876"/>
          <w:tab w:val="clear" w:pos="5470"/>
          <w:tab w:val="left" w:pos="566" w:leader="none"/>
        </w:tabs>
        <w:suppressAutoHyphens w:val="true"/>
        <w:bidi w:val="0"/>
        <w:spacing w:lineRule="auto" w:line="276" w:before="57" w:after="57"/>
        <w:ind w:hanging="227" w:left="227" w:right="0"/>
        <w:jc w:val="both"/>
        <w:textAlignment w:val="baseline"/>
        <w:rPr>
          <w:rFonts w:ascii="Titillium" w:hAnsi="Titillium"/>
          <w:b w:val="false"/>
          <w:bCs w:val="false"/>
          <w:sz w:val="20"/>
          <w:szCs w:val="20"/>
        </w:rPr>
      </w:pPr>
      <w:r>
        <w:rPr>
          <w:rFonts w:cs="Calibri" w:ascii="Titillium" w:hAnsi="Titillium"/>
          <w:b w:val="false"/>
          <w:bCs w:val="false"/>
          <w:sz w:val="20"/>
          <w:szCs w:val="20"/>
        </w:rPr>
        <w:t xml:space="preserve">W ciągu drogi należy wykonać oznakowanie pionowe i poziome oraz urządzenia bezpieczeństwa ruchu wg wykonanej i zatwierdzonej przez </w:t>
      </w:r>
      <w:r>
        <w:rPr>
          <w:rFonts w:cs="Calibri" w:ascii="Titillium" w:hAnsi="Titillium"/>
          <w:b w:val="false"/>
          <w:bCs w:val="false"/>
          <w:sz w:val="20"/>
          <w:szCs w:val="20"/>
          <w:u w:val="single"/>
        </w:rPr>
        <w:t>Wykonawcę</w:t>
      </w:r>
      <w:r>
        <w:rPr>
          <w:rFonts w:cs="Calibri" w:ascii="Titillium" w:hAnsi="Titillium"/>
          <w:b w:val="false"/>
          <w:bCs w:val="false"/>
          <w:sz w:val="20"/>
          <w:szCs w:val="20"/>
          <w:u w:val="none"/>
        </w:rPr>
        <w:t xml:space="preserve"> d</w:t>
      </w:r>
      <w:r>
        <w:rPr>
          <w:rFonts w:cs="Calibri" w:ascii="Titillium" w:hAnsi="Titillium"/>
          <w:b w:val="false"/>
          <w:bCs w:val="false"/>
          <w:sz w:val="20"/>
          <w:szCs w:val="20"/>
        </w:rPr>
        <w:t>ocelowej organizacji ruchu obejmującej cały odcinek ul. Niewiadomskiej od ul. Rydułtowskiej do ul. Szczerbickiej. Ponadto Wykonawca robót wykona, zatwierdzi i wprowadzi tymczasową organizację ruchu na czas prowadzenia robót.</w:t>
        <w:tab/>
        <w:t xml:space="preserve">Wykonawca dokona wszelkich zabezpieczeń istniejących sieci infrastruktury technicznej wynikających z załączonych uzgodnień oraz uzgodnień wykonanych w trakcie prac projektowych. </w:t>
      </w:r>
    </w:p>
    <w:p>
      <w:pPr>
        <w:pStyle w:val="Normal"/>
        <w:widowControl w:val="false"/>
        <w:numPr>
          <w:ilvl w:val="0"/>
          <w:numId w:val="10"/>
        </w:numPr>
        <w:tabs>
          <w:tab w:val="clear" w:pos="685"/>
          <w:tab w:val="clear" w:pos="4876"/>
          <w:tab w:val="clear" w:pos="5470"/>
          <w:tab w:val="left" w:pos="225" w:leader="none"/>
          <w:tab w:val="left" w:pos="272" w:leader="none"/>
        </w:tabs>
        <w:suppressAutoHyphens w:val="true"/>
        <w:bidi w:val="0"/>
        <w:spacing w:lineRule="auto" w:line="276" w:before="57" w:after="57"/>
        <w:ind w:hanging="624" w:left="567" w:right="0"/>
        <w:jc w:val="both"/>
        <w:textAlignment w:val="baseline"/>
        <w:rPr/>
      </w:pPr>
      <w:r>
        <w:rPr>
          <w:rStyle w:val="Domylnaczcionkaakapitu"/>
          <w:rFonts w:eastAsia="Times New Roman" w:cs="Calibri" w:ascii="Titillium" w:hAnsi="Titillium"/>
          <w:b w:val="false"/>
          <w:bCs w:val="false"/>
          <w:sz w:val="20"/>
          <w:szCs w:val="20"/>
          <w:lang w:bidi="ar-SA"/>
        </w:rPr>
        <w:t>Do</w:t>
      </w:r>
      <w:r>
        <w:rPr>
          <w:rFonts w:eastAsia="Times New Roman" w:cs="Times New Roman" w:ascii="Titillium" w:hAnsi="Titillium"/>
          <w:b w:val="false"/>
          <w:bCs w:val="false"/>
          <w:sz w:val="20"/>
          <w:szCs w:val="20"/>
        </w:rPr>
        <w:t>kumentacja winna zostać przekazana Zamawiającemu w liczbie:</w:t>
      </w:r>
    </w:p>
    <w:p>
      <w:pPr>
        <w:pStyle w:val="Normal"/>
        <w:widowControl w:val="false"/>
        <w:numPr>
          <w:ilvl w:val="1"/>
          <w:numId w:val="10"/>
        </w:numPr>
        <w:tabs>
          <w:tab w:val="clear" w:pos="685"/>
          <w:tab w:val="clear" w:pos="4876"/>
          <w:tab w:val="clear" w:pos="5470"/>
          <w:tab w:val="left" w:pos="566" w:leader="none"/>
          <w:tab w:val="left" w:pos="759" w:leader="none"/>
          <w:tab w:val="left" w:pos="1003" w:leader="none"/>
          <w:tab w:val="left" w:pos="11118" w:leader="none"/>
        </w:tabs>
        <w:suppressAutoHyphens w:val="true"/>
        <w:bidi w:val="0"/>
        <w:spacing w:lineRule="auto" w:line="276" w:before="0" w:after="0"/>
        <w:ind w:firstLine="57" w:left="567" w:right="0"/>
        <w:jc w:val="both"/>
        <w:textAlignment w:val="baseline"/>
        <w:rPr/>
      </w:pPr>
      <w:r>
        <w:rPr>
          <w:rStyle w:val="Domylnaczcionkaakapitu"/>
          <w:rFonts w:eastAsia="Times New Roman" w:cs="Times New Roman" w:ascii="Titillium" w:hAnsi="Titillium"/>
          <w:b w:val="false"/>
          <w:bCs w:val="false"/>
          <w:sz w:val="20"/>
          <w:szCs w:val="20"/>
        </w:rPr>
        <w:t xml:space="preserve">projekt zagospodarowania działki lub terenu, projekt architektoniczno-budowlany, projekt </w:t>
        <w:tab/>
        <w:tab/>
        <w:tab/>
        <w:t>techniczny zgodnie z ustawą z dnia 7 lipca 1994 r. Prawo budowlane – 2  egzemplarze,</w:t>
        <w:tab/>
        <w:tab/>
      </w:r>
    </w:p>
    <w:p>
      <w:pPr>
        <w:pStyle w:val="Normal"/>
        <w:widowControl w:val="false"/>
        <w:numPr>
          <w:ilvl w:val="1"/>
          <w:numId w:val="10"/>
        </w:numPr>
        <w:tabs>
          <w:tab w:val="clear" w:pos="685"/>
          <w:tab w:val="clear" w:pos="4876"/>
          <w:tab w:val="clear" w:pos="5470"/>
          <w:tab w:val="left" w:pos="566" w:leader="none"/>
          <w:tab w:val="left" w:pos="759" w:leader="none"/>
          <w:tab w:val="left" w:pos="1003" w:leader="none"/>
          <w:tab w:val="left" w:pos="11118" w:leader="none"/>
        </w:tabs>
        <w:suppressAutoHyphens w:val="true"/>
        <w:bidi w:val="0"/>
        <w:spacing w:lineRule="auto" w:line="276" w:before="0" w:after="0"/>
        <w:ind w:firstLine="57" w:left="567" w:right="0"/>
        <w:jc w:val="both"/>
        <w:textAlignment w:val="baseline"/>
        <w:rPr/>
      </w:pPr>
      <w:r>
        <w:rPr>
          <w:rStyle w:val="Domylnaczcionkaakapitu"/>
          <w:rFonts w:eastAsia="Times New Roman" w:cs="Times New Roman" w:ascii="Titillium" w:hAnsi="Titillium"/>
          <w:b w:val="false"/>
          <w:bCs w:val="false"/>
          <w:sz w:val="20"/>
          <w:szCs w:val="20"/>
        </w:rPr>
        <w:t>specyfikację techniczną wykonania i odbioru robót budowlanych: - 2 egzemplarze,</w:t>
      </w:r>
    </w:p>
    <w:p>
      <w:pPr>
        <w:pStyle w:val="Normal"/>
        <w:widowControl w:val="false"/>
        <w:numPr>
          <w:ilvl w:val="1"/>
          <w:numId w:val="10"/>
        </w:numPr>
        <w:tabs>
          <w:tab w:val="clear" w:pos="685"/>
          <w:tab w:val="clear" w:pos="4876"/>
          <w:tab w:val="clear" w:pos="5470"/>
          <w:tab w:val="left" w:pos="566" w:leader="none"/>
          <w:tab w:val="left" w:pos="759" w:leader="none"/>
          <w:tab w:val="left" w:pos="1003" w:leader="none"/>
          <w:tab w:val="left" w:pos="11118" w:leader="none"/>
        </w:tabs>
        <w:suppressAutoHyphens w:val="true"/>
        <w:bidi w:val="0"/>
        <w:spacing w:lineRule="auto" w:line="276" w:before="0" w:after="0"/>
        <w:ind w:firstLine="57" w:left="567" w:right="0"/>
        <w:jc w:val="both"/>
        <w:textAlignment w:val="baseline"/>
        <w:rPr>
          <w:rFonts w:ascii="Titillium" w:hAnsi="Titillium"/>
          <w:b w:val="false"/>
          <w:bCs w:val="false"/>
          <w:sz w:val="20"/>
          <w:szCs w:val="20"/>
        </w:rPr>
      </w:pPr>
      <w:r>
        <w:rPr>
          <w:rFonts w:eastAsia="Times New Roman" w:cs="Times New Roman" w:ascii="Titillium" w:hAnsi="Titillium"/>
          <w:b w:val="false"/>
          <w:bCs w:val="false"/>
          <w:sz w:val="20"/>
          <w:szCs w:val="20"/>
        </w:rPr>
        <w:t>wszystkie opracowania w wersji elektronicznej (2 nośniki CD)</w:t>
      </w:r>
    </w:p>
    <w:p>
      <w:pPr>
        <w:pStyle w:val="Normal"/>
        <w:widowControl w:val="false"/>
        <w:numPr>
          <w:ilvl w:val="1"/>
          <w:numId w:val="10"/>
        </w:numPr>
        <w:tabs>
          <w:tab w:val="clear" w:pos="685"/>
          <w:tab w:val="clear" w:pos="4876"/>
          <w:tab w:val="clear" w:pos="5470"/>
          <w:tab w:val="left" w:pos="566" w:leader="none"/>
          <w:tab w:val="left" w:pos="759" w:leader="none"/>
          <w:tab w:val="left" w:pos="1003" w:leader="none"/>
          <w:tab w:val="left" w:pos="11118" w:leader="none"/>
        </w:tabs>
        <w:suppressAutoHyphens w:val="true"/>
        <w:bidi w:val="0"/>
        <w:spacing w:lineRule="auto" w:line="276" w:before="0" w:after="0"/>
        <w:ind w:firstLine="57" w:left="567" w:right="0"/>
        <w:jc w:val="both"/>
        <w:textAlignment w:val="baseline"/>
        <w:rPr>
          <w:rFonts w:ascii="Titillium" w:hAnsi="Titillium"/>
          <w:b w:val="false"/>
          <w:bCs w:val="false"/>
          <w:sz w:val="20"/>
          <w:szCs w:val="20"/>
        </w:rPr>
      </w:pPr>
      <w:r>
        <w:rPr>
          <w:rFonts w:eastAsia="Times New Roman" w:cs="Times New Roman" w:ascii="Titillium" w:hAnsi="Titillium"/>
          <w:b w:val="false"/>
          <w:bCs w:val="false"/>
          <w:sz w:val="20"/>
          <w:szCs w:val="20"/>
        </w:rPr>
        <w:t xml:space="preserve">rysunki – wersja papierowa wyeksportowana w pełnym kolorze w formacie PDF z prawami do </w:t>
        <w:tab/>
        <w:tab/>
        <w:t>drukowania i kopiowania oraz w formacie dwg,</w:t>
      </w:r>
    </w:p>
    <w:p>
      <w:pPr>
        <w:pStyle w:val="Normal"/>
        <w:widowControl w:val="false"/>
        <w:numPr>
          <w:ilvl w:val="1"/>
          <w:numId w:val="10"/>
        </w:numPr>
        <w:tabs>
          <w:tab w:val="clear" w:pos="685"/>
          <w:tab w:val="clear" w:pos="4876"/>
          <w:tab w:val="clear" w:pos="5470"/>
          <w:tab w:val="left" w:pos="566" w:leader="none"/>
          <w:tab w:val="left" w:pos="759" w:leader="none"/>
          <w:tab w:val="left" w:pos="1003" w:leader="none"/>
          <w:tab w:val="left" w:pos="11118" w:leader="none"/>
        </w:tabs>
        <w:suppressAutoHyphens w:val="true"/>
        <w:bidi w:val="0"/>
        <w:spacing w:lineRule="auto" w:line="276" w:before="0" w:after="0"/>
        <w:ind w:firstLine="57" w:left="567" w:right="0"/>
        <w:jc w:val="both"/>
        <w:textAlignment w:val="baseline"/>
        <w:rPr>
          <w:rFonts w:ascii="Titillium" w:hAnsi="Titillium"/>
          <w:b w:val="false"/>
          <w:bCs w:val="false"/>
          <w:sz w:val="20"/>
          <w:szCs w:val="20"/>
        </w:rPr>
      </w:pPr>
      <w:r>
        <w:rPr>
          <w:rFonts w:eastAsia="Times New Roman" w:cs="Times New Roman" w:ascii="Titillium" w:hAnsi="Titillium"/>
          <w:b w:val="false"/>
          <w:bCs w:val="false"/>
          <w:sz w:val="20"/>
          <w:szCs w:val="20"/>
        </w:rPr>
        <w:t>teksty – w formacie PDF  z prawami do wyszukiwania, drukowania, kopiowania.</w:t>
      </w:r>
    </w:p>
    <w:p>
      <w:pPr>
        <w:pStyle w:val="Normal"/>
        <w:numPr>
          <w:ilvl w:val="0"/>
          <w:numId w:val="0"/>
        </w:numPr>
        <w:tabs>
          <w:tab w:val="clear" w:pos="685"/>
          <w:tab w:val="clear" w:pos="4876"/>
          <w:tab w:val="clear" w:pos="5470"/>
          <w:tab w:val="left" w:pos="225" w:leader="none"/>
          <w:tab w:val="left" w:pos="338" w:leader="none"/>
          <w:tab w:val="left" w:pos="516" w:leader="none"/>
        </w:tabs>
        <w:spacing w:lineRule="auto" w:line="276"/>
        <w:ind w:hanging="0" w:left="720"/>
        <w:jc w:val="both"/>
        <w:rPr>
          <w:rFonts w:ascii="Titillium" w:hAnsi="Titillium" w:eastAsia="Times New Roman" w:cs="Times New Roman"/>
          <w:b w:val="false"/>
          <w:bCs w:val="false"/>
          <w:color w:val="000000"/>
          <w:sz w:val="20"/>
          <w:szCs w:val="20"/>
        </w:rPr>
      </w:pPr>
      <w:r>
        <w:rPr>
          <w:rFonts w:eastAsia="Times New Roman" w:cs="Times New Roman" w:ascii="Titillium" w:hAnsi="Titillium"/>
          <w:b w:val="false"/>
          <w:bCs w:val="false"/>
          <w:color w:val="000000"/>
          <w:sz w:val="20"/>
          <w:szCs w:val="20"/>
        </w:rPr>
        <w:t>UWAGI: W opisie technologii prowadzenia robót odwóz gruntu i  gruzu oraz innych odpadów, w tym odpadów metalowych wraz z ich utylizacją (środki uzyskane z utylizacji elementów metalowych przewidzieć jako stanowiące przychód Wykonawcy robót budowlanych).</w:t>
      </w:r>
    </w:p>
    <w:p>
      <w:pPr>
        <w:pStyle w:val="Normal"/>
        <w:widowControl/>
        <w:numPr>
          <w:ilvl w:val="0"/>
          <w:numId w:val="10"/>
        </w:numPr>
        <w:tabs>
          <w:tab w:val="clear" w:pos="685"/>
          <w:tab w:val="clear" w:pos="4876"/>
          <w:tab w:val="clear" w:pos="5470"/>
          <w:tab w:val="left" w:pos="263" w:leader="none"/>
          <w:tab w:val="left" w:pos="600" w:leader="none"/>
        </w:tabs>
        <w:suppressAutoHyphens w:val="true"/>
        <w:bidi w:val="0"/>
        <w:spacing w:lineRule="auto" w:line="276" w:before="0" w:after="0"/>
        <w:ind w:hanging="567" w:left="340" w:right="0"/>
        <w:jc w:val="both"/>
        <w:textAlignment w:val="baseline"/>
        <w:rPr>
          <w:rFonts w:ascii="Titillium" w:hAnsi="Titillium"/>
          <w:sz w:val="20"/>
          <w:szCs w:val="20"/>
        </w:rPr>
      </w:pPr>
      <w:r>
        <w:rPr>
          <w:rFonts w:eastAsia="Times New Roman" w:cs="Times New Roman" w:ascii="Titillium" w:hAnsi="Titillium"/>
          <w:b w:val="false"/>
          <w:bCs/>
          <w:sz w:val="20"/>
          <w:szCs w:val="20"/>
          <w:lang w:bidi="ar-SA"/>
        </w:rPr>
        <w:t xml:space="preserve">Do obowiązków Wykonawcy należy: </w:t>
      </w:r>
    </w:p>
    <w:p>
      <w:pPr>
        <w:pStyle w:val="Normal"/>
        <w:widowControl/>
        <w:numPr>
          <w:ilvl w:val="1"/>
          <w:numId w:val="10"/>
        </w:numPr>
        <w:tabs>
          <w:tab w:val="clear" w:pos="685"/>
          <w:tab w:val="clear" w:pos="4876"/>
          <w:tab w:val="clear" w:pos="5470"/>
          <w:tab w:val="left" w:pos="600" w:leader="none"/>
        </w:tabs>
        <w:suppressAutoHyphens w:val="true"/>
        <w:bidi w:val="0"/>
        <w:spacing w:lineRule="auto" w:line="276" w:before="0" w:after="0"/>
        <w:ind w:hanging="113" w:left="567" w:right="0"/>
        <w:jc w:val="both"/>
        <w:textAlignment w:val="baseline"/>
        <w:rPr/>
      </w:pPr>
      <w:r>
        <w:rPr>
          <w:rStyle w:val="Domylnaczcionkaakapitu"/>
          <w:rFonts w:eastAsia="Times New Roman" w:cs="Times New Roman" w:ascii="Titillium" w:hAnsi="Titillium"/>
          <w:b w:val="false"/>
          <w:bCs w:val="false"/>
          <w:sz w:val="20"/>
          <w:szCs w:val="20"/>
          <w:shd w:fill="auto" w:val="clear"/>
        </w:rPr>
        <w:t xml:space="preserve">wykonanie badań geologicznych, </w:t>
      </w:r>
    </w:p>
    <w:p>
      <w:pPr>
        <w:pStyle w:val="Normal"/>
        <w:widowControl/>
        <w:numPr>
          <w:ilvl w:val="1"/>
          <w:numId w:val="10"/>
        </w:numPr>
        <w:tabs>
          <w:tab w:val="clear" w:pos="685"/>
          <w:tab w:val="left" w:pos="741" w:leader="none"/>
          <w:tab w:val="center" w:pos="4876" w:leader="none"/>
          <w:tab w:val="left" w:pos="5470" w:leader="none"/>
        </w:tabs>
        <w:suppressAutoHyphens w:val="true"/>
        <w:bidi w:val="0"/>
        <w:spacing w:lineRule="auto" w:line="276" w:before="0" w:after="0"/>
        <w:ind w:hanging="283" w:left="737" w:right="0"/>
        <w:jc w:val="both"/>
        <w:textAlignment w:val="baseline"/>
        <w:rPr/>
      </w:pPr>
      <w:r>
        <w:rPr>
          <w:rStyle w:val="Domylnaczcionkaakapitu"/>
          <w:rFonts w:eastAsia="Times New Roman" w:cs="Times New Roman" w:ascii="Titillium" w:hAnsi="Titillium"/>
          <w:b w:val="false"/>
          <w:bCs w:val="false"/>
          <w:sz w:val="20"/>
          <w:szCs w:val="20"/>
        </w:rPr>
        <w:t xml:space="preserve">uzyskanie materiałów wyjściowych do uzyskania decyzji, opinii, uzgodnień i pozwoleń wymaganych przepisami (warunki przebudowy infrastruktury oraz inne niezbędne do realizacji inwestycji).  </w:t>
      </w:r>
    </w:p>
    <w:p>
      <w:pPr>
        <w:pStyle w:val="Normal"/>
        <w:widowControl/>
        <w:numPr>
          <w:ilvl w:val="1"/>
          <w:numId w:val="10"/>
        </w:numPr>
        <w:tabs>
          <w:tab w:val="clear" w:pos="685"/>
          <w:tab w:val="clear" w:pos="4876"/>
          <w:tab w:val="clear" w:pos="5470"/>
          <w:tab w:val="left" w:pos="600" w:leader="none"/>
        </w:tabs>
        <w:suppressAutoHyphens w:val="true"/>
        <w:bidi w:val="0"/>
        <w:spacing w:lineRule="auto" w:line="276" w:before="0" w:after="0"/>
        <w:ind w:hanging="283" w:left="737" w:right="0"/>
        <w:jc w:val="both"/>
        <w:textAlignment w:val="baseline"/>
        <w:rPr/>
      </w:pPr>
      <w:r>
        <w:rPr>
          <w:rStyle w:val="Domylnaczcionkaakapitu"/>
          <w:rFonts w:eastAsia="Times New Roman" w:cs="Times New Roman" w:ascii="Titillium" w:hAnsi="Titillium"/>
          <w:b w:val="false"/>
          <w:bCs w:val="false"/>
          <w:sz w:val="20"/>
          <w:szCs w:val="20"/>
        </w:rPr>
        <w:t xml:space="preserve">uzyskanie warunków technicznych od gestorów istniejących sieci oraz wykonanie dokumentacji projektowej usunięcia lub zabezpieczenia kolizji wszystkich występujących branż, </w:t>
      </w:r>
    </w:p>
    <w:p>
      <w:pPr>
        <w:pStyle w:val="Normal"/>
        <w:widowControl/>
        <w:numPr>
          <w:ilvl w:val="1"/>
          <w:numId w:val="10"/>
        </w:numPr>
        <w:tabs>
          <w:tab w:val="clear" w:pos="685"/>
          <w:tab w:val="clear" w:pos="4876"/>
          <w:tab w:val="clear" w:pos="5470"/>
          <w:tab w:val="left" w:pos="600" w:leader="none"/>
          <w:tab w:val="left" w:pos="735" w:leader="none"/>
        </w:tabs>
        <w:suppressAutoHyphens w:val="true"/>
        <w:bidi w:val="0"/>
        <w:spacing w:lineRule="auto" w:line="276" w:before="0" w:after="0"/>
        <w:ind w:hanging="283" w:left="737" w:right="0"/>
        <w:jc w:val="both"/>
        <w:textAlignment w:val="baseline"/>
        <w:rPr>
          <w:rFonts w:ascii="Titillium" w:hAnsi="Titillium"/>
          <w:b w:val="false"/>
          <w:bCs w:val="false"/>
          <w:sz w:val="20"/>
          <w:szCs w:val="20"/>
        </w:rPr>
      </w:pPr>
      <w:r>
        <w:rPr>
          <w:rFonts w:eastAsia="Times New Roman" w:cs="Times New Roman" w:ascii="Titillium" w:hAnsi="Titillium"/>
          <w:b w:val="false"/>
          <w:bCs w:val="false"/>
          <w:sz w:val="20"/>
          <w:szCs w:val="20"/>
        </w:rPr>
        <w:t xml:space="preserve">opracowanie materiałów projektowych oraz wykonanie dokumentacji geodezyjno-prawnej, </w:t>
      </w:r>
    </w:p>
    <w:p>
      <w:pPr>
        <w:pStyle w:val="Normal"/>
        <w:widowControl/>
        <w:numPr>
          <w:ilvl w:val="1"/>
          <w:numId w:val="10"/>
        </w:numPr>
        <w:tabs>
          <w:tab w:val="clear" w:pos="685"/>
          <w:tab w:val="clear" w:pos="4876"/>
          <w:tab w:val="clear" w:pos="5470"/>
          <w:tab w:val="left" w:pos="600" w:leader="none"/>
        </w:tabs>
        <w:suppressAutoHyphens w:val="true"/>
        <w:bidi w:val="0"/>
        <w:spacing w:lineRule="auto" w:line="276" w:before="0" w:after="0"/>
        <w:ind w:hanging="113" w:left="567" w:right="0"/>
        <w:jc w:val="both"/>
        <w:textAlignment w:val="baseline"/>
        <w:rPr/>
      </w:pPr>
      <w:r>
        <w:rPr>
          <w:rStyle w:val="Domylnaczcionkaakapitu"/>
          <w:rFonts w:eastAsia="Times New Roman" w:cs="Times New Roman" w:ascii="Titillium" w:hAnsi="Titillium"/>
          <w:b w:val="false"/>
          <w:bCs w:val="false"/>
          <w:sz w:val="20"/>
          <w:szCs w:val="20"/>
        </w:rPr>
        <w:t xml:space="preserve">uzyskanie wszelkich niezbędnych uzgodnień, decyzji celem realizacji zamówienia, </w:t>
      </w:r>
    </w:p>
    <w:p>
      <w:pPr>
        <w:pStyle w:val="Normal"/>
        <w:widowControl/>
        <w:numPr>
          <w:ilvl w:val="1"/>
          <w:numId w:val="10"/>
        </w:numPr>
        <w:tabs>
          <w:tab w:val="clear" w:pos="685"/>
          <w:tab w:val="clear" w:pos="4876"/>
          <w:tab w:val="clear" w:pos="5470"/>
          <w:tab w:val="left" w:pos="600" w:leader="none"/>
        </w:tabs>
        <w:suppressAutoHyphens w:val="true"/>
        <w:bidi w:val="0"/>
        <w:spacing w:lineRule="auto" w:line="276" w:before="0" w:after="0"/>
        <w:ind w:hanging="283" w:left="737" w:right="0"/>
        <w:jc w:val="both"/>
        <w:textAlignment w:val="baseline"/>
        <w:rPr/>
      </w:pPr>
      <w:r>
        <w:rPr>
          <w:rStyle w:val="Domylnaczcionkaakapitu"/>
          <w:rFonts w:eastAsia="Times New Roman" w:cs="Times New Roman" w:ascii="Titillium" w:hAnsi="Titillium"/>
          <w:b w:val="false"/>
          <w:bCs w:val="false"/>
          <w:color w:val="000000"/>
          <w:sz w:val="20"/>
          <w:szCs w:val="20"/>
          <w:shd w:fill="auto" w:val="clear"/>
        </w:rPr>
        <w:t>opracowanie materiałów do skutecznego złożenia wniosku o wydanie stosownego zezwolenia na realizację robót budowlanych,</w:t>
      </w:r>
    </w:p>
    <w:p>
      <w:pPr>
        <w:pStyle w:val="Normal"/>
        <w:widowControl/>
        <w:numPr>
          <w:ilvl w:val="1"/>
          <w:numId w:val="10"/>
        </w:numPr>
        <w:tabs>
          <w:tab w:val="clear" w:pos="685"/>
          <w:tab w:val="clear" w:pos="4876"/>
          <w:tab w:val="clear" w:pos="5470"/>
          <w:tab w:val="left" w:pos="600" w:leader="none"/>
        </w:tabs>
        <w:suppressAutoHyphens w:val="true"/>
        <w:bidi w:val="0"/>
        <w:spacing w:lineRule="auto" w:line="276" w:before="0" w:after="0"/>
        <w:ind w:hanging="283" w:left="737" w:right="0"/>
        <w:jc w:val="both"/>
        <w:textAlignment w:val="baseline"/>
        <w:rPr/>
      </w:pPr>
      <w:r>
        <w:rPr>
          <w:rStyle w:val="Domylnaczcionkaakapitu"/>
          <w:rFonts w:eastAsia="Times New Roman" w:cs="Times New Roman" w:ascii="Titillium" w:hAnsi="Titillium"/>
          <w:b w:val="false"/>
          <w:bCs w:val="false"/>
          <w:sz w:val="20"/>
          <w:szCs w:val="20"/>
          <w:shd w:fill="auto" w:val="clear"/>
        </w:rPr>
        <w:t xml:space="preserve">osobisty lub online udział w spotkaniach odbywających się w siedzibie Zamawiającego co najmniej raz w miesiącu celem przedstawienia i omówienia postępu prac projektowych w zakresie stosowanych rozwiązań i materiałów, </w:t>
      </w:r>
    </w:p>
    <w:p>
      <w:pPr>
        <w:pStyle w:val="Normal"/>
        <w:widowControl/>
        <w:numPr>
          <w:ilvl w:val="1"/>
          <w:numId w:val="10"/>
        </w:numPr>
        <w:tabs>
          <w:tab w:val="clear" w:pos="685"/>
          <w:tab w:val="clear" w:pos="4876"/>
          <w:tab w:val="clear" w:pos="5470"/>
          <w:tab w:val="left" w:pos="600" w:leader="none"/>
          <w:tab w:val="left" w:pos="735" w:leader="none"/>
        </w:tabs>
        <w:suppressAutoHyphens w:val="true"/>
        <w:bidi w:val="0"/>
        <w:spacing w:lineRule="auto" w:line="276" w:before="0" w:after="0"/>
        <w:ind w:hanging="283" w:left="737" w:right="0"/>
        <w:jc w:val="both"/>
        <w:textAlignment w:val="baseline"/>
        <w:rPr/>
      </w:pPr>
      <w:r>
        <w:rPr>
          <w:rStyle w:val="Strong"/>
          <w:rFonts w:eastAsia="Times-Roman;Times New Roman" w:cs="Arial" w:ascii="Titillium" w:hAnsi="Titillium"/>
          <w:b w:val="false"/>
          <w:bCs w:val="false"/>
          <w:sz w:val="20"/>
          <w:szCs w:val="20"/>
          <w:shd w:fill="auto" w:val="clear"/>
          <w:lang w:eastAsia="pl-PL" w:bidi="ar-SA"/>
        </w:rPr>
        <w:t>ujęcie kosztów urządzeń i eksploatacji zaplecza budowy (w tym</w:t>
      </w:r>
      <w:r>
        <w:rPr>
          <w:rStyle w:val="Strong"/>
          <w:rFonts w:eastAsia="Times-Roman;Times New Roman" w:cs="Arial" w:ascii="Titillium" w:hAnsi="Titillium"/>
          <w:b/>
          <w:sz w:val="20"/>
          <w:szCs w:val="20"/>
          <w:shd w:fill="auto" w:val="clear"/>
          <w:lang w:eastAsia="pl-PL" w:bidi="ar-SA"/>
        </w:rPr>
        <w:t xml:space="preserve"> </w:t>
      </w:r>
      <w:r>
        <w:rPr>
          <w:rStyle w:val="Strong"/>
          <w:rFonts w:eastAsia="Times-Roman;Times New Roman" w:cs="Arial" w:ascii="Titillium" w:hAnsi="Titillium"/>
          <w:b w:val="false"/>
          <w:bCs w:val="false"/>
          <w:sz w:val="20"/>
          <w:szCs w:val="20"/>
          <w:shd w:fill="auto" w:val="clear"/>
          <w:lang w:eastAsia="pl-PL" w:bidi="ar-SA"/>
        </w:rPr>
        <w:t xml:space="preserve">doprowadzenie i zużycie mediów, itp.) oraz koszt likwidacji zaplecza budowy, </w:t>
      </w:r>
    </w:p>
    <w:p>
      <w:pPr>
        <w:pStyle w:val="Normal"/>
        <w:widowControl/>
        <w:numPr>
          <w:ilvl w:val="1"/>
          <w:numId w:val="10"/>
        </w:numPr>
        <w:suppressAutoHyphens w:val="true"/>
        <w:bidi w:val="0"/>
        <w:spacing w:lineRule="auto" w:line="276" w:before="0" w:after="0"/>
        <w:ind w:hanging="340" w:left="737" w:right="0"/>
        <w:jc w:val="both"/>
        <w:textAlignment w:val="baseline"/>
        <w:rPr/>
      </w:pPr>
      <w:r>
        <w:rPr>
          <w:rStyle w:val="Strong"/>
          <w:rFonts w:eastAsia="Times-Roman;Times New Roman" w:cs="Arial" w:ascii="Titillium" w:hAnsi="Titillium"/>
          <w:b w:val="false"/>
          <w:bCs w:val="false"/>
          <w:sz w:val="20"/>
          <w:szCs w:val="20"/>
          <w:shd w:fill="auto" w:val="clear"/>
          <w:lang w:eastAsia="pl-PL" w:bidi="ar-SA"/>
        </w:rPr>
        <w:t xml:space="preserve"> </w:t>
      </w:r>
      <w:r>
        <w:rPr>
          <w:rStyle w:val="Strong"/>
          <w:rFonts w:eastAsia="Times-Roman;Times New Roman" w:cs="Arial" w:ascii="Titillium" w:hAnsi="Titillium"/>
          <w:b w:val="false"/>
          <w:bCs w:val="false"/>
          <w:sz w:val="20"/>
          <w:szCs w:val="20"/>
          <w:shd w:fill="auto" w:val="clear"/>
          <w:lang w:eastAsia="pl-PL" w:bidi="ar-SA"/>
        </w:rPr>
        <w:t xml:space="preserve">zabezpieczenie terenu budowy i w szczególności rejonu prowadzonych robót, </w:t>
      </w:r>
    </w:p>
    <w:p>
      <w:pPr>
        <w:pStyle w:val="Normal"/>
        <w:widowControl/>
        <w:numPr>
          <w:ilvl w:val="1"/>
          <w:numId w:val="10"/>
        </w:numPr>
        <w:tabs>
          <w:tab w:val="clear" w:pos="685"/>
          <w:tab w:val="clear" w:pos="4876"/>
          <w:tab w:val="clear" w:pos="5470"/>
          <w:tab w:val="left" w:pos="600" w:leader="none"/>
        </w:tabs>
        <w:suppressAutoHyphens w:val="true"/>
        <w:bidi w:val="0"/>
        <w:spacing w:lineRule="auto" w:line="276" w:before="0" w:after="0"/>
        <w:ind w:hanging="170" w:left="510" w:right="0"/>
        <w:jc w:val="both"/>
        <w:textAlignment w:val="baseline"/>
        <w:rPr/>
      </w:pPr>
      <w:r>
        <w:rPr>
          <w:rStyle w:val="Strong"/>
          <w:rFonts w:eastAsia="Times-Roman;Times New Roman" w:cs="Arial" w:ascii="Titillium" w:hAnsi="Titillium"/>
          <w:b w:val="false"/>
          <w:bCs w:val="false"/>
          <w:sz w:val="20"/>
          <w:szCs w:val="20"/>
          <w:shd w:fill="auto" w:val="clear"/>
          <w:lang w:eastAsia="pl-PL" w:bidi="ar-SA"/>
        </w:rPr>
        <w:t xml:space="preserve">ubezpieczenie terenu budowy od wszelkich roszczeń cywilno – prawnych, </w:t>
      </w:r>
    </w:p>
    <w:p>
      <w:pPr>
        <w:pStyle w:val="Normal"/>
        <w:widowControl/>
        <w:numPr>
          <w:ilvl w:val="1"/>
          <w:numId w:val="10"/>
        </w:numPr>
        <w:tabs>
          <w:tab w:val="clear" w:pos="685"/>
          <w:tab w:val="clear" w:pos="4876"/>
          <w:tab w:val="clear" w:pos="5470"/>
          <w:tab w:val="left" w:pos="600" w:leader="none"/>
        </w:tabs>
        <w:suppressAutoHyphens w:val="true"/>
        <w:bidi w:val="0"/>
        <w:spacing w:lineRule="auto" w:line="276" w:before="0" w:after="0"/>
        <w:ind w:hanging="397" w:left="737" w:right="0"/>
        <w:jc w:val="both"/>
        <w:textAlignment w:val="baseline"/>
        <w:rPr/>
      </w:pPr>
      <w:r>
        <w:rPr>
          <w:rStyle w:val="Strong"/>
          <w:rFonts w:eastAsia="Times-Roman;Times New Roman" w:cs="Arial" w:ascii="Titillium" w:hAnsi="Titillium"/>
          <w:b w:val="false"/>
          <w:bCs w:val="false"/>
          <w:sz w:val="20"/>
          <w:szCs w:val="20"/>
          <w:shd w:fill="auto" w:val="clear"/>
          <w:lang w:eastAsia="pl-PL" w:bidi="ar-SA"/>
        </w:rPr>
        <w:t xml:space="preserve">ujęcie kosztów związanych z bieżącym uporządkowaniem terenu, w tym ciągów komunikacyjnych w obrębie prowadzonych robót budowlanych, </w:t>
      </w:r>
    </w:p>
    <w:p>
      <w:pPr>
        <w:pStyle w:val="Normal"/>
        <w:widowControl/>
        <w:numPr>
          <w:ilvl w:val="1"/>
          <w:numId w:val="10"/>
        </w:numPr>
        <w:tabs>
          <w:tab w:val="clear" w:pos="685"/>
          <w:tab w:val="clear" w:pos="4876"/>
          <w:tab w:val="clear" w:pos="5470"/>
          <w:tab w:val="left" w:pos="735" w:leader="none"/>
          <w:tab w:val="left" w:pos="795" w:leader="none"/>
        </w:tabs>
        <w:suppressAutoHyphens w:val="true"/>
        <w:bidi w:val="0"/>
        <w:spacing w:lineRule="auto" w:line="276" w:before="0" w:after="0"/>
        <w:ind w:hanging="170" w:left="510" w:right="0"/>
        <w:jc w:val="both"/>
        <w:textAlignment w:val="baseline"/>
        <w:rPr/>
      </w:pPr>
      <w:r>
        <w:rPr>
          <w:rStyle w:val="Strong"/>
          <w:rFonts w:eastAsia="Times-Roman;Times New Roman" w:cs="Arial" w:ascii="Titillium" w:hAnsi="Titillium"/>
          <w:b w:val="false"/>
          <w:bCs w:val="false"/>
          <w:sz w:val="20"/>
          <w:szCs w:val="20"/>
          <w:shd w:fill="auto" w:val="clear"/>
          <w:lang w:eastAsia="pl-PL" w:bidi="ar-SA"/>
        </w:rPr>
        <w:t xml:space="preserve">zabezpieczenie istniejącego uzbrojenia terenu, </w:t>
      </w:r>
    </w:p>
    <w:p>
      <w:pPr>
        <w:pStyle w:val="Normal"/>
        <w:widowControl/>
        <w:numPr>
          <w:ilvl w:val="1"/>
          <w:numId w:val="10"/>
        </w:numPr>
        <w:tabs>
          <w:tab w:val="clear" w:pos="685"/>
          <w:tab w:val="clear" w:pos="4876"/>
          <w:tab w:val="clear" w:pos="5470"/>
          <w:tab w:val="left" w:pos="735" w:leader="none"/>
        </w:tabs>
        <w:suppressAutoHyphens w:val="true"/>
        <w:bidi w:val="0"/>
        <w:spacing w:lineRule="auto" w:line="276" w:before="0" w:after="0"/>
        <w:ind w:hanging="454" w:left="794" w:right="0"/>
        <w:jc w:val="both"/>
        <w:textAlignment w:val="baseline"/>
        <w:rPr/>
      </w:pPr>
      <w:r>
        <w:rPr>
          <w:rStyle w:val="Strong"/>
          <w:rFonts w:eastAsia="Times-Roman;Times New Roman" w:cs="Arial" w:ascii="Titillium" w:hAnsi="Titillium"/>
          <w:b w:val="false"/>
          <w:bCs w:val="false"/>
          <w:sz w:val="20"/>
          <w:szCs w:val="20"/>
          <w:shd w:fill="auto" w:val="clear"/>
          <w:lang w:eastAsia="pl-PL" w:bidi="ar-SA"/>
        </w:rPr>
        <w:t xml:space="preserve">wykonanie wszelkich badań, prób, pomiarów i uzgodnień, niezbędnych do przeprowadzenia odbiorów częściowych i odbioru końcowego robót budowlanych, </w:t>
      </w:r>
    </w:p>
    <w:p>
      <w:pPr>
        <w:pStyle w:val="Normal"/>
        <w:widowControl/>
        <w:numPr>
          <w:ilvl w:val="1"/>
          <w:numId w:val="10"/>
        </w:numPr>
        <w:tabs>
          <w:tab w:val="clear" w:pos="685"/>
          <w:tab w:val="clear" w:pos="4876"/>
          <w:tab w:val="clear" w:pos="5470"/>
          <w:tab w:val="left" w:pos="735" w:leader="none"/>
        </w:tabs>
        <w:suppressAutoHyphens w:val="true"/>
        <w:bidi w:val="0"/>
        <w:spacing w:lineRule="auto" w:line="276" w:before="0" w:after="0"/>
        <w:ind w:hanging="170" w:left="510" w:right="0"/>
        <w:jc w:val="both"/>
        <w:textAlignment w:val="baseline"/>
        <w:rPr/>
      </w:pPr>
      <w:r>
        <w:rPr>
          <w:rStyle w:val="Strong"/>
          <w:rFonts w:eastAsia="Times-Roman;Times New Roman" w:cs="Arial" w:ascii="Titillium" w:hAnsi="Titillium"/>
          <w:b w:val="false"/>
          <w:bCs w:val="false"/>
          <w:sz w:val="20"/>
          <w:szCs w:val="20"/>
          <w:shd w:fill="auto" w:val="clear"/>
          <w:lang w:eastAsia="pl-PL" w:bidi="ar-SA"/>
        </w:rPr>
        <w:t xml:space="preserve">uzyskanie decyzji o pozwoleniu na użytkowanie (w przypadku takiej konieczności), </w:t>
      </w:r>
    </w:p>
    <w:p>
      <w:pPr>
        <w:pStyle w:val="Normal"/>
        <w:widowControl/>
        <w:numPr>
          <w:ilvl w:val="1"/>
          <w:numId w:val="10"/>
        </w:numPr>
        <w:tabs>
          <w:tab w:val="clear" w:pos="685"/>
          <w:tab w:val="clear" w:pos="4876"/>
          <w:tab w:val="clear" w:pos="5470"/>
          <w:tab w:val="left" w:pos="735" w:leader="none"/>
        </w:tabs>
        <w:suppressAutoHyphens w:val="true"/>
        <w:bidi w:val="0"/>
        <w:spacing w:lineRule="auto" w:line="276" w:before="0" w:after="0"/>
        <w:ind w:hanging="170" w:left="510" w:right="0"/>
        <w:jc w:val="both"/>
        <w:textAlignment w:val="baseline"/>
        <w:rPr/>
      </w:pPr>
      <w:r>
        <w:rPr>
          <w:rStyle w:val="Strong"/>
          <w:rFonts w:eastAsia="Times-Roman;Times New Roman" w:cs="Arial" w:ascii="Titillium" w:hAnsi="Titillium"/>
          <w:b w:val="false"/>
          <w:bCs w:val="false"/>
          <w:sz w:val="20"/>
          <w:szCs w:val="20"/>
          <w:shd w:fill="auto" w:val="clear"/>
          <w:lang w:eastAsia="pl-PL" w:bidi="ar-SA"/>
        </w:rPr>
        <w:t xml:space="preserve">opracowanie dokumentacji powykonawczej wraz z zakresem rzeczowo – finansowym, </w:t>
      </w:r>
    </w:p>
    <w:p>
      <w:pPr>
        <w:pStyle w:val="Normal"/>
        <w:widowControl/>
        <w:numPr>
          <w:ilvl w:val="1"/>
          <w:numId w:val="10"/>
        </w:numPr>
        <w:tabs>
          <w:tab w:val="clear" w:pos="685"/>
          <w:tab w:val="clear" w:pos="4876"/>
          <w:tab w:val="clear" w:pos="5470"/>
          <w:tab w:val="left" w:pos="735" w:leader="none"/>
        </w:tabs>
        <w:suppressAutoHyphens w:val="true"/>
        <w:bidi w:val="0"/>
        <w:spacing w:lineRule="auto" w:line="276" w:before="0" w:after="0"/>
        <w:ind w:hanging="397" w:left="737" w:right="0"/>
        <w:jc w:val="both"/>
        <w:textAlignment w:val="baseline"/>
        <w:rPr/>
      </w:pPr>
      <w:r>
        <w:rPr>
          <w:rStyle w:val="Strong"/>
          <w:rFonts w:eastAsia="Times-Roman;Times New Roman" w:cs="Arial" w:ascii="Titillium" w:hAnsi="Titillium"/>
          <w:b w:val="false"/>
          <w:bCs w:val="false"/>
          <w:sz w:val="20"/>
          <w:szCs w:val="20"/>
          <w:shd w:fill="auto" w:val="clear"/>
          <w:lang w:eastAsia="pl-PL" w:bidi="ar-SA"/>
        </w:rPr>
        <w:t>zlecenie nadzorów branżowych prowadzonych przez przedstawicieli właściwych gestorów sieci oraz nadzoru archeologicznego</w:t>
      </w:r>
      <w:r>
        <w:rPr>
          <w:rStyle w:val="Strong"/>
          <w:rFonts w:eastAsia="Times-Roman;Times New Roman" w:cs="Arial" w:ascii="Titillium" w:hAnsi="Titillium"/>
          <w:b w:val="false"/>
          <w:bCs w:val="false"/>
          <w:sz w:val="20"/>
          <w:szCs w:val="20"/>
          <w:shd w:fill="auto" w:val="clear"/>
          <w:lang w:eastAsia="pl-PL" w:bidi="ar-SA"/>
        </w:rPr>
        <w:t xml:space="preserve"> i konserwatorskiego (w przypadku takiej konieczności), </w:t>
      </w:r>
    </w:p>
    <w:p>
      <w:pPr>
        <w:pStyle w:val="Normal"/>
        <w:widowControl/>
        <w:numPr>
          <w:ilvl w:val="1"/>
          <w:numId w:val="10"/>
        </w:numPr>
        <w:tabs>
          <w:tab w:val="clear" w:pos="685"/>
          <w:tab w:val="clear" w:pos="4876"/>
          <w:tab w:val="clear" w:pos="5470"/>
          <w:tab w:val="left" w:pos="600" w:leader="none"/>
        </w:tabs>
        <w:suppressAutoHyphens w:val="true"/>
        <w:bidi w:val="0"/>
        <w:spacing w:lineRule="auto" w:line="276" w:before="0" w:after="0"/>
        <w:ind w:hanging="397" w:left="737" w:right="0"/>
        <w:jc w:val="both"/>
        <w:textAlignment w:val="baseline"/>
        <w:rPr/>
      </w:pPr>
      <w:r>
        <w:rPr>
          <w:rStyle w:val="Strong"/>
          <w:rFonts w:eastAsia="Times-Roman;Times New Roman" w:cs="Arial" w:ascii="Titillium" w:hAnsi="Titillium"/>
          <w:b w:val="false"/>
          <w:bCs w:val="false"/>
          <w:sz w:val="20"/>
          <w:szCs w:val="20"/>
          <w:shd w:fill="auto" w:val="clear"/>
          <w:lang w:eastAsia="pl-PL" w:bidi="ar-SA"/>
        </w:rPr>
        <w:t xml:space="preserve">ujęcie kosztów odwozu gruntu, gruzu, elementów metalowych, destruktu asfaltowego niepodlegającego recyklingowi oraz innych odpadów (w tym gałęzi i  karpiny) wraz z ich utylizacją, </w:t>
      </w:r>
    </w:p>
    <w:p>
      <w:pPr>
        <w:pStyle w:val="Normal"/>
        <w:widowControl/>
        <w:numPr>
          <w:ilvl w:val="1"/>
          <w:numId w:val="10"/>
        </w:numPr>
        <w:tabs>
          <w:tab w:val="clear" w:pos="685"/>
          <w:tab w:val="clear" w:pos="4876"/>
          <w:tab w:val="clear" w:pos="5470"/>
          <w:tab w:val="left" w:pos="735" w:leader="none"/>
          <w:tab w:val="left" w:pos="795" w:leader="none"/>
        </w:tabs>
        <w:suppressAutoHyphens w:val="true"/>
        <w:bidi w:val="0"/>
        <w:spacing w:lineRule="auto" w:line="276" w:before="0" w:after="0"/>
        <w:ind w:hanging="454" w:left="794" w:right="0"/>
        <w:jc w:val="both"/>
        <w:textAlignment w:val="baseline"/>
        <w:rPr/>
      </w:pPr>
      <w:r>
        <w:rPr>
          <w:rStyle w:val="Strong"/>
          <w:rFonts w:eastAsia="Times-Roman;Times New Roman" w:cs="Arial" w:ascii="Titillium" w:hAnsi="Titillium"/>
          <w:b w:val="false"/>
          <w:bCs w:val="false"/>
          <w:sz w:val="20"/>
          <w:szCs w:val="20"/>
          <w:shd w:fill="auto" w:val="clear"/>
          <w:lang w:eastAsia="pl-PL" w:bidi="ar-SA"/>
        </w:rPr>
        <w:t>odtworzenie znaków granicznych,</w:t>
      </w:r>
    </w:p>
    <w:p>
      <w:pPr>
        <w:pStyle w:val="Normal"/>
        <w:widowControl/>
        <w:numPr>
          <w:ilvl w:val="1"/>
          <w:numId w:val="10"/>
        </w:numPr>
        <w:tabs>
          <w:tab w:val="clear" w:pos="685"/>
          <w:tab w:val="clear" w:pos="4876"/>
          <w:tab w:val="clear" w:pos="5470"/>
          <w:tab w:val="left" w:pos="795" w:leader="none"/>
        </w:tabs>
        <w:suppressAutoHyphens w:val="true"/>
        <w:bidi w:val="0"/>
        <w:spacing w:lineRule="auto" w:line="276" w:before="0" w:after="0"/>
        <w:ind w:hanging="454" w:left="794" w:right="0"/>
        <w:jc w:val="both"/>
        <w:textAlignment w:val="baseline"/>
        <w:rPr/>
      </w:pPr>
      <w:r>
        <w:rPr>
          <w:rStyle w:val="Strong"/>
          <w:rFonts w:eastAsia="Times-Roman;Times New Roman" w:cs="Arial" w:ascii="Titillium" w:hAnsi="Titillium"/>
          <w:b w:val="false"/>
          <w:bCs w:val="false"/>
          <w:sz w:val="20"/>
          <w:szCs w:val="20"/>
          <w:shd w:fill="auto" w:val="clear"/>
          <w:lang w:eastAsia="pl-PL" w:bidi="ar-SA"/>
        </w:rPr>
        <w:t xml:space="preserve">wykonanie robót naprawczych i odtworzeniowych, </w:t>
      </w:r>
    </w:p>
    <w:p>
      <w:pPr>
        <w:pStyle w:val="Normal"/>
        <w:widowControl/>
        <w:numPr>
          <w:ilvl w:val="1"/>
          <w:numId w:val="10"/>
        </w:numPr>
        <w:tabs>
          <w:tab w:val="clear" w:pos="685"/>
          <w:tab w:val="clear" w:pos="4876"/>
          <w:tab w:val="clear" w:pos="5470"/>
          <w:tab w:val="left" w:pos="600" w:leader="none"/>
        </w:tabs>
        <w:suppressAutoHyphens w:val="true"/>
        <w:bidi w:val="0"/>
        <w:spacing w:lineRule="auto" w:line="276" w:before="0" w:after="0"/>
        <w:ind w:hanging="170" w:left="510" w:right="0"/>
        <w:jc w:val="both"/>
        <w:textAlignment w:val="baseline"/>
        <w:rPr/>
      </w:pPr>
      <w:r>
        <w:rPr>
          <w:rStyle w:val="Strong"/>
          <w:rFonts w:eastAsia="Times-Roman;Times New Roman" w:cs="Arial" w:ascii="Titillium" w:hAnsi="Titillium"/>
          <w:b w:val="false"/>
          <w:bCs w:val="false"/>
          <w:sz w:val="20"/>
          <w:szCs w:val="20"/>
          <w:shd w:fill="auto" w:val="clear"/>
          <w:lang w:eastAsia="pl-PL" w:bidi="ar-SA"/>
        </w:rPr>
        <w:t xml:space="preserve">doprowadzenie terenu budowy do stanu pierwotnego, </w:t>
      </w:r>
    </w:p>
    <w:p>
      <w:pPr>
        <w:pStyle w:val="Normal"/>
        <w:widowControl/>
        <w:numPr>
          <w:ilvl w:val="1"/>
          <w:numId w:val="10"/>
        </w:numPr>
        <w:tabs>
          <w:tab w:val="clear" w:pos="685"/>
          <w:tab w:val="clear" w:pos="4876"/>
          <w:tab w:val="clear" w:pos="5470"/>
          <w:tab w:val="left" w:pos="600" w:leader="none"/>
        </w:tabs>
        <w:suppressAutoHyphens w:val="true"/>
        <w:bidi w:val="0"/>
        <w:spacing w:lineRule="auto" w:line="276" w:before="0" w:after="0"/>
        <w:ind w:hanging="397" w:left="737" w:right="0"/>
        <w:jc w:val="both"/>
        <w:textAlignment w:val="baseline"/>
        <w:rPr/>
      </w:pPr>
      <w:r>
        <w:rPr>
          <w:rStyle w:val="Strong"/>
          <w:rFonts w:eastAsia="Times-Roman;Times New Roman" w:cs="Arial" w:ascii="Titillium" w:hAnsi="Titillium"/>
          <w:b w:val="false"/>
          <w:bCs w:val="false"/>
          <w:sz w:val="20"/>
          <w:szCs w:val="20"/>
          <w:shd w:fill="auto" w:val="clear"/>
          <w:lang w:eastAsia="pl-PL" w:bidi="ar-SA"/>
        </w:rPr>
        <w:t xml:space="preserve">opracowanie harmonogramu rzeczowo-finansowego realizacji zadania oraz harmonogramu terminowego wykonania robót budowlanych, </w:t>
      </w:r>
    </w:p>
    <w:p>
      <w:pPr>
        <w:pStyle w:val="Normal"/>
        <w:widowControl/>
        <w:numPr>
          <w:ilvl w:val="1"/>
          <w:numId w:val="10"/>
        </w:numPr>
        <w:tabs>
          <w:tab w:val="clear" w:pos="685"/>
          <w:tab w:val="clear" w:pos="4876"/>
          <w:tab w:val="clear" w:pos="5470"/>
          <w:tab w:val="left" w:pos="600" w:leader="none"/>
        </w:tabs>
        <w:suppressAutoHyphens w:val="true"/>
        <w:bidi w:val="0"/>
        <w:spacing w:lineRule="auto" w:line="276" w:before="0" w:after="0"/>
        <w:ind w:hanging="397" w:left="737" w:right="0"/>
        <w:jc w:val="both"/>
        <w:textAlignment w:val="baseline"/>
        <w:rPr/>
      </w:pPr>
      <w:r>
        <w:rPr>
          <w:rStyle w:val="Strong"/>
          <w:rFonts w:eastAsia="Times-Roman;Times New Roman" w:cs="Arial" w:ascii="Titillium" w:hAnsi="Titillium"/>
          <w:b w:val="false"/>
          <w:bCs w:val="false"/>
          <w:sz w:val="20"/>
          <w:szCs w:val="20"/>
          <w:shd w:fill="auto" w:val="clear"/>
          <w:lang w:eastAsia="pl-PL" w:bidi="ar-SA"/>
        </w:rPr>
        <w:t xml:space="preserve">zapewnienie prowadzenia robót budowlanych zgodnie z obowiązującymi przepisami BHP                            – w tym transportu i składowania materiałów budowlanych oraz zabezpieczenie używanych elektronarzędzi i innego sprzętu budowlanego użytego do realizacji zadania, </w:t>
      </w:r>
    </w:p>
    <w:p>
      <w:pPr>
        <w:pStyle w:val="Normal"/>
        <w:widowControl/>
        <w:numPr>
          <w:ilvl w:val="1"/>
          <w:numId w:val="10"/>
        </w:numPr>
        <w:tabs>
          <w:tab w:val="clear" w:pos="685"/>
          <w:tab w:val="clear" w:pos="4876"/>
          <w:tab w:val="clear" w:pos="5470"/>
          <w:tab w:val="left" w:pos="795" w:leader="none"/>
        </w:tabs>
        <w:suppressAutoHyphens w:val="true"/>
        <w:bidi w:val="0"/>
        <w:spacing w:lineRule="auto" w:line="276" w:before="0" w:after="0"/>
        <w:ind w:hanging="170" w:left="510" w:right="0"/>
        <w:jc w:val="both"/>
        <w:textAlignment w:val="baseline"/>
        <w:rPr/>
      </w:pPr>
      <w:r>
        <w:rPr>
          <w:rStyle w:val="Strong"/>
          <w:rFonts w:eastAsia="Times-Roman;Times New Roman" w:cs="Arial" w:ascii="Titillium" w:hAnsi="Titillium"/>
          <w:b w:val="false"/>
          <w:bCs w:val="false"/>
          <w:sz w:val="20"/>
          <w:szCs w:val="20"/>
          <w:shd w:fill="auto" w:val="clear"/>
          <w:lang w:eastAsia="pl-PL" w:bidi="ar-SA"/>
        </w:rPr>
        <w:t xml:space="preserve">uzyskanie zgody na użyczenie pasa drogowego dróg publicznych, </w:t>
      </w:r>
    </w:p>
    <w:p>
      <w:pPr>
        <w:pStyle w:val="Normal"/>
        <w:widowControl/>
        <w:numPr>
          <w:ilvl w:val="1"/>
          <w:numId w:val="10"/>
        </w:numPr>
        <w:tabs>
          <w:tab w:val="clear" w:pos="685"/>
          <w:tab w:val="clear" w:pos="4876"/>
          <w:tab w:val="clear" w:pos="5470"/>
          <w:tab w:val="left" w:pos="600" w:leader="none"/>
        </w:tabs>
        <w:suppressAutoHyphens w:val="true"/>
        <w:bidi w:val="0"/>
        <w:spacing w:lineRule="auto" w:line="276" w:before="0" w:after="0"/>
        <w:ind w:hanging="454" w:left="794" w:right="0"/>
        <w:jc w:val="both"/>
        <w:textAlignment w:val="baseline"/>
        <w:rPr/>
      </w:pPr>
      <w:r>
        <w:rPr>
          <w:rStyle w:val="Strong"/>
          <w:rFonts w:eastAsia="Times-Roman;Times New Roman" w:cs="Arial" w:ascii="Titillium" w:hAnsi="Titillium"/>
          <w:b w:val="false"/>
          <w:bCs w:val="false"/>
          <w:color w:val="000000"/>
          <w:sz w:val="20"/>
          <w:szCs w:val="20"/>
          <w:shd w:fill="auto" w:val="clear"/>
          <w:lang w:eastAsia="pl-PL" w:bidi="ar-SA"/>
        </w:rPr>
        <w:t xml:space="preserve">opracowanie projektu tymczasowej i stałej organizacji ruchu wraz z uzyskaniem stosownego zatwierdzenia u zarządców dróg publicznych, </w:t>
      </w:r>
    </w:p>
    <w:p>
      <w:pPr>
        <w:pStyle w:val="Normal"/>
        <w:widowControl/>
        <w:numPr>
          <w:ilvl w:val="1"/>
          <w:numId w:val="10"/>
        </w:numPr>
        <w:tabs>
          <w:tab w:val="clear" w:pos="685"/>
          <w:tab w:val="clear" w:pos="4876"/>
          <w:tab w:val="clear" w:pos="5470"/>
          <w:tab w:val="left" w:pos="735" w:leader="none"/>
        </w:tabs>
        <w:suppressAutoHyphens w:val="true"/>
        <w:bidi w:val="0"/>
        <w:spacing w:lineRule="auto" w:line="276" w:before="0" w:after="0"/>
        <w:ind w:hanging="227" w:left="510" w:right="0"/>
        <w:jc w:val="both"/>
        <w:textAlignment w:val="baseline"/>
        <w:rPr/>
      </w:pPr>
      <w:r>
        <w:rPr>
          <w:rStyle w:val="Strong"/>
          <w:rFonts w:eastAsia="Times-Roman;Times New Roman" w:cs="Arial" w:ascii="Titillium" w:hAnsi="Titillium"/>
          <w:b w:val="false"/>
          <w:bCs w:val="false"/>
          <w:color w:val="000000"/>
          <w:sz w:val="20"/>
          <w:szCs w:val="20"/>
          <w:shd w:fill="auto" w:val="clear"/>
          <w:lang w:eastAsia="pl-PL" w:bidi="ar-SA"/>
        </w:rPr>
        <w:t xml:space="preserve">zapewnienie dojazdu i dojścia do posesji w rejonie prowadzonych robót, </w:t>
      </w:r>
    </w:p>
    <w:p>
      <w:pPr>
        <w:pStyle w:val="Normal"/>
        <w:widowControl/>
        <w:numPr>
          <w:ilvl w:val="1"/>
          <w:numId w:val="10"/>
        </w:numPr>
        <w:tabs>
          <w:tab w:val="clear" w:pos="685"/>
          <w:tab w:val="clear" w:pos="4876"/>
          <w:tab w:val="clear" w:pos="5470"/>
          <w:tab w:val="left" w:pos="735" w:leader="none"/>
          <w:tab w:val="left" w:pos="795" w:leader="none"/>
        </w:tabs>
        <w:suppressAutoHyphens w:val="true"/>
        <w:bidi w:val="0"/>
        <w:spacing w:lineRule="auto" w:line="276" w:before="0" w:after="0"/>
        <w:ind w:hanging="454" w:left="737" w:right="0"/>
        <w:jc w:val="both"/>
        <w:textAlignment w:val="baseline"/>
        <w:rPr/>
      </w:pPr>
      <w:r>
        <w:rPr>
          <w:rStyle w:val="Strong"/>
          <w:rFonts w:eastAsia="Times-Roman;Times New Roman" w:cs="Arial" w:ascii="Titillium" w:hAnsi="Titillium"/>
          <w:b w:val="false"/>
          <w:bCs w:val="false"/>
          <w:sz w:val="20"/>
          <w:szCs w:val="20"/>
          <w:lang w:eastAsia="pl-PL" w:bidi="ar-SA"/>
        </w:rPr>
        <w:t>opracowanie dokumentacji geodezyjnej, zawierającej wyniki geodezyjnej inwentaryzacji powykonawczej oraz informacji o zgodności usytuowania obiektu budowlanego z projektem zagospodarowania terenu lub odstępstwach od tego projektu, sporządzonej przez osobę wykonującą samodzielne funkcje w dziedzinie geodezji i kartografii oraz posiadającą odpowiednie uprawnienia zawodowe,</w:t>
      </w:r>
    </w:p>
    <w:p>
      <w:pPr>
        <w:pStyle w:val="Normal"/>
        <w:widowControl/>
        <w:numPr>
          <w:ilvl w:val="1"/>
          <w:numId w:val="10"/>
        </w:numPr>
        <w:tabs>
          <w:tab w:val="clear" w:pos="685"/>
          <w:tab w:val="clear" w:pos="4876"/>
          <w:tab w:val="clear" w:pos="5470"/>
          <w:tab w:val="left" w:pos="394" w:leader="none"/>
          <w:tab w:val="left" w:pos="400" w:leader="none"/>
          <w:tab w:val="left" w:pos="773" w:leader="none"/>
        </w:tabs>
        <w:suppressAutoHyphens w:val="true"/>
        <w:bidi w:val="0"/>
        <w:spacing w:lineRule="auto" w:line="240" w:before="0" w:after="0"/>
        <w:ind w:hanging="454" w:left="794" w:right="0"/>
        <w:jc w:val="both"/>
        <w:rPr/>
      </w:pPr>
      <w:r>
        <w:rPr>
          <w:rStyle w:val="Strong"/>
          <w:rFonts w:eastAsia="Times-Roman;Times New Roman" w:cs="Arial" w:ascii="Titillium" w:hAnsi="Titillium"/>
          <w:b w:val="false"/>
          <w:bCs w:val="false"/>
          <w:i w:val="false"/>
          <w:iCs w:val="false"/>
          <w:strike w:val="false"/>
          <w:dstrike w:val="false"/>
          <w:color w:val="000000"/>
          <w:sz w:val="20"/>
          <w:szCs w:val="20"/>
          <w:u w:val="none"/>
          <w:effect w:val="none"/>
          <w:shd w:fill="auto" w:val="clear"/>
          <w:lang w:val="pl-PL" w:eastAsia="pl-PL" w:bidi="ar-SA"/>
        </w:rPr>
        <w:t>wykonanie kamerowania kanalizacji, przepustu,</w:t>
      </w:r>
    </w:p>
    <w:p>
      <w:pPr>
        <w:pStyle w:val="Normal"/>
        <w:widowControl/>
        <w:numPr>
          <w:ilvl w:val="1"/>
          <w:numId w:val="10"/>
        </w:numPr>
        <w:tabs>
          <w:tab w:val="clear" w:pos="685"/>
          <w:tab w:val="clear" w:pos="4876"/>
          <w:tab w:val="clear" w:pos="5470"/>
          <w:tab w:val="left" w:pos="394" w:leader="none"/>
          <w:tab w:val="left" w:pos="400" w:leader="none"/>
          <w:tab w:val="left" w:pos="773" w:leader="none"/>
        </w:tabs>
        <w:suppressAutoHyphens w:val="true"/>
        <w:bidi w:val="0"/>
        <w:spacing w:lineRule="auto" w:line="240" w:before="0" w:after="0"/>
        <w:ind w:hanging="454" w:left="794" w:right="0"/>
        <w:jc w:val="both"/>
        <w:rPr/>
      </w:pPr>
      <w:r>
        <w:rPr>
          <w:rFonts w:eastAsia="Times New Roman" w:cs="Times New Roman" w:ascii="Titillium" w:hAnsi="Titillium"/>
          <w:b w:val="false"/>
          <w:bCs w:val="false"/>
          <w:sz w:val="20"/>
          <w:szCs w:val="20"/>
          <w:lang w:bidi="ar-SA"/>
        </w:rPr>
        <w:t>zapewnienie udziału w realizacji zamówienia osób posiadających odpowiednie uprawnienia budowlane adekwatne do przedmiotu i danego etapu realizacji zamówienia,</w:t>
      </w:r>
    </w:p>
    <w:p>
      <w:pPr>
        <w:pStyle w:val="Normal"/>
        <w:widowControl/>
        <w:numPr>
          <w:ilvl w:val="1"/>
          <w:numId w:val="10"/>
        </w:numPr>
        <w:tabs>
          <w:tab w:val="clear" w:pos="685"/>
          <w:tab w:val="clear" w:pos="4876"/>
          <w:tab w:val="clear" w:pos="5470"/>
          <w:tab w:val="left" w:pos="394" w:leader="none"/>
          <w:tab w:val="left" w:pos="400" w:leader="none"/>
          <w:tab w:val="left" w:pos="773" w:leader="none"/>
        </w:tabs>
        <w:suppressAutoHyphens w:val="true"/>
        <w:bidi w:val="0"/>
        <w:spacing w:lineRule="auto" w:line="240" w:before="0" w:after="0"/>
        <w:ind w:hanging="454" w:left="794" w:right="0"/>
        <w:jc w:val="both"/>
        <w:rPr/>
      </w:pPr>
      <w:r>
        <w:rPr>
          <w:rStyle w:val="Strong"/>
          <w:rFonts w:eastAsia="Times-Roman;Times New Roman" w:cs="Arial" w:ascii="Titillium" w:hAnsi="Titillium"/>
          <w:b w:val="false"/>
          <w:bCs w:val="false"/>
          <w:strike w:val="false"/>
          <w:dstrike w:val="false"/>
          <w:sz w:val="20"/>
          <w:szCs w:val="20"/>
          <w:lang w:eastAsia="pl-PL" w:bidi="ar-SA"/>
        </w:rPr>
        <w:t>wykonanie oraz montaż tablicy informacyjnej zgodnie z rozporządzeniem Rady Ministrów z dnia 7 maja 2021 r. w sprawie określenia działań informacyjnych podejmowanych przez podmioty realizujące zadania finansowane lub dofinansowane z budżetu państwa lub z państwowych funduszy celowych. Zgodnie z wytycznymi z rozporządzenia: W przypadku realizacji zadań dotyczących obiektów liniowych, w szczególności budowy dróg, torów kolejowych, ścieżek lub chodników: „1. o długości poniżej 10 km – umieszcza się jedną tablicę: a) dwustronną, jeżeli jest ona ustawiona prostopadle do obiektu liniowego, b) jednostronną, jeżeli jest ona ustawiona równolegle do obiektu liniowego. Ponadto: w przypadku realizacji zadania w zakresie określonym powyżej ww. rozporządzenia, wykonuje się tablicę informacyjną o wymiarach 180 × 120 cm. Po rozliczeniu inwestycji oraz z uwagi na konieczność zawarcia  informacji o wartościach dofinansowania i o całkowitej wartości zadania, tablicę należy zaktualizować po zrealizowania zadania.</w:t>
      </w:r>
    </w:p>
    <w:p>
      <w:pPr>
        <w:pStyle w:val="Normal"/>
        <w:widowControl/>
        <w:numPr>
          <w:ilvl w:val="0"/>
          <w:numId w:val="0"/>
        </w:numPr>
        <w:tabs>
          <w:tab w:val="clear" w:pos="685"/>
          <w:tab w:val="clear" w:pos="4876"/>
          <w:tab w:val="clear" w:pos="5470"/>
          <w:tab w:val="left" w:pos="394" w:leader="none"/>
          <w:tab w:val="left" w:pos="400" w:leader="none"/>
          <w:tab w:val="left" w:pos="773" w:leader="none"/>
        </w:tabs>
        <w:suppressAutoHyphens w:val="true"/>
        <w:bidi w:val="0"/>
        <w:spacing w:lineRule="auto" w:line="240" w:before="0" w:after="0"/>
        <w:ind w:hanging="0" w:left="794" w:right="0"/>
        <w:jc w:val="both"/>
        <w:rPr>
          <w:rStyle w:val="Strong"/>
          <w:rFonts w:ascii="Titillium" w:hAnsi="Titillium" w:eastAsia="Times-Roman;Times New Roman" w:cs="Arial"/>
          <w:b w:val="false"/>
          <w:bCs w:val="false"/>
          <w:strike w:val="false"/>
          <w:dstrike w:val="false"/>
          <w:sz w:val="20"/>
          <w:szCs w:val="20"/>
          <w:lang w:eastAsia="pl-PL" w:bidi="ar-SA"/>
        </w:rPr>
      </w:pPr>
      <w:r>
        <w:rPr>
          <w:rFonts w:eastAsia="Times-Roman;Times New Roman" w:cs="Arial" w:ascii="Titillium" w:hAnsi="Titillium"/>
          <w:b w:val="false"/>
          <w:bCs w:val="false"/>
          <w:strike w:val="false"/>
          <w:dstrike w:val="false"/>
          <w:sz w:val="20"/>
          <w:szCs w:val="20"/>
          <w:lang w:eastAsia="pl-PL" w:bidi="ar-SA"/>
        </w:rPr>
      </w:r>
    </w:p>
    <w:p>
      <w:pPr>
        <w:pStyle w:val="Normal"/>
        <w:widowControl/>
        <w:numPr>
          <w:ilvl w:val="0"/>
          <w:numId w:val="0"/>
        </w:numPr>
        <w:tabs>
          <w:tab w:val="clear" w:pos="685"/>
          <w:tab w:val="clear" w:pos="4876"/>
          <w:tab w:val="clear" w:pos="5470"/>
          <w:tab w:val="left" w:pos="394" w:leader="none"/>
          <w:tab w:val="left" w:pos="400" w:leader="none"/>
          <w:tab w:val="left" w:pos="773" w:leader="none"/>
        </w:tabs>
        <w:suppressAutoHyphens w:val="true"/>
        <w:bidi w:val="0"/>
        <w:spacing w:lineRule="auto" w:line="240" w:before="0" w:after="0"/>
        <w:ind w:hanging="0" w:left="794" w:right="0"/>
        <w:jc w:val="both"/>
        <w:rPr>
          <w:rStyle w:val="Strong"/>
          <w:rFonts w:ascii="Titillium" w:hAnsi="Titillium" w:eastAsia="Times-Roman;Times New Roman" w:cs="Arial"/>
          <w:b w:val="false"/>
          <w:bCs w:val="false"/>
          <w:strike w:val="false"/>
          <w:dstrike w:val="false"/>
          <w:sz w:val="24"/>
          <w:szCs w:val="24"/>
          <w:lang w:eastAsia="pl-PL" w:bidi="ar-SA"/>
        </w:rPr>
      </w:pPr>
      <w:r>
        <w:rPr>
          <w:rFonts w:eastAsia="Times-Roman;Times New Roman" w:cs="Arial" w:ascii="Titillium" w:hAnsi="Titillium"/>
          <w:b w:val="false"/>
          <w:bCs w:val="false"/>
          <w:strike w:val="false"/>
          <w:dstrike w:val="false"/>
          <w:sz w:val="24"/>
          <w:szCs w:val="24"/>
          <w:lang w:eastAsia="pl-PL" w:bidi="ar-SA"/>
        </w:rPr>
      </w:r>
    </w:p>
    <w:p>
      <w:pPr>
        <w:pStyle w:val="Normal"/>
        <w:widowControl/>
        <w:numPr>
          <w:ilvl w:val="0"/>
          <w:numId w:val="0"/>
        </w:numPr>
        <w:tabs>
          <w:tab w:val="clear" w:pos="685"/>
          <w:tab w:val="clear" w:pos="4876"/>
          <w:tab w:val="clear" w:pos="5470"/>
          <w:tab w:val="left" w:pos="600" w:leader="none"/>
        </w:tabs>
        <w:suppressAutoHyphens w:val="true"/>
        <w:bidi w:val="0"/>
        <w:spacing w:lineRule="auto" w:line="276" w:before="0" w:after="0"/>
        <w:ind w:hanging="0" w:left="510" w:right="0"/>
        <w:jc w:val="both"/>
        <w:textAlignment w:val="baseline"/>
        <w:rPr>
          <w:sz w:val="24"/>
          <w:szCs w:val="24"/>
        </w:rPr>
      </w:pPr>
      <w:r>
        <w:rPr>
          <w:rFonts w:ascii="Titillium" w:hAnsi="Titillium"/>
          <w:sz w:val="24"/>
          <w:szCs w:val="24"/>
        </w:rPr>
        <w:t>Zadanie nr 2 - Modernizacja ul. Osiedle na Wzgórzu-wykonanie robót budowlanych</w:t>
      </w:r>
    </w:p>
    <w:p>
      <w:pPr>
        <w:pStyle w:val="Normal"/>
        <w:widowControl/>
        <w:numPr>
          <w:ilvl w:val="0"/>
          <w:numId w:val="10"/>
        </w:numPr>
        <w:tabs>
          <w:tab w:val="clear" w:pos="685"/>
          <w:tab w:val="clear" w:pos="4876"/>
          <w:tab w:val="clear" w:pos="5470"/>
          <w:tab w:val="left" w:pos="600" w:leader="none"/>
        </w:tabs>
        <w:suppressAutoHyphens w:val="true"/>
        <w:bidi w:val="0"/>
        <w:spacing w:lineRule="auto" w:line="276" w:before="0" w:after="0"/>
        <w:ind w:hanging="454" w:left="510" w:right="0"/>
        <w:jc w:val="both"/>
        <w:textAlignment w:val="baseline"/>
        <w:rPr/>
      </w:pPr>
      <w:r>
        <w:rPr>
          <w:rStyle w:val="Domylnaczcionkaakapitu"/>
          <w:rFonts w:eastAsia="Times New Roman" w:cs="Arial" w:ascii="Titillium" w:hAnsi="Titillium"/>
          <w:b w:val="false"/>
          <w:bCs w:val="false"/>
          <w:color w:val="000000"/>
          <w:sz w:val="20"/>
          <w:szCs w:val="20"/>
          <w:shd w:fill="auto" w:val="clear"/>
          <w:lang w:val="pl-PL" w:bidi="ar-SA"/>
        </w:rPr>
        <w:t xml:space="preserve">Przedmiotem zamówienia dla zadania nr 2 jest wykonanie modernizacji drogi dojazdowej ulicy Osiedle Na Wzgórzu na odcinku </w:t>
      </w:r>
      <w:r>
        <w:rPr>
          <w:rStyle w:val="Domylnaczcionkaakapitu"/>
          <w:rFonts w:eastAsia="Times-Roman;Times New Roman" w:cs="Arial" w:ascii="Titillium" w:hAnsi="Titillium"/>
          <w:b w:val="false"/>
          <w:bCs/>
          <w:color w:val="000000"/>
          <w:sz w:val="20"/>
          <w:szCs w:val="20"/>
          <w:shd w:fill="auto" w:val="clear"/>
          <w:lang w:val="pl-PL" w:bidi="ar-SA"/>
        </w:rPr>
        <w:t>od posesji 138 do odcinka B (o długości 45,50 mb - część 1) oraz odcinka B od budynku nr 154 do budynku nr 146 (o długości 74,15 mb – część 2), zgodnie                    z mapą sytuacyjną stanowiącą załącznik nr 9 do SWZ.</w:t>
      </w:r>
    </w:p>
    <w:p>
      <w:pPr>
        <w:pStyle w:val="Normal"/>
        <w:widowControl/>
        <w:numPr>
          <w:ilvl w:val="0"/>
          <w:numId w:val="10"/>
        </w:numPr>
        <w:tabs>
          <w:tab w:val="clear" w:pos="685"/>
          <w:tab w:val="clear" w:pos="4876"/>
          <w:tab w:val="clear" w:pos="5470"/>
          <w:tab w:val="left" w:pos="600" w:leader="none"/>
        </w:tabs>
        <w:suppressAutoHyphens w:val="true"/>
        <w:bidi w:val="0"/>
        <w:spacing w:lineRule="auto" w:line="276" w:before="0" w:after="0"/>
        <w:ind w:hanging="454" w:left="510" w:right="0"/>
        <w:jc w:val="both"/>
        <w:textAlignment w:val="baseline"/>
        <w:rPr>
          <w:rFonts w:ascii="Titillium" w:hAnsi="Titillium"/>
          <w:b w:val="false"/>
          <w:bCs w:val="false"/>
          <w:sz w:val="20"/>
          <w:szCs w:val="20"/>
        </w:rPr>
      </w:pPr>
      <w:r>
        <w:rPr>
          <w:rFonts w:ascii="Titillium" w:hAnsi="Titillium"/>
          <w:b w:val="false"/>
          <w:bCs w:val="false"/>
          <w:sz w:val="20"/>
          <w:szCs w:val="20"/>
        </w:rPr>
        <w:t xml:space="preserve">Zadanie nr 2 obejmuje </w:t>
      </w:r>
      <w:r>
        <w:rPr>
          <w:rFonts w:eastAsia="Times New Roman" w:cs="Times New Roman" w:ascii="Titillium" w:hAnsi="Titillium"/>
          <w:b w:val="false"/>
          <w:bCs w:val="false"/>
          <w:i w:val="false"/>
          <w:iCs w:val="false"/>
          <w:color w:val="000000"/>
          <w:sz w:val="20"/>
          <w:szCs w:val="20"/>
          <w:shd w:fill="auto" w:val="clear"/>
        </w:rPr>
        <w:t>w zakresie robót drogowych wykonanie:</w:t>
      </w:r>
    </w:p>
    <w:p>
      <w:pPr>
        <w:pStyle w:val="Normal"/>
        <w:widowControl/>
        <w:numPr>
          <w:ilvl w:val="1"/>
          <w:numId w:val="10"/>
        </w:numPr>
        <w:tabs>
          <w:tab w:val="clear" w:pos="685"/>
          <w:tab w:val="clear" w:pos="4876"/>
          <w:tab w:val="clear" w:pos="5470"/>
          <w:tab w:val="left" w:pos="600" w:leader="none"/>
        </w:tabs>
        <w:suppressAutoHyphens w:val="true"/>
        <w:bidi w:val="0"/>
        <w:spacing w:lineRule="auto" w:line="276" w:before="0" w:after="0"/>
        <w:ind w:hanging="0" w:left="510" w:right="0"/>
        <w:jc w:val="both"/>
        <w:textAlignment w:val="baseline"/>
        <w:rPr>
          <w:rFonts w:ascii="Titillium" w:hAnsi="Titillium"/>
          <w:b w:val="false"/>
          <w:bCs w:val="false"/>
          <w:sz w:val="20"/>
          <w:szCs w:val="20"/>
        </w:rPr>
      </w:pPr>
      <w:r>
        <w:rPr>
          <w:rFonts w:eastAsia="Times New Roman" w:cs="Times New Roman" w:ascii="Titillium" w:hAnsi="Titillium"/>
          <w:b w:val="false"/>
          <w:bCs w:val="false"/>
          <w:i w:val="false"/>
          <w:iCs w:val="false"/>
          <w:color w:val="000000"/>
          <w:sz w:val="20"/>
          <w:szCs w:val="20"/>
          <w:shd w:fill="auto" w:val="clear"/>
        </w:rPr>
        <w:t>jezdni/placów/zatok postojowych o nawierzchni z betonowych bloczków drogowych</w:t>
      </w:r>
      <w:r>
        <w:rPr>
          <w:rFonts w:eastAsia="Times New Roman" w:cs="Times New Roman" w:ascii="Titillium" w:hAnsi="Titillium"/>
          <w:b w:val="false"/>
          <w:bCs w:val="false"/>
          <w:i w:val="false"/>
          <w:iCs w:val="false"/>
          <w:color w:val="000000"/>
          <w:position w:val="0"/>
          <w:sz w:val="20"/>
          <w:sz w:val="20"/>
          <w:szCs w:val="20"/>
          <w:shd w:fill="auto" w:val="clear"/>
          <w:vertAlign w:val="baseline"/>
        </w:rPr>
        <w:t xml:space="preserve">; </w:t>
      </w:r>
    </w:p>
    <w:p>
      <w:pPr>
        <w:pStyle w:val="Normal"/>
        <w:widowControl/>
        <w:numPr>
          <w:ilvl w:val="1"/>
          <w:numId w:val="10"/>
        </w:numPr>
        <w:tabs>
          <w:tab w:val="clear" w:pos="685"/>
          <w:tab w:val="clear" w:pos="4876"/>
          <w:tab w:val="clear" w:pos="5470"/>
          <w:tab w:val="left" w:pos="600" w:leader="none"/>
        </w:tabs>
        <w:suppressAutoHyphens w:val="true"/>
        <w:bidi w:val="0"/>
        <w:spacing w:lineRule="auto" w:line="276" w:before="0" w:after="0"/>
        <w:ind w:hanging="0" w:left="510" w:right="0"/>
        <w:jc w:val="both"/>
        <w:textAlignment w:val="baseline"/>
        <w:rPr>
          <w:rFonts w:ascii="Titillium" w:hAnsi="Titillium"/>
          <w:b w:val="false"/>
          <w:bCs w:val="false"/>
          <w:sz w:val="20"/>
          <w:szCs w:val="20"/>
        </w:rPr>
      </w:pPr>
      <w:r>
        <w:rPr>
          <w:rFonts w:eastAsia="Times New Roman" w:cs="Times New Roman" w:ascii="Titillium" w:hAnsi="Titillium"/>
          <w:b w:val="false"/>
          <w:bCs w:val="false"/>
          <w:i w:val="false"/>
          <w:iCs w:val="false"/>
          <w:color w:val="000000"/>
          <w:position w:val="0"/>
          <w:sz w:val="20"/>
          <w:sz w:val="20"/>
          <w:szCs w:val="20"/>
          <w:shd w:fill="auto" w:val="clear"/>
          <w:vertAlign w:val="baseline"/>
        </w:rPr>
        <w:t xml:space="preserve">poboczy utwardzonych; </w:t>
      </w:r>
    </w:p>
    <w:p>
      <w:pPr>
        <w:pStyle w:val="Normal"/>
        <w:widowControl/>
        <w:numPr>
          <w:ilvl w:val="1"/>
          <w:numId w:val="10"/>
        </w:numPr>
        <w:tabs>
          <w:tab w:val="clear" w:pos="685"/>
          <w:tab w:val="clear" w:pos="4876"/>
          <w:tab w:val="clear" w:pos="5470"/>
          <w:tab w:val="left" w:pos="600" w:leader="none"/>
        </w:tabs>
        <w:suppressAutoHyphens w:val="true"/>
        <w:bidi w:val="0"/>
        <w:spacing w:lineRule="auto" w:line="276" w:before="0" w:after="0"/>
        <w:ind w:hanging="0" w:left="510" w:right="0"/>
        <w:jc w:val="both"/>
        <w:textAlignment w:val="baseline"/>
        <w:rPr>
          <w:rFonts w:ascii="Titillium" w:hAnsi="Titillium"/>
          <w:b w:val="false"/>
          <w:bCs w:val="false"/>
          <w:sz w:val="20"/>
          <w:szCs w:val="20"/>
        </w:rPr>
      </w:pPr>
      <w:r>
        <w:rPr>
          <w:rFonts w:eastAsia="Times New Roman" w:cs="Times New Roman" w:ascii="Titillium" w:hAnsi="Titillium"/>
          <w:b w:val="false"/>
          <w:bCs w:val="false"/>
          <w:i w:val="false"/>
          <w:iCs w:val="false"/>
          <w:color w:val="000000"/>
          <w:position w:val="0"/>
          <w:sz w:val="20"/>
          <w:sz w:val="20"/>
          <w:szCs w:val="20"/>
          <w:shd w:fill="auto" w:val="clear"/>
          <w:vertAlign w:val="baseline"/>
        </w:rPr>
        <w:t>odtworzenie zjazdów indywidualnych, publicznych;</w:t>
      </w:r>
    </w:p>
    <w:p>
      <w:pPr>
        <w:pStyle w:val="Normal"/>
        <w:widowControl/>
        <w:numPr>
          <w:ilvl w:val="1"/>
          <w:numId w:val="10"/>
        </w:numPr>
        <w:tabs>
          <w:tab w:val="clear" w:pos="685"/>
          <w:tab w:val="clear" w:pos="4876"/>
          <w:tab w:val="clear" w:pos="5470"/>
          <w:tab w:val="left" w:pos="600" w:leader="none"/>
        </w:tabs>
        <w:suppressAutoHyphens w:val="true"/>
        <w:bidi w:val="0"/>
        <w:spacing w:lineRule="auto" w:line="276" w:before="0" w:after="0"/>
        <w:ind w:hanging="0" w:left="510" w:right="0"/>
        <w:jc w:val="both"/>
        <w:textAlignment w:val="baseline"/>
        <w:rPr>
          <w:rFonts w:ascii="Titillium" w:hAnsi="Titillium"/>
          <w:b w:val="false"/>
          <w:bCs w:val="false"/>
          <w:sz w:val="20"/>
          <w:szCs w:val="20"/>
        </w:rPr>
      </w:pPr>
      <w:r>
        <w:rPr>
          <w:rFonts w:eastAsia="Times New Roman" w:cs="Times New Roman" w:ascii="Titillium" w:hAnsi="Titillium"/>
          <w:b w:val="false"/>
          <w:bCs w:val="false"/>
          <w:i w:val="false"/>
          <w:iCs w:val="false"/>
          <w:color w:val="000000"/>
          <w:position w:val="0"/>
          <w:sz w:val="20"/>
          <w:sz w:val="20"/>
          <w:szCs w:val="20"/>
          <w:shd w:fill="auto" w:val="clear"/>
          <w:vertAlign w:val="baseline"/>
        </w:rPr>
        <w:t>odwodnienia drogi.</w:t>
      </w:r>
    </w:p>
    <w:p>
      <w:pPr>
        <w:pStyle w:val="Normal"/>
        <w:widowControl w:val="false"/>
        <w:numPr>
          <w:ilvl w:val="0"/>
          <w:numId w:val="0"/>
        </w:numPr>
        <w:tabs>
          <w:tab w:val="clear" w:pos="685"/>
          <w:tab w:val="clear" w:pos="4876"/>
          <w:tab w:val="clear" w:pos="5470"/>
          <w:tab w:val="left" w:pos="-204" w:leader="none"/>
          <w:tab w:val="left" w:pos="570" w:leader="none"/>
          <w:tab w:val="left" w:pos="795" w:leader="none"/>
        </w:tabs>
        <w:suppressAutoHyphens w:val="true"/>
        <w:bidi w:val="0"/>
        <w:spacing w:lineRule="auto" w:line="276" w:before="114" w:after="114"/>
        <w:ind w:hanging="0" w:left="0" w:right="0"/>
        <w:jc w:val="both"/>
        <w:rPr>
          <w:rFonts w:ascii="Titillium" w:hAnsi="Titillium"/>
          <w:b w:val="false"/>
          <w:bCs w:val="false"/>
          <w:sz w:val="20"/>
          <w:szCs w:val="20"/>
        </w:rPr>
      </w:pPr>
      <w:r>
        <w:rPr>
          <w:rFonts w:eastAsia="Times-Roman;Times New Roman" w:cs="Arial" w:ascii="Titillium" w:hAnsi="Titillium"/>
          <w:b w:val="false"/>
          <w:bCs w:val="false"/>
          <w:i w:val="false"/>
          <w:iCs w:val="false"/>
          <w:position w:val="0"/>
          <w:sz w:val="20"/>
          <w:sz w:val="20"/>
          <w:szCs w:val="20"/>
          <w:vertAlign w:val="baseline"/>
        </w:rPr>
        <w:t>Szczegółowy zakres prac określa: dokumentacja projektowa, w tym przedmiar robót, oraz specyfikacja techniczna wykonania i odbioru robót.</w:t>
      </w:r>
    </w:p>
    <w:p>
      <w:pPr>
        <w:pStyle w:val="Normal"/>
        <w:widowControl w:val="false"/>
        <w:numPr>
          <w:ilvl w:val="0"/>
          <w:numId w:val="10"/>
        </w:numPr>
        <w:tabs>
          <w:tab w:val="clear" w:pos="685"/>
          <w:tab w:val="clear" w:pos="4876"/>
          <w:tab w:val="clear" w:pos="5470"/>
          <w:tab w:val="left" w:pos="-204" w:leader="none"/>
          <w:tab w:val="left" w:pos="570" w:leader="none"/>
          <w:tab w:val="left" w:pos="795" w:leader="none"/>
        </w:tabs>
        <w:suppressAutoHyphens w:val="true"/>
        <w:bidi w:val="0"/>
        <w:spacing w:lineRule="auto" w:line="276" w:before="114" w:after="114"/>
        <w:ind w:hanging="0" w:left="0" w:right="0"/>
        <w:jc w:val="both"/>
        <w:rPr>
          <w:rFonts w:ascii="Titillium" w:hAnsi="Titillium"/>
          <w:sz w:val="20"/>
          <w:szCs w:val="20"/>
        </w:rPr>
      </w:pPr>
      <w:r>
        <w:rPr>
          <w:rFonts w:eastAsia="Times-Roman;Times New Roman" w:cs="Arial" w:ascii="Titillium" w:hAnsi="Titillium"/>
          <w:b w:val="false"/>
          <w:bCs w:val="false"/>
          <w:i w:val="false"/>
          <w:iCs w:val="false"/>
          <w:position w:val="0"/>
          <w:sz w:val="20"/>
          <w:sz w:val="20"/>
          <w:szCs w:val="20"/>
          <w:vertAlign w:val="baseline"/>
        </w:rPr>
        <w:t>Z</w:t>
      </w:r>
      <w:r>
        <w:rPr>
          <w:rFonts w:ascii="Titillium" w:hAnsi="Titillium"/>
          <w:b w:val="false"/>
          <w:bCs w:val="false"/>
          <w:sz w:val="20"/>
          <w:szCs w:val="20"/>
        </w:rPr>
        <w:t xml:space="preserve">akres robót obejmuje </w:t>
      </w:r>
      <w:r>
        <w:rPr>
          <w:rFonts w:ascii="Titillium" w:hAnsi="Titillium"/>
          <w:b w:val="false"/>
          <w:bCs w:val="false"/>
          <w:color w:val="000000"/>
          <w:sz w:val="20"/>
          <w:szCs w:val="20"/>
          <w:shd w:fill="auto" w:val="clear"/>
        </w:rPr>
        <w:t>w szczególności:</w:t>
      </w:r>
    </w:p>
    <w:p>
      <w:pPr>
        <w:pStyle w:val="Normal"/>
        <w:widowControl w:val="false"/>
        <w:numPr>
          <w:ilvl w:val="3"/>
          <w:numId w:val="10"/>
        </w:numPr>
        <w:tabs>
          <w:tab w:val="clear" w:pos="685"/>
          <w:tab w:val="clear" w:pos="4876"/>
          <w:tab w:val="clear" w:pos="5470"/>
          <w:tab w:val="left" w:pos="568" w:leader="none"/>
          <w:tab w:val="left" w:pos="728" w:leader="none"/>
          <w:tab w:val="left" w:pos="870" w:leader="none"/>
          <w:tab w:val="left" w:pos="1110" w:leader="none"/>
        </w:tabs>
        <w:suppressAutoHyphens w:val="true"/>
        <w:bidi w:val="0"/>
        <w:spacing w:lineRule="auto" w:line="276" w:before="0" w:after="0"/>
        <w:ind w:hanging="0" w:left="567" w:right="0"/>
        <w:jc w:val="both"/>
        <w:textAlignment w:val="baseline"/>
        <w:rPr>
          <w:rFonts w:ascii="Titillium" w:hAnsi="Titillium"/>
          <w:sz w:val="20"/>
          <w:szCs w:val="20"/>
        </w:rPr>
      </w:pPr>
      <w:r>
        <w:rPr>
          <w:rFonts w:eastAsia="Times-Roman;Times New Roman" w:ascii="Titillium" w:hAnsi="Titillium"/>
          <w:b w:val="false"/>
          <w:bCs w:val="false"/>
          <w:i w:val="false"/>
          <w:iCs w:val="false"/>
          <w:color w:val="000000"/>
          <w:sz w:val="20"/>
          <w:szCs w:val="20"/>
          <w:shd w:fill="auto" w:val="clear"/>
        </w:rPr>
        <w:t xml:space="preserve">roboty przygotowawcze; </w:t>
      </w:r>
    </w:p>
    <w:p>
      <w:pPr>
        <w:pStyle w:val="Normal"/>
        <w:widowControl w:val="false"/>
        <w:numPr>
          <w:ilvl w:val="3"/>
          <w:numId w:val="10"/>
        </w:numPr>
        <w:tabs>
          <w:tab w:val="clear" w:pos="685"/>
          <w:tab w:val="clear" w:pos="4876"/>
          <w:tab w:val="clear" w:pos="5470"/>
          <w:tab w:val="left" w:pos="728" w:leader="none"/>
          <w:tab w:val="left" w:pos="848" w:leader="none"/>
          <w:tab w:val="left" w:pos="870" w:leader="none"/>
          <w:tab w:val="left" w:pos="1110" w:leader="none"/>
        </w:tabs>
        <w:suppressAutoHyphens w:val="true"/>
        <w:bidi w:val="0"/>
        <w:spacing w:lineRule="auto" w:line="276" w:before="0" w:after="0"/>
        <w:ind w:hanging="283" w:left="850" w:right="0"/>
        <w:jc w:val="both"/>
        <w:textAlignment w:val="baseline"/>
        <w:rPr>
          <w:rFonts w:ascii="Titillium" w:hAnsi="Titillium"/>
          <w:sz w:val="20"/>
          <w:szCs w:val="20"/>
        </w:rPr>
      </w:pPr>
      <w:r>
        <w:rPr>
          <w:rFonts w:eastAsia="Times-Roman;Times New Roman" w:ascii="Titillium" w:hAnsi="Titillium"/>
          <w:b w:val="false"/>
          <w:bCs w:val="false"/>
          <w:i w:val="false"/>
          <w:iCs w:val="false"/>
          <w:color w:val="000000"/>
          <w:sz w:val="20"/>
          <w:szCs w:val="20"/>
          <w:shd w:fill="auto" w:val="clear"/>
        </w:rPr>
        <w:t xml:space="preserve">roboty rozbiórkowe i demontażowe - związane z rozbiórką nawierzchni jezdni, wjazdów oraz istniejących podbudów, krawężników razem z ławą betonową, obrzeży, demontaż studzienek ściekowych, przykanalików, załadunek i odwóz gruzu z rozbiórek wraz z kosztami utylizacji; roboty ziemne – związane z wykonaniem koryta drogi z odwozem gruntu wraz z kosztami utylizacji; </w:t>
      </w:r>
    </w:p>
    <w:p>
      <w:pPr>
        <w:pStyle w:val="Normal"/>
        <w:widowControl w:val="false"/>
        <w:numPr>
          <w:ilvl w:val="3"/>
          <w:numId w:val="10"/>
        </w:numPr>
        <w:tabs>
          <w:tab w:val="clear" w:pos="685"/>
          <w:tab w:val="clear" w:pos="4876"/>
          <w:tab w:val="clear" w:pos="5470"/>
          <w:tab w:val="left" w:pos="728" w:leader="none"/>
          <w:tab w:val="left" w:pos="848" w:leader="none"/>
          <w:tab w:val="left" w:pos="870" w:leader="none"/>
          <w:tab w:val="left" w:pos="1110" w:leader="none"/>
        </w:tabs>
        <w:suppressAutoHyphens w:val="true"/>
        <w:bidi w:val="0"/>
        <w:spacing w:lineRule="auto" w:line="276" w:before="0" w:after="0"/>
        <w:ind w:hanging="283" w:left="850" w:right="0"/>
        <w:jc w:val="both"/>
        <w:textAlignment w:val="baseline"/>
        <w:rPr>
          <w:rFonts w:ascii="Titillium" w:hAnsi="Titillium"/>
          <w:sz w:val="20"/>
          <w:szCs w:val="20"/>
        </w:rPr>
      </w:pPr>
      <w:r>
        <w:rPr>
          <w:rFonts w:eastAsia="Times-Roman;Times New Roman" w:cs="Arial" w:ascii="Titillium" w:hAnsi="Titillium"/>
          <w:b w:val="false"/>
          <w:bCs w:val="false"/>
          <w:i w:val="false"/>
          <w:iCs w:val="false"/>
          <w:color w:val="000000"/>
          <w:position w:val="0"/>
          <w:sz w:val="20"/>
          <w:sz w:val="20"/>
          <w:szCs w:val="20"/>
          <w:shd w:fill="auto" w:val="clear"/>
          <w:vertAlign w:val="baseline"/>
          <w:lang w:val="pl-PL" w:bidi="ar-SA"/>
        </w:rPr>
        <w:t xml:space="preserve">roboty drogowe – związane z wykonaniem warstwy odsączającej, warstwy podbudowy zasadniczej z tłucznia kamiennego, układaniem krawężników i obrzeży,  </w:t>
      </w:r>
    </w:p>
    <w:p>
      <w:pPr>
        <w:pStyle w:val="Normal"/>
        <w:widowControl w:val="false"/>
        <w:numPr>
          <w:ilvl w:val="3"/>
          <w:numId w:val="10"/>
        </w:numPr>
        <w:tabs>
          <w:tab w:val="clear" w:pos="685"/>
          <w:tab w:val="clear" w:pos="4876"/>
          <w:tab w:val="clear" w:pos="5470"/>
          <w:tab w:val="left" w:pos="728" w:leader="none"/>
          <w:tab w:val="left" w:pos="848" w:leader="none"/>
          <w:tab w:val="left" w:pos="870" w:leader="none"/>
          <w:tab w:val="left" w:pos="1110" w:leader="none"/>
        </w:tabs>
        <w:suppressAutoHyphens w:val="true"/>
        <w:bidi w:val="0"/>
        <w:spacing w:lineRule="auto" w:line="276" w:before="0" w:after="0"/>
        <w:ind w:hanging="283" w:left="850" w:right="0"/>
        <w:jc w:val="both"/>
        <w:textAlignment w:val="baseline"/>
        <w:rPr>
          <w:rFonts w:ascii="Titillium" w:hAnsi="Titillium"/>
          <w:sz w:val="20"/>
          <w:szCs w:val="20"/>
        </w:rPr>
      </w:pPr>
      <w:r>
        <w:rPr>
          <w:rFonts w:ascii="Titillium" w:hAnsi="Titillium"/>
          <w:b w:val="false"/>
          <w:bCs w:val="false"/>
          <w:color w:val="000000"/>
          <w:sz w:val="20"/>
          <w:szCs w:val="20"/>
          <w:shd w:fill="auto" w:val="clear"/>
        </w:rPr>
        <w:t xml:space="preserve">wykonanie jezdni ulicy Osiedle na Wzgórzu o szerokości zgodnie z projektem, o nawierzchni                z betonowych bloczków drogowych, ograniczonej krawężnikiem na ławie betonowej z oporem, wyposażonej w pobocza utwardzone;  </w:t>
      </w:r>
    </w:p>
    <w:p>
      <w:pPr>
        <w:pStyle w:val="Normal"/>
        <w:widowControl w:val="false"/>
        <w:numPr>
          <w:ilvl w:val="3"/>
          <w:numId w:val="10"/>
        </w:numPr>
        <w:tabs>
          <w:tab w:val="clear" w:pos="685"/>
          <w:tab w:val="clear" w:pos="4876"/>
          <w:tab w:val="clear" w:pos="5470"/>
          <w:tab w:val="left" w:pos="728" w:leader="none"/>
          <w:tab w:val="left" w:pos="848" w:leader="none"/>
          <w:tab w:val="left" w:pos="870" w:leader="none"/>
          <w:tab w:val="left" w:pos="1110" w:leader="none"/>
        </w:tabs>
        <w:suppressAutoHyphens w:val="true"/>
        <w:bidi w:val="0"/>
        <w:spacing w:lineRule="auto" w:line="276" w:before="0" w:after="0"/>
        <w:ind w:hanging="283" w:left="850" w:right="0"/>
        <w:jc w:val="both"/>
        <w:textAlignment w:val="baseline"/>
        <w:rPr>
          <w:rFonts w:ascii="Titillium" w:hAnsi="Titillium"/>
          <w:sz w:val="20"/>
          <w:szCs w:val="20"/>
        </w:rPr>
      </w:pPr>
      <w:r>
        <w:rPr>
          <w:rFonts w:ascii="Titillium" w:hAnsi="Titillium"/>
          <w:b w:val="false"/>
          <w:bCs w:val="false"/>
          <w:color w:val="000000"/>
          <w:sz w:val="20"/>
          <w:szCs w:val="20"/>
          <w:shd w:fill="auto" w:val="clear"/>
        </w:rPr>
        <w:t xml:space="preserve">wykonanie obniżeń krawężników w miejscu istniejących i nowych zjazdów indywidualnych i odtworzenie istniejących zjazdów; </w:t>
      </w:r>
    </w:p>
    <w:p>
      <w:pPr>
        <w:pStyle w:val="Normal"/>
        <w:widowControl w:val="false"/>
        <w:numPr>
          <w:ilvl w:val="3"/>
          <w:numId w:val="10"/>
        </w:numPr>
        <w:tabs>
          <w:tab w:val="clear" w:pos="685"/>
          <w:tab w:val="clear" w:pos="4876"/>
          <w:tab w:val="clear" w:pos="5470"/>
          <w:tab w:val="left" w:pos="728" w:leader="none"/>
          <w:tab w:val="left" w:pos="848" w:leader="none"/>
          <w:tab w:val="left" w:pos="870" w:leader="none"/>
          <w:tab w:val="left" w:pos="1110" w:leader="none"/>
        </w:tabs>
        <w:suppressAutoHyphens w:val="true"/>
        <w:bidi w:val="0"/>
        <w:spacing w:lineRule="auto" w:line="276" w:before="0" w:after="0"/>
        <w:ind w:hanging="283" w:left="850" w:right="0"/>
        <w:jc w:val="both"/>
        <w:textAlignment w:val="baseline"/>
        <w:rPr>
          <w:rFonts w:ascii="Titillium" w:hAnsi="Titillium"/>
          <w:sz w:val="20"/>
          <w:szCs w:val="20"/>
        </w:rPr>
      </w:pPr>
      <w:r>
        <w:rPr>
          <w:rFonts w:ascii="Titillium" w:hAnsi="Titillium"/>
          <w:b w:val="false"/>
          <w:bCs w:val="false"/>
          <w:color w:val="000000"/>
          <w:sz w:val="20"/>
          <w:szCs w:val="20"/>
          <w:shd w:fill="auto" w:val="clear"/>
        </w:rPr>
        <w:t xml:space="preserve">zabezpieczenie rurami ochronnymi dwudzielnymi istniejących mediów zlokalizowanych w obrębie inwestycji zgodnie z uzgodnieniami branżowymi; </w:t>
      </w:r>
    </w:p>
    <w:p>
      <w:pPr>
        <w:pStyle w:val="Normal"/>
        <w:widowControl w:val="false"/>
        <w:numPr>
          <w:ilvl w:val="3"/>
          <w:numId w:val="10"/>
        </w:numPr>
        <w:tabs>
          <w:tab w:val="clear" w:pos="685"/>
          <w:tab w:val="clear" w:pos="4876"/>
          <w:tab w:val="clear" w:pos="5470"/>
          <w:tab w:val="left" w:pos="728" w:leader="none"/>
          <w:tab w:val="left" w:pos="848" w:leader="none"/>
          <w:tab w:val="left" w:pos="870" w:leader="none"/>
          <w:tab w:val="left" w:pos="1110" w:leader="none"/>
        </w:tabs>
        <w:suppressAutoHyphens w:val="true"/>
        <w:bidi w:val="0"/>
        <w:spacing w:lineRule="auto" w:line="276" w:before="0" w:after="0"/>
        <w:ind w:hanging="283" w:left="850" w:right="0"/>
        <w:jc w:val="both"/>
        <w:textAlignment w:val="baseline"/>
        <w:rPr>
          <w:rFonts w:ascii="Titillium" w:hAnsi="Titillium"/>
          <w:sz w:val="20"/>
          <w:szCs w:val="20"/>
        </w:rPr>
      </w:pPr>
      <w:r>
        <w:rPr>
          <w:rFonts w:ascii="Titillium" w:hAnsi="Titillium"/>
          <w:b w:val="false"/>
          <w:bCs w:val="false"/>
          <w:color w:val="000000"/>
          <w:sz w:val="20"/>
          <w:szCs w:val="20"/>
          <w:shd w:fill="auto" w:val="clear"/>
        </w:rPr>
        <w:t xml:space="preserve">odtworzenie terenów zielonych, poboczy; </w:t>
      </w:r>
    </w:p>
    <w:p>
      <w:pPr>
        <w:pStyle w:val="Normal"/>
        <w:widowControl w:val="false"/>
        <w:numPr>
          <w:ilvl w:val="3"/>
          <w:numId w:val="10"/>
        </w:numPr>
        <w:tabs>
          <w:tab w:val="clear" w:pos="685"/>
          <w:tab w:val="clear" w:pos="4876"/>
          <w:tab w:val="clear" w:pos="5470"/>
          <w:tab w:val="left" w:pos="728" w:leader="none"/>
          <w:tab w:val="left" w:pos="848" w:leader="none"/>
          <w:tab w:val="left" w:pos="870" w:leader="none"/>
          <w:tab w:val="left" w:pos="1110" w:leader="none"/>
        </w:tabs>
        <w:suppressAutoHyphens w:val="true"/>
        <w:bidi w:val="0"/>
        <w:spacing w:lineRule="auto" w:line="276" w:before="0" w:after="0"/>
        <w:ind w:hanging="283" w:left="850" w:right="0"/>
        <w:jc w:val="both"/>
        <w:textAlignment w:val="baseline"/>
        <w:rPr>
          <w:rFonts w:ascii="Titillium" w:hAnsi="Titillium"/>
          <w:sz w:val="20"/>
          <w:szCs w:val="20"/>
        </w:rPr>
      </w:pPr>
      <w:r>
        <w:rPr>
          <w:rFonts w:ascii="Titillium" w:hAnsi="Titillium"/>
          <w:b w:val="false"/>
          <w:bCs w:val="false"/>
          <w:color w:val="000000"/>
          <w:sz w:val="20"/>
          <w:szCs w:val="20"/>
          <w:shd w:fill="auto" w:val="clear"/>
        </w:rPr>
        <w:t>roboty towarzyszące związane z regulacją wysokościową włazów kanałowych oraz regulacją pionową studzienek dla zaworów wodociągowych i gazowych,</w:t>
      </w:r>
    </w:p>
    <w:p>
      <w:pPr>
        <w:pStyle w:val="Normal"/>
        <w:widowControl w:val="false"/>
        <w:numPr>
          <w:ilvl w:val="3"/>
          <w:numId w:val="10"/>
        </w:numPr>
        <w:tabs>
          <w:tab w:val="clear" w:pos="685"/>
          <w:tab w:val="clear" w:pos="4876"/>
          <w:tab w:val="clear" w:pos="5470"/>
          <w:tab w:val="left" w:pos="728" w:leader="none"/>
          <w:tab w:val="left" w:pos="848" w:leader="none"/>
          <w:tab w:val="left" w:pos="870" w:leader="none"/>
          <w:tab w:val="left" w:pos="1110" w:leader="none"/>
        </w:tabs>
        <w:suppressAutoHyphens w:val="true"/>
        <w:bidi w:val="0"/>
        <w:spacing w:lineRule="auto" w:line="276" w:before="0" w:after="0"/>
        <w:ind w:hanging="283" w:left="850" w:right="0"/>
        <w:jc w:val="both"/>
        <w:textAlignment w:val="baseline"/>
        <w:rPr>
          <w:rFonts w:ascii="Titillium" w:hAnsi="Titillium"/>
          <w:sz w:val="20"/>
          <w:szCs w:val="20"/>
        </w:rPr>
      </w:pPr>
      <w:r>
        <w:rPr>
          <w:rFonts w:ascii="Titillium" w:hAnsi="Titillium"/>
          <w:b w:val="false"/>
          <w:bCs w:val="false"/>
          <w:color w:val="000000"/>
          <w:sz w:val="20"/>
          <w:szCs w:val="20"/>
          <w:shd w:fill="auto" w:val="clear"/>
        </w:rPr>
        <w:t>wykonanie odwodnienia jezdni w niezbędnym zakresie.</w:t>
      </w:r>
    </w:p>
    <w:p>
      <w:pPr>
        <w:pStyle w:val="Normal"/>
        <w:widowControl w:val="false"/>
        <w:numPr>
          <w:ilvl w:val="0"/>
          <w:numId w:val="10"/>
        </w:numPr>
        <w:tabs>
          <w:tab w:val="clear" w:pos="685"/>
          <w:tab w:val="clear" w:pos="4876"/>
          <w:tab w:val="clear" w:pos="5470"/>
          <w:tab w:val="left" w:pos="-204" w:leader="none"/>
          <w:tab w:val="left" w:pos="570" w:leader="none"/>
          <w:tab w:val="left" w:pos="795" w:leader="none"/>
        </w:tabs>
        <w:suppressAutoHyphens w:val="true"/>
        <w:bidi w:val="0"/>
        <w:spacing w:lineRule="auto" w:line="276" w:before="114" w:after="114"/>
        <w:ind w:hanging="0" w:left="0" w:right="0"/>
        <w:jc w:val="both"/>
        <w:rPr>
          <w:b w:val="false"/>
          <w:bCs w:val="false"/>
        </w:rPr>
      </w:pPr>
      <w:r>
        <w:rPr>
          <w:rFonts w:ascii="Titillium" w:hAnsi="Titillium"/>
          <w:b w:val="false"/>
          <w:bCs w:val="false"/>
          <w:sz w:val="20"/>
          <w:szCs w:val="20"/>
        </w:rPr>
        <w:t>Wykonawca robót winien:</w:t>
      </w:r>
    </w:p>
    <w:p>
      <w:pPr>
        <w:pStyle w:val="Normal"/>
        <w:widowControl/>
        <w:numPr>
          <w:ilvl w:val="1"/>
          <w:numId w:val="10"/>
        </w:numPr>
        <w:tabs>
          <w:tab w:val="clear" w:pos="685"/>
          <w:tab w:val="clear" w:pos="4876"/>
          <w:tab w:val="clear" w:pos="5470"/>
          <w:tab w:val="left" w:pos="570" w:leader="none"/>
          <w:tab w:val="left" w:pos="909" w:leader="none"/>
        </w:tabs>
        <w:suppressAutoHyphens w:val="true"/>
        <w:bidi w:val="0"/>
        <w:spacing w:lineRule="auto" w:line="276" w:before="0" w:after="0"/>
        <w:ind w:hanging="283" w:left="850" w:right="0"/>
        <w:jc w:val="both"/>
        <w:textAlignment w:val="baseline"/>
        <w:rPr/>
      </w:pPr>
      <w:r>
        <w:rPr>
          <w:rStyle w:val="Strong"/>
          <w:rFonts w:eastAsia="Times-Roman;Times New Roman" w:cs="Arial" w:ascii="Titillium" w:hAnsi="Titillium"/>
          <w:b w:val="false"/>
          <w:bCs w:val="false"/>
          <w:i w:val="false"/>
          <w:iCs w:val="false"/>
          <w:strike w:val="false"/>
          <w:dstrike w:val="false"/>
          <w:color w:val="000000"/>
          <w:sz w:val="20"/>
          <w:szCs w:val="20"/>
          <w:u w:val="none"/>
          <w:effect w:val="none"/>
          <w:shd w:fill="auto" w:val="clear"/>
          <w:lang w:val="pl-PL" w:eastAsia="pl-PL" w:bidi="ar-SA"/>
        </w:rPr>
        <w:t>ująć koszty urządzeń i eksploatacji zaplecza budowy (w tym</w:t>
      </w:r>
      <w:r>
        <w:rPr>
          <w:rStyle w:val="Strong"/>
          <w:rFonts w:eastAsia="Times-Roman;Times New Roman" w:cs="Arial" w:ascii="Titillium" w:hAnsi="Titillium"/>
          <w:b/>
          <w:i w:val="false"/>
          <w:iCs w:val="false"/>
          <w:strike w:val="false"/>
          <w:dstrike w:val="false"/>
          <w:color w:val="000000"/>
          <w:sz w:val="20"/>
          <w:szCs w:val="20"/>
          <w:u w:val="none"/>
          <w:effect w:val="none"/>
          <w:shd w:fill="auto" w:val="clear"/>
          <w:lang w:val="pl-PL" w:eastAsia="pl-PL" w:bidi="ar-SA"/>
        </w:rPr>
        <w:t xml:space="preserve"> </w:t>
      </w:r>
      <w:r>
        <w:rPr>
          <w:rStyle w:val="Strong"/>
          <w:rFonts w:eastAsia="Times-Roman;Times New Roman" w:cs="Arial" w:ascii="Titillium" w:hAnsi="Titillium"/>
          <w:b w:val="false"/>
          <w:bCs w:val="false"/>
          <w:i w:val="false"/>
          <w:iCs w:val="false"/>
          <w:strike w:val="false"/>
          <w:dstrike w:val="false"/>
          <w:color w:val="000000"/>
          <w:sz w:val="20"/>
          <w:szCs w:val="20"/>
          <w:u w:val="none"/>
          <w:effect w:val="none"/>
          <w:shd w:fill="auto" w:val="clear"/>
          <w:lang w:val="pl-PL" w:eastAsia="pl-PL" w:bidi="ar-SA"/>
        </w:rPr>
        <w:t xml:space="preserve">doprowadzenia i zużycia mediów, itp.) oraz kosztów likwidacji zaplecza budowy, </w:t>
      </w:r>
    </w:p>
    <w:p>
      <w:pPr>
        <w:pStyle w:val="Normal"/>
        <w:widowControl/>
        <w:numPr>
          <w:ilvl w:val="1"/>
          <w:numId w:val="10"/>
        </w:numPr>
        <w:tabs>
          <w:tab w:val="clear" w:pos="685"/>
          <w:tab w:val="clear" w:pos="4876"/>
          <w:tab w:val="clear" w:pos="5470"/>
          <w:tab w:val="left" w:pos="570" w:leader="none"/>
          <w:tab w:val="left" w:pos="909" w:leader="none"/>
        </w:tabs>
        <w:suppressAutoHyphens w:val="true"/>
        <w:bidi w:val="0"/>
        <w:spacing w:lineRule="auto" w:line="276" w:before="0" w:after="0"/>
        <w:ind w:hanging="283" w:left="850" w:right="0"/>
        <w:jc w:val="both"/>
        <w:textAlignment w:val="baseline"/>
        <w:rPr/>
      </w:pPr>
      <w:r>
        <w:rPr>
          <w:rStyle w:val="Strong"/>
          <w:rFonts w:eastAsia="Times-Roman;Times New Roman" w:cs="Arial" w:ascii="Titillium" w:hAnsi="Titillium"/>
          <w:b w:val="false"/>
          <w:bCs w:val="false"/>
          <w:i w:val="false"/>
          <w:iCs w:val="false"/>
          <w:strike w:val="false"/>
          <w:dstrike w:val="false"/>
          <w:color w:val="000000"/>
          <w:sz w:val="20"/>
          <w:szCs w:val="20"/>
          <w:u w:val="none"/>
          <w:effect w:val="none"/>
          <w:shd w:fill="auto" w:val="clear"/>
          <w:lang w:val="pl-PL" w:eastAsia="pl-PL" w:bidi="ar-SA"/>
        </w:rPr>
        <w:t xml:space="preserve">zabezpieczyć teren budowy, </w:t>
      </w:r>
    </w:p>
    <w:p>
      <w:pPr>
        <w:pStyle w:val="Normal"/>
        <w:widowControl/>
        <w:numPr>
          <w:ilvl w:val="1"/>
          <w:numId w:val="10"/>
        </w:numPr>
        <w:tabs>
          <w:tab w:val="clear" w:pos="685"/>
          <w:tab w:val="clear" w:pos="4876"/>
          <w:tab w:val="clear" w:pos="5470"/>
          <w:tab w:val="left" w:pos="570" w:leader="none"/>
          <w:tab w:val="left" w:pos="909" w:leader="none"/>
        </w:tabs>
        <w:suppressAutoHyphens w:val="true"/>
        <w:bidi w:val="0"/>
        <w:spacing w:lineRule="auto" w:line="276" w:before="0" w:after="0"/>
        <w:ind w:hanging="283" w:left="850" w:right="0"/>
        <w:jc w:val="both"/>
        <w:textAlignment w:val="baseline"/>
        <w:rPr/>
      </w:pPr>
      <w:r>
        <w:rPr>
          <w:rStyle w:val="Strong"/>
          <w:rFonts w:eastAsia="Times-Roman;Times New Roman" w:cs="Arial" w:ascii="Titillium" w:hAnsi="Titillium"/>
          <w:b w:val="false"/>
          <w:bCs w:val="false"/>
          <w:i w:val="false"/>
          <w:iCs w:val="false"/>
          <w:strike w:val="false"/>
          <w:dstrike w:val="false"/>
          <w:color w:val="000000"/>
          <w:sz w:val="20"/>
          <w:szCs w:val="20"/>
          <w:u w:val="none"/>
          <w:effect w:val="none"/>
          <w:shd w:fill="auto" w:val="clear"/>
          <w:lang w:val="pl-PL" w:eastAsia="pl-PL" w:bidi="ar-SA"/>
        </w:rPr>
        <w:t xml:space="preserve">ująć koszty związane z bieżącym uporządkowaniem terenu w obrębie prowadzonych robót budowlanych, </w:t>
      </w:r>
    </w:p>
    <w:p>
      <w:pPr>
        <w:pStyle w:val="Normal"/>
        <w:widowControl/>
        <w:numPr>
          <w:ilvl w:val="1"/>
          <w:numId w:val="10"/>
        </w:numPr>
        <w:tabs>
          <w:tab w:val="clear" w:pos="685"/>
          <w:tab w:val="clear" w:pos="4876"/>
          <w:tab w:val="clear" w:pos="5470"/>
          <w:tab w:val="left" w:pos="570" w:leader="none"/>
          <w:tab w:val="left" w:pos="909" w:leader="none"/>
        </w:tabs>
        <w:suppressAutoHyphens w:val="true"/>
        <w:bidi w:val="0"/>
        <w:spacing w:lineRule="auto" w:line="276" w:before="0" w:after="0"/>
        <w:ind w:hanging="283" w:left="850" w:right="0"/>
        <w:jc w:val="both"/>
        <w:textAlignment w:val="baseline"/>
        <w:rPr/>
      </w:pPr>
      <w:r>
        <w:rPr>
          <w:rStyle w:val="Strong"/>
          <w:rFonts w:eastAsia="Times-Roman;Times New Roman" w:cs="Arial" w:ascii="Titillium" w:hAnsi="Titillium"/>
          <w:b w:val="false"/>
          <w:bCs w:val="false"/>
          <w:i w:val="false"/>
          <w:iCs w:val="false"/>
          <w:strike w:val="false"/>
          <w:dstrike w:val="false"/>
          <w:color w:val="000000"/>
          <w:sz w:val="20"/>
          <w:szCs w:val="20"/>
          <w:u w:val="none"/>
          <w:effect w:val="none"/>
          <w:shd w:fill="auto" w:val="clear"/>
          <w:lang w:val="pl-PL" w:eastAsia="pl-PL" w:bidi="ar-SA"/>
        </w:rPr>
        <w:t xml:space="preserve">zabezpieczyć istniejące uzbrojenie terenu, </w:t>
      </w:r>
    </w:p>
    <w:p>
      <w:pPr>
        <w:pStyle w:val="Normal"/>
        <w:widowControl/>
        <w:numPr>
          <w:ilvl w:val="1"/>
          <w:numId w:val="10"/>
        </w:numPr>
        <w:tabs>
          <w:tab w:val="clear" w:pos="685"/>
          <w:tab w:val="clear" w:pos="4876"/>
          <w:tab w:val="clear" w:pos="5470"/>
          <w:tab w:val="left" w:pos="570" w:leader="none"/>
          <w:tab w:val="left" w:pos="909" w:leader="none"/>
        </w:tabs>
        <w:suppressAutoHyphens w:val="true"/>
        <w:bidi w:val="0"/>
        <w:spacing w:lineRule="auto" w:line="276" w:before="0" w:after="0"/>
        <w:ind w:hanging="283" w:left="850" w:right="0"/>
        <w:jc w:val="both"/>
        <w:textAlignment w:val="baseline"/>
        <w:rPr/>
      </w:pPr>
      <w:r>
        <w:rPr>
          <w:rStyle w:val="Strong"/>
          <w:rFonts w:eastAsia="Times-Roman;Times New Roman" w:cs="Arial" w:ascii="Titillium" w:hAnsi="Titillium"/>
          <w:b w:val="false"/>
          <w:bCs w:val="false"/>
          <w:i w:val="false"/>
          <w:iCs w:val="false"/>
          <w:strike w:val="false"/>
          <w:dstrike w:val="false"/>
          <w:color w:val="000000"/>
          <w:sz w:val="20"/>
          <w:szCs w:val="20"/>
          <w:u w:val="none"/>
          <w:effect w:val="none"/>
          <w:shd w:fill="auto" w:val="clear"/>
          <w:lang w:val="pl-PL" w:eastAsia="pl-PL" w:bidi="ar-SA"/>
        </w:rPr>
        <w:t xml:space="preserve">wykonać wszelkie badania, próby, pomiary itp., niezbędne do przeprowadzenia odbiorów częściowych i odbioru końcowego robót budowlanych, </w:t>
      </w:r>
    </w:p>
    <w:p>
      <w:pPr>
        <w:pStyle w:val="Normal"/>
        <w:widowControl/>
        <w:numPr>
          <w:ilvl w:val="1"/>
          <w:numId w:val="10"/>
        </w:numPr>
        <w:tabs>
          <w:tab w:val="clear" w:pos="685"/>
          <w:tab w:val="clear" w:pos="4876"/>
          <w:tab w:val="clear" w:pos="5470"/>
          <w:tab w:val="left" w:pos="570" w:leader="none"/>
          <w:tab w:val="left" w:pos="909" w:leader="none"/>
        </w:tabs>
        <w:suppressAutoHyphens w:val="true"/>
        <w:bidi w:val="0"/>
        <w:spacing w:lineRule="auto" w:line="276" w:before="0" w:after="0"/>
        <w:ind w:hanging="283" w:left="850" w:right="0"/>
        <w:jc w:val="both"/>
        <w:textAlignment w:val="baseline"/>
        <w:rPr/>
      </w:pPr>
      <w:r>
        <w:rPr>
          <w:rStyle w:val="Strong"/>
          <w:rFonts w:eastAsia="Times-Roman;Times New Roman" w:cs="Arial" w:ascii="Titillium" w:hAnsi="Titillium"/>
          <w:b w:val="false"/>
          <w:bCs w:val="false"/>
          <w:i w:val="false"/>
          <w:iCs w:val="false"/>
          <w:strike w:val="false"/>
          <w:dstrike w:val="false"/>
          <w:color w:val="000000"/>
          <w:sz w:val="20"/>
          <w:szCs w:val="20"/>
          <w:u w:val="none"/>
          <w:effect w:val="none"/>
          <w:shd w:fill="auto" w:val="clear"/>
          <w:lang w:val="pl-PL" w:eastAsia="pl-PL" w:bidi="ar-SA"/>
        </w:rPr>
        <w:t xml:space="preserve">pracować dokumentację powykonawczą, </w:t>
      </w:r>
    </w:p>
    <w:p>
      <w:pPr>
        <w:pStyle w:val="Normal"/>
        <w:widowControl/>
        <w:numPr>
          <w:ilvl w:val="1"/>
          <w:numId w:val="10"/>
        </w:numPr>
        <w:tabs>
          <w:tab w:val="clear" w:pos="685"/>
          <w:tab w:val="clear" w:pos="4876"/>
          <w:tab w:val="clear" w:pos="5470"/>
          <w:tab w:val="left" w:pos="570" w:leader="none"/>
          <w:tab w:val="left" w:pos="909" w:leader="none"/>
        </w:tabs>
        <w:suppressAutoHyphens w:val="true"/>
        <w:bidi w:val="0"/>
        <w:spacing w:lineRule="auto" w:line="276" w:before="0" w:after="0"/>
        <w:ind w:hanging="283" w:left="850" w:right="0"/>
        <w:jc w:val="both"/>
        <w:textAlignment w:val="baseline"/>
        <w:rPr/>
      </w:pPr>
      <w:r>
        <w:rPr>
          <w:rStyle w:val="Strong"/>
          <w:rFonts w:eastAsia="Times-Roman;Times New Roman" w:cs="Arial" w:ascii="Titillium" w:hAnsi="Titillium"/>
          <w:b w:val="false"/>
          <w:bCs w:val="false"/>
          <w:i w:val="false"/>
          <w:iCs w:val="false"/>
          <w:strike w:val="false"/>
          <w:dstrike w:val="false"/>
          <w:color w:val="000000"/>
          <w:sz w:val="20"/>
          <w:szCs w:val="20"/>
          <w:u w:val="none"/>
          <w:effect w:val="none"/>
          <w:shd w:fill="auto" w:val="clear"/>
          <w:lang w:val="pl-PL" w:eastAsia="pl-PL" w:bidi="ar-SA"/>
        </w:rPr>
        <w:t xml:space="preserve">zlecić nadzory branżowe prowadzone przez przedstawicieli właściwych gestorów sieci, </w:t>
      </w:r>
    </w:p>
    <w:p>
      <w:pPr>
        <w:pStyle w:val="Normal"/>
        <w:widowControl/>
        <w:numPr>
          <w:ilvl w:val="1"/>
          <w:numId w:val="10"/>
        </w:numPr>
        <w:tabs>
          <w:tab w:val="clear" w:pos="685"/>
          <w:tab w:val="clear" w:pos="4876"/>
          <w:tab w:val="clear" w:pos="5470"/>
          <w:tab w:val="left" w:pos="570" w:leader="none"/>
          <w:tab w:val="left" w:pos="909" w:leader="none"/>
        </w:tabs>
        <w:suppressAutoHyphens w:val="true"/>
        <w:bidi w:val="0"/>
        <w:spacing w:lineRule="auto" w:line="276" w:before="0" w:after="0"/>
        <w:ind w:hanging="283" w:left="850" w:right="0"/>
        <w:jc w:val="both"/>
        <w:textAlignment w:val="baseline"/>
        <w:rPr/>
      </w:pPr>
      <w:r>
        <w:rPr>
          <w:rStyle w:val="Strong"/>
          <w:rFonts w:eastAsia="Times-Roman;Times New Roman" w:cs="Arial" w:ascii="Titillium" w:hAnsi="Titillium"/>
          <w:b w:val="false"/>
          <w:bCs w:val="false"/>
          <w:i w:val="false"/>
          <w:iCs w:val="false"/>
          <w:strike w:val="false"/>
          <w:dstrike w:val="false"/>
          <w:color w:val="000000"/>
          <w:sz w:val="20"/>
          <w:szCs w:val="20"/>
          <w:u w:val="none"/>
          <w:effect w:val="none"/>
          <w:shd w:fill="auto" w:val="clear"/>
          <w:lang w:val="pl-PL" w:eastAsia="pl-PL" w:bidi="ar-SA"/>
        </w:rPr>
        <w:t xml:space="preserve">ująć koszty odwozu gruntu, gruzu, destruktu asfaltowego oraz innych odpadów wraz z ich utylizacją, </w:t>
      </w:r>
    </w:p>
    <w:p>
      <w:pPr>
        <w:pStyle w:val="Normal"/>
        <w:widowControl/>
        <w:numPr>
          <w:ilvl w:val="1"/>
          <w:numId w:val="10"/>
        </w:numPr>
        <w:tabs>
          <w:tab w:val="clear" w:pos="685"/>
          <w:tab w:val="clear" w:pos="4876"/>
          <w:tab w:val="clear" w:pos="5470"/>
          <w:tab w:val="left" w:pos="570" w:leader="none"/>
          <w:tab w:val="left" w:pos="909" w:leader="none"/>
        </w:tabs>
        <w:suppressAutoHyphens w:val="true"/>
        <w:bidi w:val="0"/>
        <w:spacing w:lineRule="auto" w:line="276" w:before="0" w:after="0"/>
        <w:ind w:hanging="283" w:left="850" w:right="0"/>
        <w:jc w:val="both"/>
        <w:textAlignment w:val="baseline"/>
        <w:rPr/>
      </w:pPr>
      <w:r>
        <w:rPr>
          <w:rStyle w:val="Strong"/>
          <w:rFonts w:eastAsia="Times-Roman;Times New Roman" w:cs="Arial" w:ascii="Titillium" w:hAnsi="Titillium"/>
          <w:b w:val="false"/>
          <w:bCs w:val="false"/>
          <w:i w:val="false"/>
          <w:iCs w:val="false"/>
          <w:strike w:val="false"/>
          <w:dstrike w:val="false"/>
          <w:color w:val="000000"/>
          <w:sz w:val="20"/>
          <w:szCs w:val="20"/>
          <w:u w:val="none"/>
          <w:effect w:val="none"/>
          <w:shd w:fill="auto" w:val="clear"/>
          <w:lang w:val="pl-PL" w:eastAsia="pl-PL" w:bidi="ar-SA"/>
        </w:rPr>
        <w:t xml:space="preserve">wykonać roboty naprawcze i odtworzeniowe, </w:t>
      </w:r>
    </w:p>
    <w:p>
      <w:pPr>
        <w:pStyle w:val="Normal"/>
        <w:widowControl/>
        <w:numPr>
          <w:ilvl w:val="1"/>
          <w:numId w:val="10"/>
        </w:numPr>
        <w:tabs>
          <w:tab w:val="clear" w:pos="685"/>
          <w:tab w:val="clear" w:pos="4876"/>
          <w:tab w:val="clear" w:pos="5470"/>
          <w:tab w:val="left" w:pos="570" w:leader="none"/>
          <w:tab w:val="left" w:pos="909" w:leader="none"/>
        </w:tabs>
        <w:suppressAutoHyphens w:val="true"/>
        <w:bidi w:val="0"/>
        <w:spacing w:lineRule="auto" w:line="276" w:before="0" w:after="0"/>
        <w:ind w:hanging="397" w:left="850" w:right="0"/>
        <w:jc w:val="both"/>
        <w:textAlignment w:val="baseline"/>
        <w:rPr/>
      </w:pPr>
      <w:r>
        <w:rPr>
          <w:rStyle w:val="Strong"/>
          <w:rFonts w:eastAsia="Times-Roman;Times New Roman" w:cs="Arial" w:ascii="Titillium" w:hAnsi="Titillium"/>
          <w:b w:val="false"/>
          <w:bCs w:val="false"/>
          <w:i w:val="false"/>
          <w:iCs w:val="false"/>
          <w:strike w:val="false"/>
          <w:dstrike w:val="false"/>
          <w:color w:val="000000"/>
          <w:sz w:val="20"/>
          <w:szCs w:val="20"/>
          <w:u w:val="none"/>
          <w:effect w:val="none"/>
          <w:shd w:fill="auto" w:val="clear"/>
          <w:lang w:val="pl-PL" w:eastAsia="pl-PL" w:bidi="ar-SA"/>
        </w:rPr>
        <w:t xml:space="preserve">doprowadzić teren budowy do stanu pierwotnego, </w:t>
      </w:r>
    </w:p>
    <w:p>
      <w:pPr>
        <w:pStyle w:val="Normal"/>
        <w:widowControl/>
        <w:numPr>
          <w:ilvl w:val="1"/>
          <w:numId w:val="10"/>
        </w:numPr>
        <w:tabs>
          <w:tab w:val="clear" w:pos="685"/>
          <w:tab w:val="clear" w:pos="4876"/>
          <w:tab w:val="clear" w:pos="5470"/>
          <w:tab w:val="left" w:pos="570" w:leader="none"/>
          <w:tab w:val="left" w:pos="909" w:leader="none"/>
        </w:tabs>
        <w:suppressAutoHyphens w:val="true"/>
        <w:bidi w:val="0"/>
        <w:spacing w:lineRule="auto" w:line="276" w:before="0" w:after="0"/>
        <w:ind w:hanging="397" w:left="850" w:right="0"/>
        <w:jc w:val="both"/>
        <w:textAlignment w:val="baseline"/>
        <w:rPr/>
      </w:pPr>
      <w:r>
        <w:rPr>
          <w:rStyle w:val="Strong"/>
          <w:rFonts w:eastAsia="Times-Roman;Times New Roman" w:cs="Arial" w:ascii="Titillium" w:hAnsi="Titillium"/>
          <w:b w:val="false"/>
          <w:bCs w:val="false"/>
          <w:i w:val="false"/>
          <w:iCs w:val="false"/>
          <w:strike w:val="false"/>
          <w:dstrike w:val="false"/>
          <w:color w:val="000000"/>
          <w:sz w:val="20"/>
          <w:szCs w:val="20"/>
          <w:u w:val="none"/>
          <w:effect w:val="none"/>
          <w:shd w:fill="auto" w:val="clear"/>
          <w:lang w:val="pl-PL" w:eastAsia="pl-PL" w:bidi="ar-SA"/>
        </w:rPr>
        <w:t xml:space="preserve">pracować harmonogram rzeczowo-finansowy realizacji zadania oraz harmonogram terminowy wykonania robót budowlanych, </w:t>
      </w:r>
    </w:p>
    <w:p>
      <w:pPr>
        <w:pStyle w:val="Normal"/>
        <w:widowControl/>
        <w:numPr>
          <w:ilvl w:val="1"/>
          <w:numId w:val="10"/>
        </w:numPr>
        <w:tabs>
          <w:tab w:val="clear" w:pos="685"/>
          <w:tab w:val="clear" w:pos="4876"/>
          <w:tab w:val="clear" w:pos="5470"/>
          <w:tab w:val="left" w:pos="570" w:leader="none"/>
          <w:tab w:val="left" w:pos="909" w:leader="none"/>
        </w:tabs>
        <w:suppressAutoHyphens w:val="true"/>
        <w:bidi w:val="0"/>
        <w:spacing w:lineRule="auto" w:line="276" w:before="0" w:after="0"/>
        <w:ind w:hanging="397" w:left="850" w:right="0"/>
        <w:jc w:val="both"/>
        <w:textAlignment w:val="baseline"/>
        <w:rPr/>
      </w:pPr>
      <w:r>
        <w:rPr>
          <w:rStyle w:val="Strong"/>
          <w:rFonts w:eastAsia="Times-Roman;Times New Roman" w:cs="Arial" w:ascii="Titillium" w:hAnsi="Titillium"/>
          <w:b w:val="false"/>
          <w:bCs w:val="false"/>
          <w:i w:val="false"/>
          <w:iCs w:val="false"/>
          <w:strike w:val="false"/>
          <w:dstrike w:val="false"/>
          <w:color w:val="000000"/>
          <w:sz w:val="20"/>
          <w:szCs w:val="20"/>
          <w:u w:val="none"/>
          <w:effect w:val="none"/>
          <w:shd w:fill="auto" w:val="clear"/>
          <w:lang w:val="pl-PL" w:eastAsia="pl-PL" w:bidi="ar-SA"/>
        </w:rPr>
        <w:t xml:space="preserve">zapewnić prowadzenie robót budowlanych zgodnie z obowiązującymi przepisami BHP – w tym transport i składowanie materiałów budowlanych oraz zabezpieczenie używanych elektronarzędzi i innego sprzętu budowlanego użytego do realizacji zadania, </w:t>
      </w:r>
    </w:p>
    <w:p>
      <w:pPr>
        <w:pStyle w:val="Normal"/>
        <w:widowControl/>
        <w:numPr>
          <w:ilvl w:val="1"/>
          <w:numId w:val="10"/>
        </w:numPr>
        <w:tabs>
          <w:tab w:val="clear" w:pos="685"/>
          <w:tab w:val="clear" w:pos="4876"/>
          <w:tab w:val="clear" w:pos="5470"/>
          <w:tab w:val="left" w:pos="570" w:leader="none"/>
          <w:tab w:val="left" w:pos="909" w:leader="none"/>
        </w:tabs>
        <w:suppressAutoHyphens w:val="true"/>
        <w:bidi w:val="0"/>
        <w:spacing w:lineRule="auto" w:line="276" w:before="0" w:after="0"/>
        <w:ind w:hanging="397" w:left="850" w:right="0"/>
        <w:jc w:val="both"/>
        <w:textAlignment w:val="baseline"/>
        <w:rPr/>
      </w:pPr>
      <w:r>
        <w:rPr>
          <w:rStyle w:val="Strong"/>
          <w:rFonts w:eastAsia="Times-Roman;Times New Roman" w:cs="Arial" w:ascii="Titillium" w:hAnsi="Titillium"/>
          <w:b w:val="false"/>
          <w:bCs w:val="false"/>
          <w:i w:val="false"/>
          <w:iCs w:val="false"/>
          <w:strike w:val="false"/>
          <w:dstrike w:val="false"/>
          <w:color w:val="000000"/>
          <w:sz w:val="20"/>
          <w:szCs w:val="20"/>
          <w:u w:val="none"/>
          <w:effect w:val="none"/>
          <w:shd w:fill="auto" w:val="clear"/>
          <w:lang w:val="pl-PL" w:eastAsia="pl-PL" w:bidi="ar-SA"/>
        </w:rPr>
        <w:t xml:space="preserve">uzyskać zgodę na użyczenie pasa drogowego drogi publicznej, </w:t>
      </w:r>
    </w:p>
    <w:p>
      <w:pPr>
        <w:pStyle w:val="Normal"/>
        <w:widowControl/>
        <w:numPr>
          <w:ilvl w:val="1"/>
          <w:numId w:val="10"/>
        </w:numPr>
        <w:tabs>
          <w:tab w:val="clear" w:pos="685"/>
          <w:tab w:val="clear" w:pos="4876"/>
          <w:tab w:val="clear" w:pos="5470"/>
          <w:tab w:val="left" w:pos="570" w:leader="none"/>
          <w:tab w:val="left" w:pos="909" w:leader="none"/>
        </w:tabs>
        <w:suppressAutoHyphens w:val="true"/>
        <w:bidi w:val="0"/>
        <w:spacing w:lineRule="auto" w:line="276" w:before="0" w:after="0"/>
        <w:ind w:hanging="397" w:left="850" w:right="0"/>
        <w:jc w:val="both"/>
        <w:textAlignment w:val="baseline"/>
        <w:rPr/>
      </w:pPr>
      <w:r>
        <w:rPr>
          <w:rStyle w:val="Strong"/>
          <w:rFonts w:eastAsia="Times-Roman;Times New Roman" w:cs="Arial" w:ascii="Titillium" w:hAnsi="Titillium"/>
          <w:b w:val="false"/>
          <w:bCs w:val="false"/>
          <w:i w:val="false"/>
          <w:iCs w:val="false"/>
          <w:strike w:val="false"/>
          <w:dstrike w:val="false"/>
          <w:color w:val="000000"/>
          <w:sz w:val="20"/>
          <w:szCs w:val="20"/>
          <w:u w:val="none"/>
          <w:effect w:val="none"/>
          <w:shd w:fill="auto" w:val="clear"/>
          <w:lang w:val="pl-PL" w:eastAsia="pl-PL" w:bidi="ar-SA"/>
        </w:rPr>
        <w:t xml:space="preserve">opracować projekt tymczasowej organizacji ruchu wraz z uzyskaniem stosownego zatwierdzenia, </w:t>
      </w:r>
    </w:p>
    <w:p>
      <w:pPr>
        <w:pStyle w:val="Normal"/>
        <w:widowControl/>
        <w:numPr>
          <w:ilvl w:val="1"/>
          <w:numId w:val="10"/>
        </w:numPr>
        <w:tabs>
          <w:tab w:val="clear" w:pos="685"/>
          <w:tab w:val="clear" w:pos="4876"/>
          <w:tab w:val="clear" w:pos="5470"/>
          <w:tab w:val="left" w:pos="570" w:leader="none"/>
          <w:tab w:val="left" w:pos="909" w:leader="none"/>
        </w:tabs>
        <w:suppressAutoHyphens w:val="true"/>
        <w:bidi w:val="0"/>
        <w:spacing w:lineRule="auto" w:line="276" w:before="0" w:after="0"/>
        <w:ind w:hanging="397" w:left="850" w:right="0"/>
        <w:jc w:val="both"/>
        <w:textAlignment w:val="baseline"/>
        <w:rPr/>
      </w:pPr>
      <w:r>
        <w:rPr>
          <w:rStyle w:val="Strong"/>
          <w:rFonts w:eastAsia="Times-Roman;Times New Roman" w:cs="Arial" w:ascii="Titillium" w:hAnsi="Titillium"/>
          <w:b w:val="false"/>
          <w:bCs w:val="false"/>
          <w:i w:val="false"/>
          <w:iCs w:val="false"/>
          <w:strike w:val="false"/>
          <w:dstrike w:val="false"/>
          <w:color w:val="000000"/>
          <w:sz w:val="20"/>
          <w:szCs w:val="20"/>
          <w:u w:val="none"/>
          <w:effect w:val="none"/>
          <w:shd w:fill="auto" w:val="clear"/>
          <w:lang w:val="pl-PL" w:eastAsia="pl-PL" w:bidi="ar-SA"/>
        </w:rPr>
        <w:t xml:space="preserve">zapewnić dojazd i dojście do posesji, </w:t>
      </w:r>
    </w:p>
    <w:p>
      <w:pPr>
        <w:pStyle w:val="Normal"/>
        <w:widowControl/>
        <w:numPr>
          <w:ilvl w:val="1"/>
          <w:numId w:val="10"/>
        </w:numPr>
        <w:tabs>
          <w:tab w:val="clear" w:pos="685"/>
          <w:tab w:val="clear" w:pos="4876"/>
          <w:tab w:val="clear" w:pos="5470"/>
          <w:tab w:val="left" w:pos="570" w:leader="none"/>
          <w:tab w:val="left" w:pos="909" w:leader="none"/>
        </w:tabs>
        <w:suppressAutoHyphens w:val="true"/>
        <w:bidi w:val="0"/>
        <w:spacing w:lineRule="auto" w:line="276" w:before="0" w:after="0"/>
        <w:ind w:hanging="397" w:left="850" w:right="0"/>
        <w:jc w:val="both"/>
        <w:textAlignment w:val="baseline"/>
        <w:rPr/>
      </w:pPr>
      <w:r>
        <w:rPr>
          <w:rStyle w:val="Strong"/>
          <w:rFonts w:eastAsia="Times-Roman;Times New Roman" w:cs="Arial" w:ascii="Titillium" w:hAnsi="Titillium"/>
          <w:b w:val="false"/>
          <w:bCs w:val="false"/>
          <w:i w:val="false"/>
          <w:iCs w:val="false"/>
          <w:strike w:val="false"/>
          <w:dstrike w:val="false"/>
          <w:color w:val="000000"/>
          <w:sz w:val="20"/>
          <w:szCs w:val="20"/>
          <w:u w:val="none"/>
          <w:effect w:val="none"/>
          <w:shd w:fill="auto" w:val="clear"/>
          <w:lang w:val="pl-PL" w:eastAsia="pl-PL" w:bidi="ar-SA"/>
        </w:rPr>
        <w:t xml:space="preserve">opracować dokumentację geodezyjną, zawierającą wyniki geodezyjnej inwentaryzacji powykonawczej wraz z kartami studni dla kanalizacji deszczowej oraz informację o zgodności usytuowania obiektu budowlanego z projektem zagospodarowania terenu lub odstępstwach od tego projektu, sporządzoną przez osobę wykonującą samodzielne funkcje w dziedzinie geodezji  i kartografii oraz posiadającą  odpowiednie uprawnienia zawodowe, </w:t>
      </w:r>
    </w:p>
    <w:p>
      <w:pPr>
        <w:pStyle w:val="Normal"/>
        <w:widowControl/>
        <w:numPr>
          <w:ilvl w:val="1"/>
          <w:numId w:val="10"/>
        </w:numPr>
        <w:tabs>
          <w:tab w:val="clear" w:pos="685"/>
          <w:tab w:val="clear" w:pos="4876"/>
          <w:tab w:val="clear" w:pos="5470"/>
          <w:tab w:val="left" w:pos="570" w:leader="none"/>
          <w:tab w:val="left" w:pos="909" w:leader="none"/>
        </w:tabs>
        <w:suppressAutoHyphens w:val="true"/>
        <w:bidi w:val="0"/>
        <w:spacing w:lineRule="auto" w:line="276" w:before="0" w:after="0"/>
        <w:ind w:hanging="397" w:left="850" w:right="0"/>
        <w:jc w:val="both"/>
        <w:textAlignment w:val="baseline"/>
        <w:rPr/>
      </w:pPr>
      <w:r>
        <w:rPr>
          <w:rStyle w:val="Strong"/>
          <w:rFonts w:eastAsia="Times-Roman;Times New Roman" w:cs="Arial" w:ascii="Titillium" w:hAnsi="Titillium"/>
          <w:b w:val="false"/>
          <w:bCs w:val="false"/>
          <w:i w:val="false"/>
          <w:iCs w:val="false"/>
          <w:strike w:val="false"/>
          <w:dstrike w:val="false"/>
          <w:color w:val="000000"/>
          <w:sz w:val="20"/>
          <w:szCs w:val="20"/>
          <w:u w:val="none"/>
          <w:effect w:val="none"/>
          <w:shd w:fill="auto" w:val="clear"/>
          <w:lang w:val="pl-PL" w:eastAsia="pl-PL" w:bidi="ar-SA"/>
        </w:rPr>
        <w:t xml:space="preserve">wykonać  kamerowanie kanalizacji, </w:t>
      </w:r>
    </w:p>
    <w:p>
      <w:pPr>
        <w:pStyle w:val="Normal"/>
        <w:widowControl/>
        <w:numPr>
          <w:ilvl w:val="1"/>
          <w:numId w:val="10"/>
        </w:numPr>
        <w:tabs>
          <w:tab w:val="clear" w:pos="685"/>
          <w:tab w:val="clear" w:pos="4876"/>
          <w:tab w:val="clear" w:pos="5470"/>
          <w:tab w:val="left" w:pos="570" w:leader="none"/>
          <w:tab w:val="left" w:pos="909" w:leader="none"/>
        </w:tabs>
        <w:suppressAutoHyphens w:val="true"/>
        <w:bidi w:val="0"/>
        <w:spacing w:lineRule="auto" w:line="276" w:before="0" w:after="0"/>
        <w:ind w:hanging="397" w:left="850" w:right="0"/>
        <w:jc w:val="both"/>
        <w:textAlignment w:val="baseline"/>
        <w:rPr/>
      </w:pPr>
      <w:r>
        <w:rPr>
          <w:rStyle w:val="Strong"/>
          <w:rFonts w:eastAsia="Times-Roman;Times New Roman" w:cs="Arial" w:ascii="Titillium" w:hAnsi="Titillium"/>
          <w:b w:val="false"/>
          <w:bCs w:val="false"/>
          <w:sz w:val="20"/>
          <w:szCs w:val="20"/>
          <w:lang w:eastAsia="pl-PL" w:bidi="ar-SA"/>
        </w:rPr>
        <w:t>wykonać i zamontować tablicę informacyjną zgodnie z rozporządzeniem Rady Ministrów z dnia 7 maja 2021 r. w sprawie określenia działań informacyjnych podejmowanych przez podmioty realizujące zadania finansowane lub dofinansowane z budżetu państwa lub z państwowych funduszy celowych. Zgodnie z wytycznymi z rozporządzenia: w przypadku realizacji zadań dotyczących obiektów liniowych, w szczególności budowy dróg, torów kolejowych, ścieżek lub chodników: „1. o długości poniżej 10 km – umieszcza się jedną tablicę: a) dwustronną, jeżeli jest ona ustawiona prostopadle do obiektu liniowego, b) jednostronną, jeżeli jest ona ustawiona równolegle do obiektu liniowego. Ponadto: w przypadku realizacji zadania w zakresie określonym powyżej ww. rozporządzenia, wykonuje się tablicę informacyjną o wymiarach 180 × 120 cm. Mając na uwadze kosztorysowe rozliczanie inwestycji oraz z uwagi na konieczność zawarcia informacji o wartościach dofinansowania i o całkowitej wartości zadania, tablicę należy zaktualizować po zrealizowaniu zadania.</w:t>
      </w:r>
    </w:p>
    <w:p>
      <w:pPr>
        <w:pStyle w:val="Normal"/>
        <w:widowControl/>
        <w:numPr>
          <w:ilvl w:val="0"/>
          <w:numId w:val="0"/>
        </w:numPr>
        <w:tabs>
          <w:tab w:val="clear" w:pos="685"/>
          <w:tab w:val="clear" w:pos="4876"/>
          <w:tab w:val="clear" w:pos="5470"/>
          <w:tab w:val="left" w:pos="570" w:leader="none"/>
          <w:tab w:val="left" w:pos="788" w:leader="none"/>
          <w:tab w:val="left" w:pos="795" w:leader="none"/>
        </w:tabs>
        <w:suppressAutoHyphens w:val="true"/>
        <w:bidi w:val="0"/>
        <w:spacing w:lineRule="auto" w:line="276" w:before="0" w:after="0"/>
        <w:ind w:hanging="0" w:left="794" w:right="0"/>
        <w:jc w:val="both"/>
        <w:textAlignment w:val="baseline"/>
        <w:rPr>
          <w:rStyle w:val="Strong"/>
          <w:rFonts w:ascii="Titillium" w:hAnsi="Titillium" w:eastAsia="Times-Roman;Times New Roman" w:cs="Arial"/>
          <w:b w:val="false"/>
          <w:bCs w:val="false"/>
          <w:sz w:val="20"/>
          <w:szCs w:val="20"/>
          <w:lang w:eastAsia="pl-PL" w:bidi="ar-SA"/>
        </w:rPr>
      </w:pPr>
      <w:r>
        <w:rPr>
          <w:rFonts w:eastAsia="Times-Roman;Times New Roman" w:cs="Arial" w:ascii="Titillium" w:hAnsi="Titillium"/>
          <w:b w:val="false"/>
          <w:bCs w:val="false"/>
          <w:sz w:val="20"/>
          <w:szCs w:val="20"/>
          <w:lang w:eastAsia="pl-PL" w:bidi="ar-SA"/>
        </w:rPr>
      </w:r>
    </w:p>
    <w:p>
      <w:pPr>
        <w:pStyle w:val="Standard"/>
        <w:widowControl/>
        <w:numPr>
          <w:ilvl w:val="0"/>
          <w:numId w:val="0"/>
        </w:numPr>
        <w:tabs>
          <w:tab w:val="clear" w:pos="720"/>
          <w:tab w:val="left" w:pos="279" w:leader="none"/>
        </w:tabs>
        <w:suppressAutoHyphens w:val="true"/>
        <w:bidi w:val="0"/>
        <w:spacing w:lineRule="auto" w:line="276" w:before="0" w:after="0"/>
        <w:ind w:hanging="0" w:left="397" w:right="0"/>
        <w:jc w:val="both"/>
        <w:textAlignment w:val="baseline"/>
        <w:rPr/>
      </w:pPr>
      <w:r>
        <w:rPr>
          <w:rStyle w:val="StrongEmphasis"/>
          <w:rFonts w:eastAsia="Times-Roman, 'Times New Roman'" w:cs="Times-Roman, 'Times New Roman'" w:ascii="Titillium" w:hAnsi="Titillium"/>
          <w:bCs w:val="false"/>
          <w:color w:val="000000"/>
          <w:sz w:val="20"/>
          <w:szCs w:val="20"/>
          <w:u w:val="single"/>
          <w:lang w:eastAsia="pl-PL" w:bidi="ar-SA"/>
        </w:rPr>
        <w:t>Wymogi dotyczące zatrudnienia pracowników zgodnie z art. 95 ust. 1 ustawy Pzp</w:t>
      </w:r>
    </w:p>
    <w:p>
      <w:pPr>
        <w:pStyle w:val="Standard"/>
        <w:widowControl/>
        <w:numPr>
          <w:ilvl w:val="0"/>
          <w:numId w:val="0"/>
        </w:numPr>
        <w:tabs>
          <w:tab w:val="clear" w:pos="720"/>
          <w:tab w:val="left" w:pos="279" w:leader="none"/>
        </w:tabs>
        <w:suppressAutoHyphens w:val="true"/>
        <w:bidi w:val="0"/>
        <w:spacing w:lineRule="auto" w:line="276" w:before="0" w:after="0"/>
        <w:ind w:hanging="0" w:left="397" w:right="0"/>
        <w:jc w:val="both"/>
        <w:textAlignment w:val="baseline"/>
        <w:rPr>
          <w:rStyle w:val="StrongEmphasis"/>
          <w:rFonts w:ascii="Titillium" w:hAnsi="Titillium" w:eastAsia="Times-Roman, 'Times New Roman'" w:cs="Times-Roman, 'Times New Roman'"/>
          <w:bCs w:val="false"/>
          <w:color w:val="000000"/>
          <w:sz w:val="20"/>
          <w:szCs w:val="20"/>
          <w:u w:val="single"/>
          <w:lang w:eastAsia="pl-PL" w:bidi="ar-SA"/>
        </w:rPr>
      </w:pPr>
      <w:r>
        <w:rPr>
          <w:rFonts w:eastAsia="Times-Roman, 'Times New Roman'" w:cs="Times-Roman, 'Times New Roman'" w:ascii="Titillium" w:hAnsi="Titillium"/>
          <w:bCs w:val="false"/>
          <w:color w:val="000000"/>
          <w:sz w:val="20"/>
          <w:szCs w:val="20"/>
          <w:u w:val="single"/>
          <w:lang w:eastAsia="pl-PL" w:bidi="ar-SA"/>
        </w:rPr>
      </w:r>
    </w:p>
    <w:p>
      <w:pPr>
        <w:pStyle w:val="Standard"/>
        <w:widowControl/>
        <w:numPr>
          <w:ilvl w:val="0"/>
          <w:numId w:val="10"/>
        </w:numPr>
        <w:tabs>
          <w:tab w:val="clear" w:pos="720"/>
          <w:tab w:val="left" w:pos="279" w:leader="none"/>
        </w:tabs>
        <w:suppressAutoHyphens w:val="true"/>
        <w:bidi w:val="0"/>
        <w:spacing w:lineRule="auto" w:line="276" w:before="0" w:after="0"/>
        <w:ind w:hanging="454" w:left="397" w:right="0"/>
        <w:jc w:val="both"/>
        <w:textAlignment w:val="baseline"/>
        <w:rPr>
          <w:rFonts w:ascii="Titillium" w:hAnsi="Titillium"/>
          <w:sz w:val="20"/>
          <w:szCs w:val="20"/>
        </w:rPr>
      </w:pPr>
      <w:r>
        <w:rPr>
          <w:rFonts w:eastAsia="Times-Roman, 'Times New Roman'" w:cs="Times-Roman, 'Times New Roman'" w:ascii="Titillium" w:hAnsi="Titillium"/>
          <w:color w:val="000000"/>
          <w:sz w:val="20"/>
          <w:szCs w:val="20"/>
          <w:lang w:eastAsia="pl-PL"/>
        </w:rPr>
        <w:t>Stosownie do postanowień zawartych w przepisie art. 95 ust. 1 ustawy Pzp Zamawiający określa następujące czynności w zakresie realizacji zamówienia odnośnie robót budowlanych, których wykonywanie w ocenie Zamawiającego jest wykonywaniem pracy w rozumieniu przepisu art. 22 § 1 Kodeksu pracy, tj. wykonywaniem pracy określonego rodzaju na rzecz pracodawcy i pod jego kierownictwem oraz w miejscu i czasie wyznaczonym przez pracodawcę, tj.: wykonanie wszystkich prac związanych z robotami budowlanymi: rozbiórkowymi, ziemnymi, drogowymi, montażowymi, odtworzeniowymi, kanalizacyjnymi</w:t>
      </w:r>
      <w:r>
        <w:rPr>
          <w:rFonts w:eastAsia="Times-Roman, 'Times New Roman'" w:cs="Times-Roman, 'Times New Roman'" w:ascii="Titillium" w:hAnsi="Titillium"/>
          <w:strike w:val="false"/>
          <w:dstrike w:val="false"/>
          <w:color w:val="000000"/>
          <w:sz w:val="20"/>
          <w:szCs w:val="20"/>
          <w:lang w:eastAsia="pl-PL"/>
        </w:rPr>
        <w:t>, porządkowymi</w:t>
      </w:r>
    </w:p>
    <w:p>
      <w:pPr>
        <w:pStyle w:val="Standard"/>
        <w:widowControl/>
        <w:numPr>
          <w:ilvl w:val="0"/>
          <w:numId w:val="10"/>
        </w:numPr>
        <w:tabs>
          <w:tab w:val="clear" w:pos="720"/>
          <w:tab w:val="left" w:pos="279" w:leader="none"/>
        </w:tabs>
        <w:suppressAutoHyphens w:val="true"/>
        <w:bidi w:val="0"/>
        <w:spacing w:lineRule="auto" w:line="276" w:before="0" w:after="0"/>
        <w:ind w:hanging="454" w:left="397" w:right="0"/>
        <w:jc w:val="both"/>
        <w:textAlignment w:val="baseline"/>
        <w:rPr>
          <w:rFonts w:ascii="Titillium" w:hAnsi="Titillium"/>
          <w:sz w:val="20"/>
          <w:szCs w:val="20"/>
        </w:rPr>
      </w:pPr>
      <w:r>
        <w:rPr>
          <w:rFonts w:eastAsia="Times-Roman, 'Times New Roman'" w:ascii="Titillium" w:hAnsi="Titillium"/>
          <w:sz w:val="20"/>
          <w:szCs w:val="20"/>
        </w:rPr>
        <w:t xml:space="preserve">Wykonawca w terminie do 7 dni od dnia podpisania umowy w sprawie udzielenia zamówienia publicznego przedstawi Zamawiającemu oświadczenie potwierdzające, że osoby, które będą wykonywać czynności określone </w:t>
      </w:r>
      <w:r>
        <w:rPr>
          <w:rFonts w:cs="Arial" w:ascii="Titillium" w:hAnsi="Titillium"/>
          <w:sz w:val="20"/>
          <w:szCs w:val="20"/>
        </w:rPr>
        <w:t>w ust. 12, działają</w:t>
      </w:r>
      <w:r>
        <w:rPr>
          <w:rFonts w:eastAsia="Times-Roman, 'Times New Roman'" w:ascii="Titillium" w:hAnsi="Titillium"/>
          <w:sz w:val="20"/>
          <w:szCs w:val="20"/>
        </w:rPr>
        <w:t xml:space="preserve"> w oparciu o umowę o pracę w rozumieniu przepisów Kodeksu pracy z Wykonawcą lub podwykonawcą. Oświadczenie, o którym mowa w</w:t>
      </w:r>
      <w:r>
        <w:rPr>
          <w:rFonts w:eastAsia="Times-Roman, 'Times New Roman'" w:cs="Calibri" w:ascii="Titillium" w:hAnsi="Titillium"/>
          <w:sz w:val="20"/>
          <w:szCs w:val="20"/>
        </w:rPr>
        <w:t> </w:t>
      </w:r>
      <w:r>
        <w:rPr>
          <w:rFonts w:eastAsia="Times-Roman, 'Times New Roman'" w:ascii="Titillium" w:hAnsi="Titillium"/>
          <w:sz w:val="20"/>
          <w:szCs w:val="20"/>
        </w:rPr>
        <w:t>zdaniu poprzedzaj</w:t>
      </w:r>
      <w:r>
        <w:rPr>
          <w:rFonts w:eastAsia="Times-Roman, 'Times New Roman'" w:cs="Titillium" w:ascii="Titillium" w:hAnsi="Titillium"/>
          <w:sz w:val="20"/>
          <w:szCs w:val="20"/>
        </w:rPr>
        <w:t>ą</w:t>
      </w:r>
      <w:r>
        <w:rPr>
          <w:rFonts w:eastAsia="Times-Roman, 'Times New Roman'" w:ascii="Titillium" w:hAnsi="Titillium"/>
          <w:sz w:val="20"/>
          <w:szCs w:val="20"/>
        </w:rPr>
        <w:t>cym, winno zawiera</w:t>
      </w:r>
      <w:r>
        <w:rPr>
          <w:rFonts w:eastAsia="Times-Roman, 'Times New Roman'" w:cs="Titillium" w:ascii="Titillium" w:hAnsi="Titillium"/>
          <w:sz w:val="20"/>
          <w:szCs w:val="20"/>
        </w:rPr>
        <w:t>ć</w:t>
      </w:r>
      <w:r>
        <w:rPr>
          <w:rFonts w:eastAsia="Times-Roman, 'Times New Roman'" w:ascii="Titillium" w:hAnsi="Titillium"/>
          <w:sz w:val="20"/>
          <w:szCs w:val="20"/>
        </w:rPr>
        <w:t xml:space="preserve"> w szczeg</w:t>
      </w:r>
      <w:r>
        <w:rPr>
          <w:rFonts w:eastAsia="Times-Roman, 'Times New Roman'" w:cs="Titillium" w:ascii="Titillium" w:hAnsi="Titillium"/>
          <w:sz w:val="20"/>
          <w:szCs w:val="20"/>
        </w:rPr>
        <w:t>ó</w:t>
      </w:r>
      <w:r>
        <w:rPr>
          <w:rFonts w:eastAsia="Times-Roman, 'Times New Roman'" w:ascii="Titillium" w:hAnsi="Titillium"/>
          <w:sz w:val="20"/>
          <w:szCs w:val="20"/>
        </w:rPr>
        <w:t>lno</w:t>
      </w:r>
      <w:r>
        <w:rPr>
          <w:rFonts w:eastAsia="Times-Roman, 'Times New Roman'" w:cs="Titillium" w:ascii="Titillium" w:hAnsi="Titillium"/>
          <w:sz w:val="20"/>
          <w:szCs w:val="20"/>
        </w:rPr>
        <w:t>ś</w:t>
      </w:r>
      <w:r>
        <w:rPr>
          <w:rFonts w:eastAsia="Times-Roman, 'Times New Roman'" w:ascii="Titillium" w:hAnsi="Titillium"/>
          <w:sz w:val="20"/>
          <w:szCs w:val="20"/>
        </w:rPr>
        <w:t>ci dok</w:t>
      </w:r>
      <w:r>
        <w:rPr>
          <w:rFonts w:eastAsia="Times-Roman, 'Times New Roman'" w:cs="Titillium" w:ascii="Titillium" w:hAnsi="Titillium"/>
          <w:sz w:val="20"/>
          <w:szCs w:val="20"/>
        </w:rPr>
        <w:t>ł</w:t>
      </w:r>
      <w:r>
        <w:rPr>
          <w:rFonts w:eastAsia="Times-Roman, 'Times New Roman'" w:ascii="Titillium" w:hAnsi="Titillium"/>
          <w:sz w:val="20"/>
          <w:szCs w:val="20"/>
        </w:rPr>
        <w:t>adne okre</w:t>
      </w:r>
      <w:r>
        <w:rPr>
          <w:rFonts w:eastAsia="Times-Roman, 'Times New Roman'" w:cs="Titillium" w:ascii="Titillium" w:hAnsi="Titillium"/>
          <w:sz w:val="20"/>
          <w:szCs w:val="20"/>
        </w:rPr>
        <w:t>ś</w:t>
      </w:r>
      <w:r>
        <w:rPr>
          <w:rFonts w:eastAsia="Times-Roman, 'Times New Roman'" w:ascii="Titillium" w:hAnsi="Titillium"/>
          <w:sz w:val="20"/>
          <w:szCs w:val="20"/>
        </w:rPr>
        <w:t>lenie podmiotu sk</w:t>
      </w:r>
      <w:r>
        <w:rPr>
          <w:rFonts w:eastAsia="Times-Roman, 'Times New Roman'" w:cs="Titillium" w:ascii="Titillium" w:hAnsi="Titillium"/>
          <w:sz w:val="20"/>
          <w:szCs w:val="20"/>
        </w:rPr>
        <w:t>ł</w:t>
      </w:r>
      <w:r>
        <w:rPr>
          <w:rFonts w:eastAsia="Times-Roman, 'Times New Roman'" w:ascii="Titillium" w:hAnsi="Titillium"/>
          <w:sz w:val="20"/>
          <w:szCs w:val="20"/>
        </w:rPr>
        <w:t>adaj</w:t>
      </w:r>
      <w:r>
        <w:rPr>
          <w:rFonts w:eastAsia="Times-Roman, 'Times New Roman'" w:cs="Titillium" w:ascii="Titillium" w:hAnsi="Titillium"/>
          <w:sz w:val="20"/>
          <w:szCs w:val="20"/>
        </w:rPr>
        <w:t>ą</w:t>
      </w:r>
      <w:r>
        <w:rPr>
          <w:rFonts w:eastAsia="Times-Roman, 'Times New Roman'" w:ascii="Titillium" w:hAnsi="Titillium"/>
          <w:sz w:val="20"/>
          <w:szCs w:val="20"/>
        </w:rPr>
        <w:t>cego, dat</w:t>
      </w:r>
      <w:r>
        <w:rPr>
          <w:rFonts w:eastAsia="Times-Roman, 'Times New Roman'" w:cs="Titillium" w:ascii="Titillium" w:hAnsi="Titillium"/>
          <w:sz w:val="20"/>
          <w:szCs w:val="20"/>
        </w:rPr>
        <w:t>ę</w:t>
      </w:r>
      <w:r>
        <w:rPr>
          <w:rFonts w:eastAsia="Times-Roman, 'Times New Roman'" w:ascii="Titillium" w:hAnsi="Titillium"/>
          <w:sz w:val="20"/>
          <w:szCs w:val="20"/>
        </w:rPr>
        <w:t xml:space="preserve"> złożenia oświadczenia, wskazanie, że czynności wykonują osoby zatrudnione na podstawie umowy o</w:t>
      </w:r>
      <w:r>
        <w:rPr>
          <w:rFonts w:eastAsia="Times-Roman, 'Times New Roman'" w:cs="Calibri" w:ascii="Titillium" w:hAnsi="Titillium"/>
          <w:sz w:val="20"/>
          <w:szCs w:val="20"/>
        </w:rPr>
        <w:t> </w:t>
      </w:r>
      <w:r>
        <w:rPr>
          <w:rFonts w:eastAsia="Times-Roman, 'Times New Roman'" w:ascii="Titillium" w:hAnsi="Titillium"/>
          <w:sz w:val="20"/>
          <w:szCs w:val="20"/>
        </w:rPr>
        <w:t>pracę wraz ze wskazaniem liczby tych osób, imię i nazwisko tych osób, rodzaj umowy o pracę, datę zawarcia umowy oraz podpis osoby uprawnionej do złożenia oświadczenia woli w imieniu Wykonawcy lub podwykonawcy.</w:t>
      </w:r>
    </w:p>
    <w:p>
      <w:pPr>
        <w:pStyle w:val="Standard"/>
        <w:widowControl/>
        <w:numPr>
          <w:ilvl w:val="0"/>
          <w:numId w:val="10"/>
        </w:numPr>
        <w:tabs>
          <w:tab w:val="clear" w:pos="720"/>
          <w:tab w:val="left" w:pos="450" w:leader="none"/>
        </w:tabs>
        <w:suppressAutoHyphens w:val="true"/>
        <w:bidi w:val="0"/>
        <w:spacing w:lineRule="auto" w:line="276" w:before="0" w:after="0"/>
        <w:ind w:hanging="454" w:left="397" w:right="0"/>
        <w:jc w:val="both"/>
        <w:textAlignment w:val="baseline"/>
        <w:rPr>
          <w:rFonts w:ascii="Titillium" w:hAnsi="Titillium"/>
          <w:sz w:val="20"/>
          <w:szCs w:val="20"/>
        </w:rPr>
      </w:pPr>
      <w:r>
        <w:rPr>
          <w:rFonts w:eastAsia="Times-Roman, 'Times New Roman'" w:ascii="Titillium" w:hAnsi="Titillium"/>
          <w:sz w:val="20"/>
          <w:szCs w:val="20"/>
        </w:rPr>
        <w:t>W przypadku konieczności zastąpienia w okresie trwania umowy osób wykonujących czynności, o</w:t>
      </w:r>
      <w:r>
        <w:rPr>
          <w:rFonts w:eastAsia="Times-Roman, 'Times New Roman'" w:cs="Calibri" w:ascii="Titillium" w:hAnsi="Titillium"/>
          <w:sz w:val="20"/>
          <w:szCs w:val="20"/>
        </w:rPr>
        <w:t> </w:t>
      </w:r>
      <w:r>
        <w:rPr>
          <w:rFonts w:eastAsia="Times-Roman, 'Times New Roman'" w:ascii="Titillium" w:hAnsi="Titillium"/>
          <w:sz w:val="20"/>
          <w:szCs w:val="20"/>
        </w:rPr>
        <w:t>kt</w:t>
      </w:r>
      <w:r>
        <w:rPr>
          <w:rFonts w:eastAsia="Times-Roman, 'Times New Roman'" w:cs="Titillium" w:ascii="Titillium" w:hAnsi="Titillium"/>
          <w:sz w:val="20"/>
          <w:szCs w:val="20"/>
        </w:rPr>
        <w:t>ó</w:t>
      </w:r>
      <w:r>
        <w:rPr>
          <w:rFonts w:eastAsia="Times-Roman, 'Times New Roman'" w:ascii="Titillium" w:hAnsi="Titillium"/>
          <w:sz w:val="20"/>
          <w:szCs w:val="20"/>
        </w:rPr>
        <w:t xml:space="preserve">rych </w:t>
      </w:r>
      <w:r>
        <w:rPr>
          <w:rFonts w:cs="Arial" w:ascii="Titillium" w:hAnsi="Titillium"/>
          <w:sz w:val="20"/>
          <w:szCs w:val="20"/>
        </w:rPr>
        <w:t>mowa w ust. 12, innymi</w:t>
      </w:r>
      <w:r>
        <w:rPr>
          <w:rFonts w:eastAsia="Times-Roman, 'Times New Roman'" w:ascii="Titillium" w:hAnsi="Titillium"/>
          <w:sz w:val="20"/>
          <w:szCs w:val="20"/>
        </w:rPr>
        <w:t xml:space="preserve"> pracownikami, Wykonawca zobowiązany jest do przekazania Zamawiającemu nowego oświadczenia dotyczącego tych pracowników. Obowiązek ten Wykonawca zrealizuje w terminie do 5 dni od dokonania zmiany.</w:t>
      </w:r>
    </w:p>
    <w:p>
      <w:pPr>
        <w:pStyle w:val="Standard"/>
        <w:widowControl/>
        <w:numPr>
          <w:ilvl w:val="0"/>
          <w:numId w:val="10"/>
        </w:numPr>
        <w:suppressAutoHyphens w:val="true"/>
        <w:bidi w:val="0"/>
        <w:spacing w:lineRule="auto" w:line="276" w:before="0" w:after="0"/>
        <w:ind w:hanging="454" w:left="397" w:right="0"/>
        <w:jc w:val="both"/>
        <w:textAlignment w:val="baseline"/>
        <w:rPr>
          <w:rFonts w:ascii="Titillium" w:hAnsi="Titillium"/>
          <w:sz w:val="20"/>
          <w:szCs w:val="20"/>
        </w:rPr>
      </w:pPr>
      <w:r>
        <w:rPr>
          <w:rFonts w:cs="Arial" w:ascii="Titillium" w:hAnsi="Titillium"/>
          <w:sz w:val="20"/>
          <w:szCs w:val="20"/>
        </w:rPr>
        <w:t xml:space="preserve">W trakcie realizacji zamówienia Zamawiający uprawniony jest do wykonywania czynności kontrolnych </w:t>
      </w:r>
      <w:r>
        <w:rPr>
          <w:rFonts w:cs="Arial" w:ascii="Titillium" w:hAnsi="Titillium"/>
          <w:color w:val="000000"/>
          <w:sz w:val="20"/>
          <w:szCs w:val="20"/>
        </w:rPr>
        <w:t>wobec Wykonawcy odnośnie</w:t>
      </w:r>
      <w:r>
        <w:rPr>
          <w:rFonts w:cs="Arial" w:ascii="Titillium" w:hAnsi="Titillium"/>
          <w:sz w:val="20"/>
          <w:szCs w:val="20"/>
        </w:rPr>
        <w:t xml:space="preserve"> spełniania przez Wykonawcę lub podwykonawcę wymogu zatrudnienia na podstawie umowy o pracę osób wykonujących wskazane w ust. 12 czynności. Zamawiający uprawniony jest w szczególności do: 1) żądania oświadczeń i dokumentów w zakresie potwierdzenia spełniania ww. wymogów i</w:t>
      </w:r>
      <w:r>
        <w:rPr>
          <w:rFonts w:cs="Calibri" w:ascii="Titillium" w:hAnsi="Titillium"/>
          <w:sz w:val="20"/>
          <w:szCs w:val="20"/>
        </w:rPr>
        <w:t> </w:t>
      </w:r>
      <w:r>
        <w:rPr>
          <w:rFonts w:cs="Arial" w:ascii="Titillium" w:hAnsi="Titillium"/>
          <w:sz w:val="20"/>
          <w:szCs w:val="20"/>
        </w:rPr>
        <w:t>dokonywania ich oceny, w szczeg</w:t>
      </w:r>
      <w:r>
        <w:rPr>
          <w:rFonts w:cs="Titillium" w:ascii="Titillium" w:hAnsi="Titillium"/>
          <w:sz w:val="20"/>
          <w:szCs w:val="20"/>
        </w:rPr>
        <w:t>ó</w:t>
      </w:r>
      <w:r>
        <w:rPr>
          <w:rFonts w:cs="Arial" w:ascii="Titillium" w:hAnsi="Titillium"/>
          <w:sz w:val="20"/>
          <w:szCs w:val="20"/>
        </w:rPr>
        <w:t>lno</w:t>
      </w:r>
      <w:r>
        <w:rPr>
          <w:rFonts w:cs="Titillium" w:ascii="Titillium" w:hAnsi="Titillium"/>
          <w:sz w:val="20"/>
          <w:szCs w:val="20"/>
        </w:rPr>
        <w:t>ś</w:t>
      </w:r>
      <w:r>
        <w:rPr>
          <w:rFonts w:cs="Arial" w:ascii="Titillium" w:hAnsi="Titillium"/>
          <w:sz w:val="20"/>
          <w:szCs w:val="20"/>
        </w:rPr>
        <w:t>ci dokument</w:t>
      </w:r>
      <w:r>
        <w:rPr>
          <w:rFonts w:cs="Titillium" w:ascii="Titillium" w:hAnsi="Titillium"/>
          <w:sz w:val="20"/>
          <w:szCs w:val="20"/>
        </w:rPr>
        <w:t>ó</w:t>
      </w:r>
      <w:r>
        <w:rPr>
          <w:rFonts w:cs="Arial" w:ascii="Titillium" w:hAnsi="Titillium"/>
          <w:sz w:val="20"/>
          <w:szCs w:val="20"/>
        </w:rPr>
        <w:t>w okre</w:t>
      </w:r>
      <w:r>
        <w:rPr>
          <w:rFonts w:cs="Titillium" w:ascii="Titillium" w:hAnsi="Titillium"/>
          <w:sz w:val="20"/>
          <w:szCs w:val="20"/>
        </w:rPr>
        <w:t>ś</w:t>
      </w:r>
      <w:r>
        <w:rPr>
          <w:rFonts w:cs="Arial" w:ascii="Titillium" w:hAnsi="Titillium"/>
          <w:sz w:val="20"/>
          <w:szCs w:val="20"/>
        </w:rPr>
        <w:t xml:space="preserve">lonych w art. 438 ust. 2 ustawy Pzp, 2) żądania wyjaśnień w przypadku wątpliwości w zakresie potwierdzenia spełniania ww. wymogów, 3) </w:t>
      </w:r>
      <w:r>
        <w:rPr>
          <w:rFonts w:eastAsia="Times-Roman, 'Times New Roman'" w:cs="Arial" w:ascii="Titillium" w:hAnsi="Titillium"/>
          <w:sz w:val="20"/>
          <w:szCs w:val="20"/>
        </w:rPr>
        <w:t>przeprowadzania kontroli na miejscu wykonywania świadczenia.</w:t>
      </w:r>
    </w:p>
    <w:p>
      <w:pPr>
        <w:pStyle w:val="Standard"/>
        <w:widowControl/>
        <w:numPr>
          <w:ilvl w:val="0"/>
          <w:numId w:val="10"/>
        </w:numPr>
        <w:tabs>
          <w:tab w:val="clear" w:pos="720"/>
          <w:tab w:val="left" w:pos="450" w:leader="none"/>
        </w:tabs>
        <w:suppressAutoHyphens w:val="true"/>
        <w:bidi w:val="0"/>
        <w:spacing w:lineRule="auto" w:line="276" w:before="0" w:after="0"/>
        <w:ind w:hanging="454" w:left="397" w:right="0"/>
        <w:jc w:val="both"/>
        <w:textAlignment w:val="baseline"/>
        <w:rPr/>
      </w:pPr>
      <w:r>
        <w:rPr>
          <w:rFonts w:eastAsia="Times-Roman, 'Times New Roman'" w:cs="Arial" w:ascii="Titillium" w:hAnsi="Titillium"/>
          <w:sz w:val="20"/>
          <w:szCs w:val="20"/>
        </w:rPr>
        <w:t xml:space="preserve">Sankcje </w:t>
      </w:r>
      <w:r>
        <w:rPr>
          <w:rStyle w:val="StrongEmphasis"/>
          <w:rFonts w:eastAsia="Times-Roman, 'Times New Roman'" w:cs="Arial" w:ascii="Titillium" w:hAnsi="Titillium"/>
          <w:b w:val="false"/>
          <w:bCs w:val="false"/>
          <w:color w:val="000000"/>
          <w:sz w:val="20"/>
          <w:szCs w:val="20"/>
          <w:lang w:eastAsia="pl-PL"/>
        </w:rPr>
        <w:t xml:space="preserve"> z tytułu niedochowania obowiązków związanych z przedłożeniem oświadczenia dotyczącego zatrudnienia określają projekty umów. </w:t>
      </w:r>
    </w:p>
    <w:p>
      <w:pPr>
        <w:pStyle w:val="Standard"/>
        <w:widowControl/>
        <w:numPr>
          <w:ilvl w:val="0"/>
          <w:numId w:val="10"/>
        </w:numPr>
        <w:tabs>
          <w:tab w:val="clear" w:pos="720"/>
          <w:tab w:val="left" w:pos="450" w:leader="none"/>
        </w:tabs>
        <w:suppressAutoHyphens w:val="true"/>
        <w:bidi w:val="0"/>
        <w:spacing w:lineRule="auto" w:line="276" w:before="0" w:after="0"/>
        <w:ind w:hanging="454" w:left="397" w:right="0"/>
        <w:jc w:val="both"/>
        <w:textAlignment w:val="baseline"/>
        <w:rPr/>
      </w:pPr>
      <w:r>
        <w:rPr>
          <w:rStyle w:val="StrongEmphasis"/>
          <w:rFonts w:eastAsia="Times-Roman, 'Times New Roman'" w:cs="Arial" w:ascii="Titillium" w:hAnsi="Titillium"/>
          <w:b w:val="false"/>
          <w:bCs w:val="false"/>
          <w:color w:val="000000"/>
          <w:sz w:val="20"/>
          <w:szCs w:val="20"/>
          <w:lang w:eastAsia="pl-PL"/>
        </w:rPr>
        <w:t>C</w:t>
      </w:r>
      <w:r>
        <w:rPr>
          <w:rStyle w:val="StrongEmphasis"/>
          <w:rFonts w:eastAsia="Times-Roman, 'Times New Roman'" w:ascii="Titillium" w:hAnsi="Titillium"/>
          <w:b w:val="false"/>
          <w:bCs w:val="false"/>
          <w:sz w:val="20"/>
          <w:szCs w:val="20"/>
        </w:rPr>
        <w:t>zynności wykonywane przez projektantów ora</w:t>
      </w:r>
      <w:r>
        <w:rPr>
          <w:rStyle w:val="StrongEmphasis"/>
          <w:rFonts w:eastAsia="Times-Roman, 'Times New Roman'" w:ascii="Titillium" w:hAnsi="Titillium"/>
          <w:b w:val="false"/>
          <w:bCs w:val="false"/>
          <w:strike w:val="false"/>
          <w:dstrike w:val="false"/>
          <w:sz w:val="20"/>
          <w:szCs w:val="20"/>
        </w:rPr>
        <w:t xml:space="preserve">z </w:t>
      </w:r>
      <w:r>
        <w:rPr>
          <w:rStyle w:val="StrongEmphasis"/>
          <w:rFonts w:eastAsia="Times-Roman, 'Times New Roman'" w:ascii="Titillium" w:hAnsi="Titillium"/>
          <w:b w:val="false"/>
          <w:bCs w:val="false"/>
          <w:sz w:val="20"/>
          <w:szCs w:val="20"/>
        </w:rPr>
        <w:t>kierowników robót tj. osób pełniących samodzielne funkcje techniczne w budownictwie w rozumieniu ustawy z dnia 7</w:t>
      </w:r>
      <w:r>
        <w:rPr>
          <w:rStyle w:val="StrongEmphasis"/>
          <w:rFonts w:eastAsia="Times-Roman, 'Times New Roman'" w:cs="Calibri" w:ascii="Titillium" w:hAnsi="Titillium"/>
          <w:b w:val="false"/>
          <w:bCs w:val="false"/>
          <w:sz w:val="20"/>
          <w:szCs w:val="20"/>
        </w:rPr>
        <w:t> </w:t>
      </w:r>
      <w:r>
        <w:rPr>
          <w:rStyle w:val="StrongEmphasis"/>
          <w:rFonts w:eastAsia="Times-Roman, 'Times New Roman'" w:ascii="Titillium" w:hAnsi="Titillium"/>
          <w:b w:val="false"/>
          <w:bCs w:val="false"/>
          <w:sz w:val="20"/>
          <w:szCs w:val="20"/>
        </w:rPr>
        <w:t>lipca</w:t>
      </w:r>
      <w:r>
        <w:rPr>
          <w:rStyle w:val="StrongEmphasis"/>
          <w:rFonts w:eastAsia="Times-Roman, 'Times New Roman'" w:cs="Calibri" w:ascii="Titillium" w:hAnsi="Titillium"/>
          <w:b w:val="false"/>
          <w:bCs w:val="false"/>
          <w:sz w:val="20"/>
          <w:szCs w:val="20"/>
        </w:rPr>
        <w:t> </w:t>
      </w:r>
      <w:r>
        <w:rPr>
          <w:rStyle w:val="StrongEmphasis"/>
          <w:rFonts w:eastAsia="Times-Roman, 'Times New Roman'" w:ascii="Titillium" w:hAnsi="Titillium"/>
          <w:b w:val="false"/>
          <w:bCs w:val="false"/>
          <w:sz w:val="20"/>
          <w:szCs w:val="20"/>
        </w:rPr>
        <w:t>1994</w:t>
      </w:r>
      <w:r>
        <w:rPr>
          <w:rStyle w:val="StrongEmphasis"/>
          <w:rFonts w:eastAsia="Times-Roman, 'Times New Roman'" w:cs="Calibri" w:ascii="Titillium" w:hAnsi="Titillium"/>
          <w:b w:val="false"/>
          <w:bCs w:val="false"/>
          <w:sz w:val="20"/>
          <w:szCs w:val="20"/>
        </w:rPr>
        <w:t> </w:t>
      </w:r>
      <w:r>
        <w:rPr>
          <w:rStyle w:val="StrongEmphasis"/>
          <w:rFonts w:eastAsia="Times-Roman, 'Times New Roman'" w:ascii="Titillium" w:hAnsi="Titillium"/>
          <w:b w:val="false"/>
          <w:bCs w:val="false"/>
          <w:sz w:val="20"/>
          <w:szCs w:val="20"/>
        </w:rPr>
        <w:t xml:space="preserve">r. Prawo budowlane           (t. j. Dz. U. z 2024 r. poz. 725), zasadniczo nie polegają na wykonywaniu pracy w rozumieniu Kodeksu pracy.  </w:t>
      </w:r>
    </w:p>
    <w:p>
      <w:pPr>
        <w:pStyle w:val="Standard"/>
        <w:widowControl/>
        <w:numPr>
          <w:ilvl w:val="0"/>
          <w:numId w:val="0"/>
        </w:numPr>
        <w:tabs>
          <w:tab w:val="clear" w:pos="720"/>
          <w:tab w:val="left" w:pos="450" w:leader="none"/>
        </w:tabs>
        <w:suppressAutoHyphens w:val="true"/>
        <w:bidi w:val="0"/>
        <w:spacing w:lineRule="auto" w:line="276" w:before="0" w:after="0"/>
        <w:ind w:hanging="0" w:left="397" w:right="0"/>
        <w:jc w:val="both"/>
        <w:textAlignment w:val="baseline"/>
        <w:rPr>
          <w:rStyle w:val="StrongEmphasis"/>
          <w:rFonts w:ascii="Titillium" w:hAnsi="Titillium" w:eastAsia="Times-Roman, 'Times New Roman'"/>
          <w:b w:val="false"/>
          <w:bCs w:val="false"/>
          <w:sz w:val="20"/>
          <w:szCs w:val="20"/>
        </w:rPr>
      </w:pPr>
      <w:r>
        <w:rPr>
          <w:rFonts w:eastAsia="Times-Roman, 'Times New Roman'" w:ascii="Titillium" w:hAnsi="Titillium"/>
          <w:b w:val="false"/>
          <w:bCs w:val="false"/>
          <w:sz w:val="20"/>
          <w:szCs w:val="20"/>
        </w:rPr>
      </w:r>
    </w:p>
    <w:p>
      <w:pPr>
        <w:pStyle w:val="Standard"/>
        <w:widowControl/>
        <w:numPr>
          <w:ilvl w:val="0"/>
          <w:numId w:val="10"/>
        </w:numPr>
        <w:tabs>
          <w:tab w:val="clear" w:pos="720"/>
          <w:tab w:val="left" w:pos="279" w:leader="none"/>
        </w:tabs>
        <w:suppressAutoHyphens w:val="true"/>
        <w:bidi w:val="0"/>
        <w:spacing w:lineRule="auto" w:line="276" w:before="0" w:after="0"/>
        <w:ind w:hanging="454" w:left="397" w:right="0"/>
        <w:jc w:val="both"/>
        <w:textAlignment w:val="baseline"/>
        <w:rPr>
          <w:rFonts w:ascii="Titillium" w:hAnsi="Titillium"/>
          <w:sz w:val="20"/>
          <w:szCs w:val="20"/>
        </w:rPr>
      </w:pPr>
      <w:r>
        <w:rPr>
          <w:rFonts w:eastAsia="Times-Roman, 'Times New Roman'" w:cs="Arial" w:ascii="Titillium" w:hAnsi="Titillium"/>
          <w:b/>
          <w:bCs/>
          <w:color w:val="000000"/>
          <w:sz w:val="20"/>
          <w:szCs w:val="20"/>
          <w:u w:val="single"/>
          <w:lang w:eastAsia="pl-PL"/>
        </w:rPr>
        <w:t>Wymogi dotyczące dostępności zgodnie z art. 100 ust 1 ustawy Pzp</w:t>
      </w:r>
    </w:p>
    <w:p>
      <w:pPr>
        <w:pStyle w:val="Standard"/>
        <w:widowControl/>
        <w:numPr>
          <w:ilvl w:val="0"/>
          <w:numId w:val="0"/>
        </w:numPr>
        <w:tabs>
          <w:tab w:val="clear" w:pos="720"/>
          <w:tab w:val="left" w:pos="279" w:leader="none"/>
        </w:tabs>
        <w:suppressAutoHyphens w:val="true"/>
        <w:bidi w:val="0"/>
        <w:spacing w:lineRule="auto" w:line="276" w:before="0" w:after="0"/>
        <w:ind w:hanging="0" w:left="397" w:right="0"/>
        <w:jc w:val="both"/>
        <w:textAlignment w:val="baseline"/>
        <w:rPr>
          <w:rFonts w:ascii="Titillium" w:hAnsi="Titillium"/>
          <w:sz w:val="20"/>
          <w:szCs w:val="20"/>
        </w:rPr>
      </w:pPr>
      <w:r>
        <w:rPr>
          <w:rFonts w:ascii="Titillium" w:hAnsi="Titillium"/>
          <w:sz w:val="20"/>
          <w:szCs w:val="20"/>
        </w:rPr>
      </w:r>
    </w:p>
    <w:p>
      <w:pPr>
        <w:pStyle w:val="Standard"/>
        <w:widowControl/>
        <w:numPr>
          <w:ilvl w:val="0"/>
          <w:numId w:val="0"/>
        </w:numPr>
        <w:tabs>
          <w:tab w:val="clear" w:pos="720"/>
          <w:tab w:val="left" w:pos="279" w:leader="none"/>
        </w:tabs>
        <w:suppressAutoHyphens w:val="true"/>
        <w:bidi w:val="0"/>
        <w:spacing w:lineRule="auto" w:line="276" w:before="0" w:after="0"/>
        <w:ind w:hanging="0" w:left="283" w:right="0"/>
        <w:jc w:val="both"/>
        <w:textAlignment w:val="baseline"/>
        <w:rPr/>
      </w:pPr>
      <w:r>
        <w:rPr>
          <w:rStyle w:val="StrongEmphasis"/>
          <w:rFonts w:eastAsia="Times-Roman, 'Times New Roman'" w:ascii="Titillium" w:hAnsi="Titillium"/>
          <w:b w:val="false"/>
          <w:bCs w:val="false"/>
          <w:sz w:val="20"/>
          <w:szCs w:val="20"/>
        </w:rPr>
        <w:t>Stosownie do postanowień zawartych w przepisie art. 100 ust. 1 ustawy Pzp Zamawiający określa następujące aspekty w zakresie realizacji zamówienia odnośnie dostępności dla osób niepełnosprawnych oraz projektowania z przeznaczeniem dla wszystkich użytkowników</w:t>
      </w:r>
      <w:bookmarkStart w:id="4" w:name="_Hlk163119421"/>
      <w:r>
        <w:rPr>
          <w:rStyle w:val="StrongEmphasis"/>
          <w:rFonts w:eastAsia="Times-Roman, 'Times New Roman'" w:ascii="Titillium" w:hAnsi="Titillium"/>
          <w:b w:val="false"/>
          <w:bCs w:val="false"/>
          <w:sz w:val="20"/>
          <w:szCs w:val="20"/>
        </w:rPr>
        <w:t>: tj. obniżenie krawężników na wjazdach na posesje</w:t>
      </w:r>
      <w:bookmarkEnd w:id="4"/>
      <w:r>
        <w:rPr>
          <w:rStyle w:val="StrongEmphasis"/>
          <w:rFonts w:eastAsia="Times-Roman, 'Times New Roman'" w:ascii="Titillium" w:hAnsi="Titillium"/>
          <w:b w:val="false"/>
          <w:bCs w:val="false"/>
          <w:sz w:val="20"/>
          <w:szCs w:val="20"/>
        </w:rPr>
        <w:t xml:space="preserve"> oraz zastosowanie krawężników bez wyniesienia na przejściu dla pieszych i przejazdach dla rowerzystów – </w:t>
      </w:r>
      <w:r>
        <w:rPr>
          <w:rStyle w:val="StrongEmphasis"/>
          <w:rFonts w:eastAsia="Times-Roman, 'Times New Roman'" w:ascii="Titillium" w:hAnsi="Titillium"/>
          <w:b/>
          <w:bCs/>
          <w:sz w:val="20"/>
          <w:szCs w:val="20"/>
        </w:rPr>
        <w:t xml:space="preserve">wyłącznie dla zadania 2. </w:t>
      </w:r>
    </w:p>
    <w:p>
      <w:pPr>
        <w:pStyle w:val="Standard"/>
        <w:widowControl/>
        <w:numPr>
          <w:ilvl w:val="0"/>
          <w:numId w:val="0"/>
        </w:numPr>
        <w:tabs>
          <w:tab w:val="clear" w:pos="720"/>
          <w:tab w:val="left" w:pos="279" w:leader="none"/>
        </w:tabs>
        <w:suppressAutoHyphens w:val="true"/>
        <w:bidi w:val="0"/>
        <w:spacing w:lineRule="auto" w:line="276" w:before="0" w:after="0"/>
        <w:ind w:hanging="0" w:left="283" w:right="0"/>
        <w:jc w:val="both"/>
        <w:textAlignment w:val="baseline"/>
        <w:rPr>
          <w:rStyle w:val="StrongEmphasis"/>
          <w:rFonts w:ascii="Titillium" w:hAnsi="Titillium" w:eastAsia="Times-Roman, 'Times New Roman'"/>
          <w:b w:val="false"/>
          <w:bCs w:val="false"/>
          <w:sz w:val="20"/>
          <w:szCs w:val="20"/>
        </w:rPr>
      </w:pPr>
      <w:r>
        <w:rPr>
          <w:rFonts w:eastAsia="Times-Roman, 'Times New Roman'" w:ascii="Titillium" w:hAnsi="Titillium"/>
          <w:b w:val="false"/>
          <w:bCs w:val="false"/>
          <w:sz w:val="20"/>
          <w:szCs w:val="20"/>
        </w:rPr>
      </w:r>
    </w:p>
    <w:p>
      <w:pPr>
        <w:pStyle w:val="Standard"/>
        <w:widowControl/>
        <w:numPr>
          <w:ilvl w:val="0"/>
          <w:numId w:val="10"/>
        </w:numPr>
        <w:tabs>
          <w:tab w:val="clear" w:pos="720"/>
          <w:tab w:val="left" w:pos="279" w:leader="none"/>
        </w:tabs>
        <w:suppressAutoHyphens w:val="true"/>
        <w:bidi w:val="0"/>
        <w:spacing w:lineRule="auto" w:line="276" w:before="0" w:after="0"/>
        <w:ind w:hanging="454" w:left="283" w:right="0"/>
        <w:jc w:val="both"/>
        <w:textAlignment w:val="baseline"/>
        <w:rPr/>
      </w:pPr>
      <w:r>
        <w:rPr>
          <w:rStyle w:val="StrongEmphasis"/>
          <w:rFonts w:eastAsia="Times-Roman, 'Times New Roman'" w:cs="Arial" w:ascii="Titillium" w:hAnsi="Titillium"/>
          <w:b/>
          <w:bCs/>
          <w:color w:val="000000"/>
          <w:sz w:val="20"/>
          <w:szCs w:val="20"/>
          <w:u w:val="single"/>
        </w:rPr>
        <w:t>T</w:t>
      </w:r>
      <w:r>
        <w:rPr>
          <w:rStyle w:val="StrongEmphasis"/>
          <w:rFonts w:eastAsia="Times-Roman, 'Times New Roman'" w:ascii="Titillium" w:hAnsi="Titillium"/>
          <w:b/>
          <w:bCs/>
          <w:sz w:val="20"/>
          <w:szCs w:val="20"/>
          <w:u w:val="single"/>
        </w:rPr>
        <w:t>ermin wykonania zamówienia</w:t>
      </w:r>
    </w:p>
    <w:p>
      <w:pPr>
        <w:pStyle w:val="Standard"/>
        <w:tabs>
          <w:tab w:val="clear" w:pos="720"/>
          <w:tab w:val="left" w:pos="1135" w:leader="none"/>
        </w:tabs>
        <w:spacing w:lineRule="auto" w:line="276"/>
        <w:ind w:hanging="0" w:left="567"/>
        <w:jc w:val="both"/>
        <w:rPr>
          <w:b/>
          <w:bCs/>
          <w:u w:val="single"/>
        </w:rPr>
      </w:pPr>
      <w:r>
        <w:rPr>
          <w:b/>
          <w:bCs/>
          <w:u w:val="single"/>
        </w:rPr>
      </w:r>
    </w:p>
    <w:p>
      <w:pPr>
        <w:pStyle w:val="Standard"/>
        <w:widowControl/>
        <w:numPr>
          <w:ilvl w:val="0"/>
          <w:numId w:val="0"/>
        </w:numPr>
        <w:suppressAutoHyphens w:val="true"/>
        <w:bidi w:val="0"/>
        <w:spacing w:lineRule="auto" w:line="276" w:before="0" w:after="0"/>
        <w:ind w:hanging="0" w:left="0" w:right="0"/>
        <w:jc w:val="both"/>
        <w:textAlignment w:val="baseline"/>
        <w:rPr>
          <w:rFonts w:ascii="Titillium" w:hAnsi="Titillium"/>
        </w:rPr>
      </w:pPr>
      <w:r>
        <w:rPr>
          <w:rFonts w:cs="Arial" w:ascii="Titillium" w:hAnsi="Titillium"/>
        </w:rPr>
        <w:t>Przedmiot zamówienia należy wykonać w następujących terminach:</w:t>
      </w:r>
    </w:p>
    <w:p>
      <w:pPr>
        <w:pStyle w:val="Standard"/>
        <w:widowControl/>
        <w:numPr>
          <w:ilvl w:val="0"/>
          <w:numId w:val="47"/>
        </w:numPr>
        <w:tabs>
          <w:tab w:val="clear" w:pos="720"/>
          <w:tab w:val="left" w:pos="458" w:leader="none"/>
        </w:tabs>
        <w:suppressAutoHyphens w:val="true"/>
        <w:bidi w:val="0"/>
        <w:spacing w:lineRule="auto" w:line="276" w:before="0" w:after="0"/>
        <w:ind w:hanging="0" w:left="0" w:right="0"/>
        <w:jc w:val="both"/>
        <w:textAlignment w:val="baseline"/>
        <w:rPr>
          <w:rFonts w:ascii="Titillium" w:hAnsi="Titillium"/>
        </w:rPr>
      </w:pPr>
      <w:r>
        <w:rPr>
          <w:rFonts w:cs="Arial" w:ascii="Titillium" w:hAnsi="Titillium"/>
        </w:rPr>
        <w:t>dla zadania nr 1</w:t>
      </w:r>
      <w:r>
        <w:rPr>
          <w:rFonts w:cs="Arial" w:ascii="Titillium" w:hAnsi="Titillium"/>
          <w:b/>
          <w:bCs/>
        </w:rPr>
        <w:t xml:space="preserve"> do</w:t>
      </w:r>
      <w:r>
        <w:rPr>
          <w:rFonts w:cs="Arial" w:ascii="Titillium" w:hAnsi="Titillium"/>
        </w:rPr>
        <w:t xml:space="preserve"> </w:t>
      </w:r>
      <w:r>
        <w:rPr>
          <w:rFonts w:cs="Arial" w:ascii="Titillium" w:hAnsi="Titillium"/>
          <w:b/>
          <w:bCs/>
        </w:rPr>
        <w:t xml:space="preserve">15 miesięcy od dnia podpisania umowy, w tym do 8 miesięcy od dnia </w:t>
        <w:tab/>
        <w:t xml:space="preserve">podpisania umowy </w:t>
        <w:tab/>
        <w:t>należy  opracować dokumentację projektową,</w:t>
        <w:tab/>
      </w:r>
    </w:p>
    <w:p>
      <w:pPr>
        <w:pStyle w:val="Standard"/>
        <w:widowControl/>
        <w:numPr>
          <w:ilvl w:val="0"/>
          <w:numId w:val="47"/>
        </w:numPr>
        <w:tabs>
          <w:tab w:val="clear" w:pos="720"/>
          <w:tab w:val="left" w:pos="458" w:leader="none"/>
        </w:tabs>
        <w:suppressAutoHyphens w:val="true"/>
        <w:bidi w:val="0"/>
        <w:spacing w:lineRule="auto" w:line="276" w:before="0" w:after="0"/>
        <w:ind w:hanging="0" w:left="0" w:right="0"/>
        <w:jc w:val="both"/>
        <w:textAlignment w:val="baseline"/>
        <w:rPr>
          <w:rFonts w:ascii="Titillium" w:hAnsi="Titillium"/>
        </w:rPr>
      </w:pPr>
      <w:r>
        <w:rPr>
          <w:rFonts w:cs="Arial" w:ascii="Titillium" w:hAnsi="Titillium"/>
        </w:rPr>
        <w:t xml:space="preserve">dla zadania nr 2 – </w:t>
      </w:r>
      <w:r>
        <w:rPr>
          <w:rFonts w:cs="Arial" w:ascii="Titillium" w:hAnsi="Titillium"/>
          <w:b/>
          <w:bCs/>
        </w:rPr>
        <w:t>do  9 miesięcy od dnia podpisania umowy.</w:t>
      </w:r>
    </w:p>
    <w:p>
      <w:pPr>
        <w:pStyle w:val="Standard"/>
        <w:tabs>
          <w:tab w:val="clear" w:pos="720"/>
          <w:tab w:val="left" w:pos="1134" w:leader="none"/>
          <w:tab w:val="left" w:pos="1135" w:leader="none"/>
        </w:tabs>
        <w:spacing w:lineRule="auto" w:line="276"/>
        <w:ind w:hanging="567" w:left="567"/>
        <w:jc w:val="both"/>
        <w:rPr>
          <w:rFonts w:ascii="Titillium" w:hAnsi="Titillium"/>
        </w:rPr>
      </w:pPr>
      <w:r>
        <w:rPr>
          <w:rFonts w:ascii="Titillium" w:hAnsi="Titillium"/>
        </w:rPr>
      </w:r>
    </w:p>
    <w:p>
      <w:pPr>
        <w:pStyle w:val="Heading1"/>
        <w:numPr>
          <w:ilvl w:val="0"/>
          <w:numId w:val="46"/>
        </w:numPr>
        <w:jc w:val="both"/>
        <w:rPr>
          <w:rFonts w:ascii="Titillium" w:hAnsi="Titillium"/>
        </w:rPr>
      </w:pPr>
      <w:r>
        <w:rPr>
          <w:rFonts w:ascii="Titillium" w:hAnsi="Titillium"/>
        </w:rPr>
        <w:t>Zasady kwalifikacji podmiotowej Wykonawców - Informacja na temat podstaw wykluczenia z art.108 ust. 1 Pzp oraz art. 7 ust. 1 ustawy z</w:t>
      </w:r>
      <w:r>
        <w:rPr>
          <w:rFonts w:cs="Calibri" w:ascii="Titillium" w:hAnsi="Titillium"/>
        </w:rPr>
        <w:t> </w:t>
      </w:r>
      <w:r>
        <w:rPr>
          <w:rFonts w:ascii="Titillium" w:hAnsi="Titillium"/>
        </w:rPr>
        <w:t>dnia 13</w:t>
      </w:r>
      <w:r>
        <w:rPr>
          <w:rFonts w:cs="Calibri" w:ascii="Titillium" w:hAnsi="Titillium"/>
        </w:rPr>
        <w:t> </w:t>
      </w:r>
      <w:r>
        <w:rPr>
          <w:rFonts w:ascii="Titillium" w:hAnsi="Titillium"/>
        </w:rPr>
        <w:t>kwietnia 2022 r. o szczególnych rozwiązaniach w zakresie przeciwdziałania wspieraniu agresji na Ukrainę oraz służących ochronie bezpieczeństwa narodowego (t. j. Dz. U. z 2024 r. poz. 340 ze zm.)</w:t>
      </w:r>
    </w:p>
    <w:p>
      <w:pPr>
        <w:pStyle w:val="Standard"/>
        <w:jc w:val="both"/>
        <w:rPr>
          <w:rFonts w:ascii="Titillium" w:hAnsi="Titillium"/>
        </w:rPr>
      </w:pPr>
      <w:r>
        <w:rPr>
          <w:rFonts w:ascii="Titillium" w:hAnsi="Titillium"/>
        </w:rPr>
      </w:r>
    </w:p>
    <w:p>
      <w:pPr>
        <w:pStyle w:val="Standard"/>
        <w:numPr>
          <w:ilvl w:val="0"/>
          <w:numId w:val="11"/>
        </w:numPr>
        <w:spacing w:lineRule="auto" w:line="276"/>
        <w:ind w:hanging="567" w:left="567"/>
        <w:jc w:val="both"/>
        <w:rPr>
          <w:rFonts w:ascii="Titillium" w:hAnsi="Titillium"/>
        </w:rPr>
      </w:pPr>
      <w:r>
        <w:rPr>
          <w:rFonts w:ascii="Titillium" w:hAnsi="Titillium"/>
          <w:bCs/>
          <w:color w:val="000000"/>
        </w:rPr>
        <w:t>O udzielenie zamówienia mogą ubiegać się Wykonawcy, którzy nie podlegają wykluczeniu z</w:t>
      </w:r>
      <w:r>
        <w:rPr>
          <w:rFonts w:cs="Calibri" w:ascii="Titillium" w:hAnsi="Titillium"/>
          <w:bCs/>
          <w:color w:val="000000"/>
        </w:rPr>
        <w:t> </w:t>
      </w:r>
      <w:r>
        <w:rPr>
          <w:rFonts w:ascii="Titillium" w:hAnsi="Titillium"/>
          <w:bCs/>
          <w:color w:val="000000"/>
        </w:rPr>
        <w:t>postępowania na podstawie przepisu art. 108 ust. 1 ustawy Pzp (przesłanki obligatoryjne)</w:t>
      </w:r>
    </w:p>
    <w:p>
      <w:pPr>
        <w:pStyle w:val="Standard"/>
        <w:spacing w:lineRule="auto" w:line="276"/>
        <w:jc w:val="both"/>
        <w:rPr>
          <w:rFonts w:ascii="Titillium" w:hAnsi="Titillium"/>
          <w:bCs/>
          <w:color w:val="000000"/>
        </w:rPr>
      </w:pPr>
      <w:r>
        <w:rPr>
          <w:rFonts w:ascii="Titillium" w:hAnsi="Titillium"/>
          <w:bCs/>
          <w:color w:val="000000"/>
        </w:rPr>
      </w:r>
    </w:p>
    <w:p>
      <w:pPr>
        <w:pStyle w:val="Standard"/>
        <w:tabs>
          <w:tab w:val="clear" w:pos="720"/>
          <w:tab w:val="left" w:pos="311" w:leader="none"/>
          <w:tab w:val="left" w:pos="396" w:leader="none"/>
        </w:tabs>
        <w:spacing w:lineRule="auto" w:line="276"/>
        <w:jc w:val="both"/>
        <w:rPr>
          <w:rFonts w:ascii="Titillium" w:hAnsi="Titillium"/>
        </w:rPr>
      </w:pPr>
      <w:r>
        <w:rPr>
          <w:rFonts w:ascii="Titillium" w:hAnsi="Titillium"/>
          <w:bCs/>
          <w:color w:val="000000"/>
        </w:rPr>
        <w:t>Art. 108 ust. 1 ustawy Pzp  stanowi:  Z postępowania o udzielenie zamówienia wyklucza się Wykonawcę:</w:t>
      </w:r>
    </w:p>
    <w:p>
      <w:pPr>
        <w:pStyle w:val="ListParagraph"/>
        <w:numPr>
          <w:ilvl w:val="0"/>
          <w:numId w:val="12"/>
        </w:numPr>
        <w:ind w:hanging="567" w:left="1134"/>
        <w:textAlignment w:val="auto"/>
        <w:rPr>
          <w:rFonts w:ascii="Titillium" w:hAnsi="Titillium"/>
        </w:rPr>
      </w:pPr>
      <w:r>
        <w:rPr>
          <w:rFonts w:ascii="Titillium" w:hAnsi="Titillium"/>
          <w:bCs/>
          <w:color w:val="000000"/>
          <w:sz w:val="20"/>
        </w:rPr>
        <w:t>będącego osobą fizyczną, którego prawomocnie skazano za przestępstwo:</w:t>
      </w:r>
    </w:p>
    <w:p>
      <w:pPr>
        <w:pStyle w:val="ListParagraph"/>
        <w:numPr>
          <w:ilvl w:val="0"/>
          <w:numId w:val="13"/>
        </w:numPr>
        <w:ind w:hanging="284" w:left="1418"/>
        <w:jc w:val="both"/>
        <w:textAlignment w:val="auto"/>
        <w:rPr/>
      </w:pPr>
      <w:r>
        <w:rPr>
          <w:rFonts w:ascii="Titillium" w:hAnsi="Titillium"/>
          <w:sz w:val="20"/>
        </w:rPr>
        <w:t>udziału w zorganizowanej grupie przestępczej albo związku mającym na celu popełnienie przestępstwa</w:t>
      </w:r>
      <w:r>
        <w:rPr>
          <w:rFonts w:ascii="Titillium" w:hAnsi="Titillium"/>
          <w:bCs/>
          <w:color w:val="000000"/>
          <w:sz w:val="20"/>
        </w:rPr>
        <w:t xml:space="preserve"> lub przestępstwa skarbowego, o którym mowa w </w:t>
      </w:r>
      <w:r>
        <w:fldChar w:fldCharType="begin"/>
      </w:r>
      <w:r>
        <w:rPr>
          <w:sz w:val="20"/>
          <w:bCs/>
          <w:rFonts w:ascii="Titillium" w:hAnsi="Titillium"/>
          <w:color w:val="000000"/>
        </w:rPr>
        <w:instrText xml:space="preserve"> HYPERLINK "https://sip.lex.pl/" \l "/document/16798683?unitId=art(258)&amp;cm=DOCUMENT"</w:instrText>
      </w:r>
      <w:r>
        <w:rPr>
          <w:sz w:val="20"/>
          <w:bCs/>
          <w:rFonts w:ascii="Titillium" w:hAnsi="Titillium"/>
          <w:color w:val="000000"/>
        </w:rPr>
        <w:fldChar w:fldCharType="separate"/>
      </w:r>
      <w:r>
        <w:rPr>
          <w:rFonts w:ascii="Titillium" w:hAnsi="Titillium"/>
          <w:bCs/>
          <w:color w:val="000000"/>
          <w:sz w:val="20"/>
        </w:rPr>
        <w:t>art. 258</w:t>
      </w:r>
      <w:r>
        <w:rPr>
          <w:sz w:val="20"/>
          <w:bCs/>
          <w:rFonts w:ascii="Titillium" w:hAnsi="Titillium"/>
          <w:color w:val="000000"/>
        </w:rPr>
        <w:fldChar w:fldCharType="end"/>
      </w:r>
      <w:r>
        <w:rPr>
          <w:rFonts w:ascii="Titillium" w:hAnsi="Titillium"/>
          <w:bCs/>
          <w:color w:val="000000"/>
          <w:sz w:val="20"/>
        </w:rPr>
        <w:t xml:space="preserve"> Kodeksu karnego,</w:t>
      </w:r>
    </w:p>
    <w:p>
      <w:pPr>
        <w:pStyle w:val="ListParagraph"/>
        <w:numPr>
          <w:ilvl w:val="0"/>
          <w:numId w:val="13"/>
        </w:numPr>
        <w:ind w:hanging="284" w:left="1418"/>
        <w:jc w:val="both"/>
        <w:textAlignment w:val="auto"/>
        <w:rPr/>
      </w:pPr>
      <w:r>
        <w:rPr>
          <w:rFonts w:ascii="Titillium" w:hAnsi="Titillium"/>
          <w:bCs/>
          <w:color w:val="000000"/>
          <w:sz w:val="20"/>
        </w:rPr>
        <w:t xml:space="preserve">handlu ludźmi, o którym mowa w </w:t>
      </w:r>
      <w:r>
        <w:fldChar w:fldCharType="begin"/>
      </w:r>
      <w:r>
        <w:rPr>
          <w:sz w:val="20"/>
          <w:bCs/>
          <w:rFonts w:ascii="Titillium" w:hAnsi="Titillium"/>
          <w:color w:val="000000"/>
        </w:rPr>
        <w:instrText xml:space="preserve"> HYPERLINK "https://sip.lex.pl/" \l "/document/16798683?unitId=art(189(a))&amp;cm=DOCUMENT"</w:instrText>
      </w:r>
      <w:r>
        <w:rPr>
          <w:sz w:val="20"/>
          <w:bCs/>
          <w:rFonts w:ascii="Titillium" w:hAnsi="Titillium"/>
          <w:color w:val="000000"/>
        </w:rPr>
        <w:fldChar w:fldCharType="separate"/>
      </w:r>
      <w:r>
        <w:rPr>
          <w:rFonts w:ascii="Titillium" w:hAnsi="Titillium"/>
          <w:bCs/>
          <w:color w:val="000000"/>
          <w:sz w:val="20"/>
        </w:rPr>
        <w:t>art. 189a</w:t>
      </w:r>
      <w:r>
        <w:rPr>
          <w:sz w:val="20"/>
          <w:bCs/>
          <w:rFonts w:ascii="Titillium" w:hAnsi="Titillium"/>
          <w:color w:val="000000"/>
        </w:rPr>
        <w:fldChar w:fldCharType="end"/>
      </w:r>
      <w:r>
        <w:rPr>
          <w:rFonts w:ascii="Titillium" w:hAnsi="Titillium"/>
          <w:bCs/>
          <w:color w:val="000000"/>
          <w:sz w:val="20"/>
        </w:rPr>
        <w:t xml:space="preserve"> Kodeksu karnego,</w:t>
      </w:r>
    </w:p>
    <w:p>
      <w:pPr>
        <w:pStyle w:val="ListParagraph"/>
        <w:numPr>
          <w:ilvl w:val="0"/>
          <w:numId w:val="13"/>
        </w:numPr>
        <w:ind w:hanging="284" w:left="1418"/>
        <w:jc w:val="both"/>
        <w:textAlignment w:val="auto"/>
        <w:rPr/>
      </w:pPr>
      <w:r>
        <w:rPr>
          <w:rFonts w:ascii="Titillium" w:hAnsi="Titillium"/>
          <w:bCs/>
          <w:color w:val="000000"/>
          <w:sz w:val="20"/>
        </w:rPr>
        <w:t xml:space="preserve">o którym mowa w </w:t>
      </w:r>
      <w:r>
        <w:fldChar w:fldCharType="begin"/>
      </w:r>
      <w:r>
        <w:rPr>
          <w:sz w:val="20"/>
          <w:bCs/>
          <w:rFonts w:ascii="Titillium" w:hAnsi="Titillium"/>
          <w:color w:val="000000"/>
        </w:rPr>
        <w:instrText xml:space="preserve"> HYPERLINK "https://sip.lex.pl/" \l "/document/16798683?unitId=art(228)&amp;cm=DOCUMENT"</w:instrText>
      </w:r>
      <w:r>
        <w:rPr>
          <w:sz w:val="20"/>
          <w:bCs/>
          <w:rFonts w:ascii="Titillium" w:hAnsi="Titillium"/>
          <w:color w:val="000000"/>
        </w:rPr>
        <w:fldChar w:fldCharType="separate"/>
      </w:r>
      <w:r>
        <w:rPr>
          <w:rFonts w:ascii="Titillium" w:hAnsi="Titillium"/>
          <w:bCs/>
          <w:color w:val="000000"/>
          <w:sz w:val="20"/>
        </w:rPr>
        <w:t>art. 228-230a</w:t>
      </w:r>
      <w:r>
        <w:rPr>
          <w:sz w:val="20"/>
          <w:bCs/>
          <w:rFonts w:ascii="Titillium" w:hAnsi="Titillium"/>
          <w:color w:val="000000"/>
        </w:rPr>
        <w:fldChar w:fldCharType="end"/>
      </w:r>
      <w:r>
        <w:rPr>
          <w:rFonts w:ascii="Titillium" w:hAnsi="Titillium"/>
          <w:bCs/>
          <w:color w:val="000000"/>
          <w:sz w:val="20"/>
        </w:rPr>
        <w:t xml:space="preserve">, </w:t>
      </w:r>
      <w:r>
        <w:fldChar w:fldCharType="begin"/>
      </w:r>
      <w:r>
        <w:rPr>
          <w:sz w:val="20"/>
          <w:bCs/>
          <w:rFonts w:ascii="Titillium" w:hAnsi="Titillium"/>
          <w:color w:val="000000"/>
        </w:rPr>
        <w:instrText xml:space="preserve"> HYPERLINK "https://sip.lex.pl/" \l "/document/17631344?unitId=art(250(a))&amp;cm=DOCUMENT"</w:instrText>
      </w:r>
      <w:r>
        <w:rPr>
          <w:sz w:val="20"/>
          <w:bCs/>
          <w:rFonts w:ascii="Titillium" w:hAnsi="Titillium"/>
          <w:color w:val="000000"/>
        </w:rPr>
        <w:fldChar w:fldCharType="separate"/>
      </w:r>
      <w:r>
        <w:rPr>
          <w:rFonts w:ascii="Titillium" w:hAnsi="Titillium"/>
          <w:bCs/>
          <w:color w:val="000000"/>
          <w:sz w:val="20"/>
        </w:rPr>
        <w:t>art. 250a</w:t>
      </w:r>
      <w:r>
        <w:rPr>
          <w:sz w:val="20"/>
          <w:bCs/>
          <w:rFonts w:ascii="Titillium" w:hAnsi="Titillium"/>
          <w:color w:val="000000"/>
        </w:rPr>
        <w:fldChar w:fldCharType="end"/>
      </w:r>
      <w:r>
        <w:rPr>
          <w:rFonts w:ascii="Titillium" w:hAnsi="Titillium"/>
          <w:bCs/>
          <w:color w:val="000000"/>
          <w:sz w:val="20"/>
        </w:rPr>
        <w:t xml:space="preserve"> Kodeksu karnego, w </w:t>
      </w:r>
      <w:r>
        <w:fldChar w:fldCharType="begin"/>
      </w:r>
      <w:r>
        <w:rPr>
          <w:sz w:val="20"/>
          <w:bCs/>
          <w:rFonts w:ascii="Titillium" w:hAnsi="Titillium"/>
          <w:color w:val="000000"/>
        </w:rPr>
        <w:instrText xml:space="preserve"> HYPERLINK "https://sip.lex.pl/" \l "/document/17631344?unitId=art(46)&amp;cm=DOCUMENT"</w:instrText>
      </w:r>
      <w:r>
        <w:rPr>
          <w:sz w:val="20"/>
          <w:bCs/>
          <w:rFonts w:ascii="Titillium" w:hAnsi="Titillium"/>
          <w:color w:val="000000"/>
        </w:rPr>
        <w:fldChar w:fldCharType="separate"/>
      </w:r>
      <w:r>
        <w:rPr>
          <w:rFonts w:ascii="Titillium" w:hAnsi="Titillium"/>
          <w:bCs/>
          <w:color w:val="000000"/>
          <w:sz w:val="20"/>
        </w:rPr>
        <w:t>art. 46-48</w:t>
      </w:r>
      <w:r>
        <w:rPr>
          <w:sz w:val="20"/>
          <w:bCs/>
          <w:rFonts w:ascii="Titillium" w:hAnsi="Titillium"/>
          <w:color w:val="000000"/>
        </w:rPr>
        <w:fldChar w:fldCharType="end"/>
      </w:r>
      <w:r>
        <w:rPr>
          <w:rFonts w:ascii="Titillium" w:hAnsi="Titillium"/>
          <w:bCs/>
          <w:color w:val="000000"/>
          <w:sz w:val="20"/>
        </w:rPr>
        <w:t xml:space="preserve"> ustawy z dnia 25 czerwca 2010 r. o sporcie (Dz. U. z 2022 r. poz. 1599 i 2185) lub w </w:t>
      </w:r>
      <w:r>
        <w:fldChar w:fldCharType="begin"/>
      </w:r>
      <w:r>
        <w:rPr>
          <w:sz w:val="20"/>
          <w:bCs/>
          <w:rFonts w:ascii="Titillium" w:hAnsi="Titillium"/>
          <w:color w:val="000000"/>
        </w:rPr>
        <w:instrText xml:space="preserve"> HYPERLINK "https://sip.lex.pl/" \l "/document/17712396?unitId=art(54)ust(1)&amp;cm=DOCUMENT"</w:instrText>
      </w:r>
      <w:r>
        <w:rPr>
          <w:sz w:val="20"/>
          <w:bCs/>
          <w:rFonts w:ascii="Titillium" w:hAnsi="Titillium"/>
          <w:color w:val="000000"/>
        </w:rPr>
        <w:fldChar w:fldCharType="separate"/>
      </w:r>
      <w:r>
        <w:rPr>
          <w:rFonts w:ascii="Titillium" w:hAnsi="Titillium"/>
          <w:bCs/>
          <w:color w:val="000000"/>
          <w:sz w:val="20"/>
        </w:rPr>
        <w:t>art. 54 ust. 1-4</w:t>
      </w:r>
      <w:r>
        <w:rPr>
          <w:sz w:val="20"/>
          <w:bCs/>
          <w:rFonts w:ascii="Titillium" w:hAnsi="Titillium"/>
          <w:color w:val="000000"/>
        </w:rPr>
        <w:fldChar w:fldCharType="end"/>
      </w:r>
      <w:r>
        <w:rPr>
          <w:rFonts w:ascii="Titillium" w:hAnsi="Titillium"/>
          <w:bCs/>
          <w:color w:val="000000"/>
          <w:sz w:val="20"/>
        </w:rPr>
        <w:t xml:space="preserve"> ustawy z dnia 12 maja 2011 r. o refundacji leków, środków spożywczych specjalnego przeznaczenia żywieniowego oraz wyrobów medycznych (Dz. U. z 2023 r. poz. 826),</w:t>
      </w:r>
    </w:p>
    <w:p>
      <w:pPr>
        <w:pStyle w:val="ListParagraph"/>
        <w:numPr>
          <w:ilvl w:val="0"/>
          <w:numId w:val="13"/>
        </w:numPr>
        <w:ind w:hanging="284" w:left="1418"/>
        <w:jc w:val="both"/>
        <w:textAlignment w:val="auto"/>
        <w:rPr/>
      </w:pPr>
      <w:r>
        <w:rPr>
          <w:rFonts w:ascii="Titillium" w:hAnsi="Titillium"/>
          <w:bCs/>
          <w:color w:val="000000"/>
          <w:sz w:val="20"/>
        </w:rPr>
        <w:t xml:space="preserve">finansowania przestępstwa o charakterze terrorystycznym, o którym mowa w </w:t>
      </w:r>
      <w:r>
        <w:fldChar w:fldCharType="begin"/>
      </w:r>
      <w:r>
        <w:rPr>
          <w:sz w:val="20"/>
          <w:bCs/>
          <w:rFonts w:ascii="Titillium" w:hAnsi="Titillium"/>
          <w:color w:val="000000"/>
        </w:rPr>
        <w:instrText xml:space="preserve"> HYPERLINK "https://sip.lex.pl/" \l "/document/16798683?unitId=art(165(a))&amp;cm=DOCUMENT"</w:instrText>
      </w:r>
      <w:r>
        <w:rPr>
          <w:sz w:val="20"/>
          <w:bCs/>
          <w:rFonts w:ascii="Titillium" w:hAnsi="Titillium"/>
          <w:color w:val="000000"/>
        </w:rPr>
        <w:fldChar w:fldCharType="separate"/>
      </w:r>
      <w:r>
        <w:rPr>
          <w:rFonts w:ascii="Titillium" w:hAnsi="Titillium"/>
          <w:bCs/>
          <w:color w:val="000000"/>
          <w:sz w:val="20"/>
        </w:rPr>
        <w:t>art. 165a</w:t>
      </w:r>
      <w:r>
        <w:rPr>
          <w:sz w:val="20"/>
          <w:bCs/>
          <w:rFonts w:ascii="Titillium" w:hAnsi="Titillium"/>
          <w:color w:val="000000"/>
        </w:rPr>
        <w:fldChar w:fldCharType="end"/>
      </w:r>
      <w:r>
        <w:rPr>
          <w:rFonts w:ascii="Titillium" w:hAnsi="Titillium"/>
          <w:bCs/>
          <w:color w:val="000000"/>
          <w:sz w:val="20"/>
        </w:rPr>
        <w:t xml:space="preserve"> Kodeksu karnego, lub przestępstwo udaremniania lub utrudniania stwierdzenia przestępnego pochodzenia pieniędzy lub ukrywania ich pochodzenia, o którym mowa w </w:t>
      </w:r>
      <w:r>
        <w:fldChar w:fldCharType="begin"/>
      </w:r>
      <w:r>
        <w:rPr>
          <w:sz w:val="20"/>
          <w:bCs/>
          <w:rFonts w:ascii="Titillium" w:hAnsi="Titillium"/>
          <w:color w:val="000000"/>
        </w:rPr>
        <w:instrText xml:space="preserve"> HYPERLINK "https://sip.lex.pl/" \l "/document/16798683?unitId=art(299)&amp;cm=DOCUMENT"</w:instrText>
      </w:r>
      <w:r>
        <w:rPr>
          <w:sz w:val="20"/>
          <w:bCs/>
          <w:rFonts w:ascii="Titillium" w:hAnsi="Titillium"/>
          <w:color w:val="000000"/>
        </w:rPr>
        <w:fldChar w:fldCharType="separate"/>
      </w:r>
      <w:r>
        <w:rPr>
          <w:rFonts w:ascii="Titillium" w:hAnsi="Titillium"/>
          <w:bCs/>
          <w:color w:val="000000"/>
          <w:sz w:val="20"/>
        </w:rPr>
        <w:t>art. 299</w:t>
      </w:r>
      <w:r>
        <w:rPr>
          <w:sz w:val="20"/>
          <w:bCs/>
          <w:rFonts w:ascii="Titillium" w:hAnsi="Titillium"/>
          <w:color w:val="000000"/>
        </w:rPr>
        <w:fldChar w:fldCharType="end"/>
      </w:r>
      <w:r>
        <w:rPr>
          <w:rFonts w:ascii="Titillium" w:hAnsi="Titillium"/>
          <w:bCs/>
          <w:color w:val="000000"/>
          <w:sz w:val="20"/>
        </w:rPr>
        <w:t xml:space="preserve"> Kodeksu karnego,</w:t>
      </w:r>
    </w:p>
    <w:p>
      <w:pPr>
        <w:pStyle w:val="ListParagraph"/>
        <w:numPr>
          <w:ilvl w:val="0"/>
          <w:numId w:val="13"/>
        </w:numPr>
        <w:ind w:hanging="284" w:left="1418"/>
        <w:jc w:val="both"/>
        <w:textAlignment w:val="auto"/>
        <w:rPr/>
      </w:pPr>
      <w:r>
        <w:rPr>
          <w:rFonts w:ascii="Titillium" w:hAnsi="Titillium"/>
          <w:bCs/>
          <w:color w:val="000000"/>
          <w:sz w:val="20"/>
        </w:rPr>
        <w:t xml:space="preserve">o charakterze terrorystycznym, o którym mowa w </w:t>
      </w:r>
      <w:r>
        <w:fldChar w:fldCharType="begin"/>
      </w:r>
      <w:r>
        <w:rPr>
          <w:sz w:val="20"/>
          <w:bCs/>
          <w:rFonts w:ascii="Titillium" w:hAnsi="Titillium"/>
          <w:color w:val="000000"/>
        </w:rPr>
        <w:instrText xml:space="preserve"> HYPERLINK "https://sip.lex.pl/" \l "/document/16798683?unitId=art(115)par(20)&amp;cm=DOCUMENT"</w:instrText>
      </w:r>
      <w:r>
        <w:rPr>
          <w:sz w:val="20"/>
          <w:bCs/>
          <w:rFonts w:ascii="Titillium" w:hAnsi="Titillium"/>
          <w:color w:val="000000"/>
        </w:rPr>
        <w:fldChar w:fldCharType="separate"/>
      </w:r>
      <w:r>
        <w:rPr>
          <w:rFonts w:ascii="Titillium" w:hAnsi="Titillium"/>
          <w:bCs/>
          <w:color w:val="000000"/>
          <w:sz w:val="20"/>
        </w:rPr>
        <w:t>art. 115 § 20</w:t>
      </w:r>
      <w:r>
        <w:rPr>
          <w:sz w:val="20"/>
          <w:bCs/>
          <w:rFonts w:ascii="Titillium" w:hAnsi="Titillium"/>
          <w:color w:val="000000"/>
        </w:rPr>
        <w:fldChar w:fldCharType="end"/>
      </w:r>
      <w:r>
        <w:rPr>
          <w:rFonts w:ascii="Titillium" w:hAnsi="Titillium"/>
          <w:bCs/>
          <w:color w:val="000000"/>
          <w:sz w:val="20"/>
        </w:rPr>
        <w:t xml:space="preserve"> Kodeksu karnego, lub mające na celu popełnienie tego przestępstwa,</w:t>
      </w:r>
    </w:p>
    <w:p>
      <w:pPr>
        <w:pStyle w:val="ListParagraph"/>
        <w:numPr>
          <w:ilvl w:val="0"/>
          <w:numId w:val="13"/>
        </w:numPr>
        <w:ind w:hanging="284" w:left="1418"/>
        <w:jc w:val="both"/>
        <w:textAlignment w:val="auto"/>
        <w:rPr/>
      </w:pPr>
      <w:r>
        <w:rPr>
          <w:rFonts w:ascii="Titillium" w:hAnsi="Titillium"/>
          <w:bCs/>
          <w:color w:val="000000"/>
          <w:sz w:val="20"/>
        </w:rPr>
        <w:t xml:space="preserve">powierzenia wykonywania pracy małoletniemu cudzoziemcowi, o którym mowa w </w:t>
      </w:r>
      <w:r>
        <w:fldChar w:fldCharType="begin"/>
      </w:r>
      <w:r>
        <w:rPr>
          <w:sz w:val="20"/>
          <w:bCs/>
          <w:rFonts w:ascii="Titillium" w:hAnsi="Titillium"/>
          <w:color w:val="000000"/>
        </w:rPr>
        <w:instrText xml:space="preserve"> HYPERLINK "https://sip.lex.pl/" \l "/document/17896506?unitId=art(9)ust(2)&amp;cm=DOCUMENT"</w:instrText>
      </w:r>
      <w:r>
        <w:rPr>
          <w:sz w:val="20"/>
          <w:bCs/>
          <w:rFonts w:ascii="Titillium" w:hAnsi="Titillium"/>
          <w:color w:val="000000"/>
        </w:rPr>
        <w:fldChar w:fldCharType="separate"/>
      </w:r>
      <w:r>
        <w:rPr>
          <w:rFonts w:ascii="Titillium" w:hAnsi="Titillium"/>
          <w:bCs/>
          <w:color w:val="000000"/>
          <w:sz w:val="20"/>
        </w:rPr>
        <w:t>art. 9 ust. 2</w:t>
      </w:r>
      <w:r>
        <w:rPr>
          <w:sz w:val="20"/>
          <w:bCs/>
          <w:rFonts w:ascii="Titillium" w:hAnsi="Titillium"/>
          <w:color w:val="000000"/>
        </w:rPr>
        <w:fldChar w:fldCharType="end"/>
      </w:r>
      <w:r>
        <w:rPr>
          <w:rFonts w:ascii="Titillium" w:hAnsi="Titillium"/>
          <w:bCs/>
          <w:color w:val="000000"/>
          <w:sz w:val="20"/>
        </w:rPr>
        <w:t xml:space="preserve"> ustawy z dnia 15 czerwca 2012 r. o skutkach powierzania wykonywania pracy cudzoziemcom przebywającym wbrew przepisom na terytorium Rzeczypospolitej Polskiej (Dz. U. z 2021 r. poz. 1745),</w:t>
      </w:r>
    </w:p>
    <w:p>
      <w:pPr>
        <w:pStyle w:val="ListParagraph"/>
        <w:numPr>
          <w:ilvl w:val="0"/>
          <w:numId w:val="13"/>
        </w:numPr>
        <w:ind w:hanging="284" w:left="1418"/>
        <w:jc w:val="both"/>
        <w:textAlignment w:val="auto"/>
        <w:rPr/>
      </w:pPr>
      <w:r>
        <w:rPr>
          <w:rFonts w:ascii="Titillium" w:hAnsi="Titillium"/>
          <w:bCs/>
          <w:color w:val="000000"/>
          <w:sz w:val="20"/>
        </w:rPr>
        <w:t xml:space="preserve">przeciwko obrotowi gospodarczemu, o których mowa w </w:t>
      </w:r>
      <w:r>
        <w:fldChar w:fldCharType="begin"/>
      </w:r>
      <w:r>
        <w:rPr>
          <w:sz w:val="20"/>
          <w:bCs/>
          <w:rFonts w:ascii="Titillium" w:hAnsi="Titillium"/>
          <w:color w:val="000000"/>
        </w:rPr>
        <w:instrText xml:space="preserve"> HYPERLINK "https://sip.lex.pl/" \l "/document/16798683?unitId=art(296)&amp;cm=DOCUMENT"</w:instrText>
      </w:r>
      <w:r>
        <w:rPr>
          <w:sz w:val="20"/>
          <w:bCs/>
          <w:rFonts w:ascii="Titillium" w:hAnsi="Titillium"/>
          <w:color w:val="000000"/>
        </w:rPr>
        <w:fldChar w:fldCharType="separate"/>
      </w:r>
      <w:r>
        <w:rPr>
          <w:rFonts w:ascii="Titillium" w:hAnsi="Titillium"/>
          <w:bCs/>
          <w:color w:val="000000"/>
          <w:sz w:val="20"/>
        </w:rPr>
        <w:t>art. 296-307</w:t>
      </w:r>
      <w:r>
        <w:rPr>
          <w:sz w:val="20"/>
          <w:bCs/>
          <w:rFonts w:ascii="Titillium" w:hAnsi="Titillium"/>
          <w:color w:val="000000"/>
        </w:rPr>
        <w:fldChar w:fldCharType="end"/>
      </w:r>
      <w:r>
        <w:rPr>
          <w:rFonts w:ascii="Titillium" w:hAnsi="Titillium"/>
          <w:bCs/>
          <w:color w:val="000000"/>
          <w:sz w:val="20"/>
        </w:rPr>
        <w:t xml:space="preserve"> Kodeksu karnego, przestępstwo oszustwa, o którym mowa w </w:t>
      </w:r>
      <w:r>
        <w:fldChar w:fldCharType="begin"/>
      </w:r>
      <w:r>
        <w:rPr>
          <w:sz w:val="20"/>
          <w:bCs/>
          <w:rFonts w:ascii="Titillium" w:hAnsi="Titillium"/>
          <w:color w:val="000000"/>
        </w:rPr>
        <w:instrText xml:space="preserve"> HYPERLINK "https://sip.lex.pl/" \l "/document/16798683?unitId=art(286)&amp;cm=DOCUMENT"</w:instrText>
      </w:r>
      <w:r>
        <w:rPr>
          <w:sz w:val="20"/>
          <w:bCs/>
          <w:rFonts w:ascii="Titillium" w:hAnsi="Titillium"/>
          <w:color w:val="000000"/>
        </w:rPr>
        <w:fldChar w:fldCharType="separate"/>
      </w:r>
      <w:r>
        <w:rPr>
          <w:rFonts w:ascii="Titillium" w:hAnsi="Titillium"/>
          <w:bCs/>
          <w:color w:val="000000"/>
          <w:sz w:val="20"/>
        </w:rPr>
        <w:t>art. 286</w:t>
      </w:r>
      <w:r>
        <w:rPr>
          <w:sz w:val="20"/>
          <w:bCs/>
          <w:rFonts w:ascii="Titillium" w:hAnsi="Titillium"/>
          <w:color w:val="000000"/>
        </w:rPr>
        <w:fldChar w:fldCharType="end"/>
      </w:r>
      <w:r>
        <w:rPr>
          <w:rFonts w:ascii="Titillium" w:hAnsi="Titillium"/>
          <w:bCs/>
          <w:color w:val="000000"/>
          <w:sz w:val="20"/>
        </w:rPr>
        <w:t xml:space="preserve"> Kodeksu karnego, przestępstwo przeciwko wiarygodności dokumentów, o których mowa w </w:t>
      </w:r>
      <w:r>
        <w:fldChar w:fldCharType="begin"/>
      </w:r>
      <w:r>
        <w:rPr>
          <w:sz w:val="20"/>
          <w:bCs/>
          <w:rFonts w:ascii="Titillium" w:hAnsi="Titillium"/>
          <w:color w:val="000000"/>
        </w:rPr>
        <w:instrText xml:space="preserve"> HYPERLINK "https://sip.lex.pl/" \l "/document/16798683?unitId=art(270)&amp;cm=DOCUMENT"</w:instrText>
      </w:r>
      <w:r>
        <w:rPr>
          <w:sz w:val="20"/>
          <w:bCs/>
          <w:rFonts w:ascii="Titillium" w:hAnsi="Titillium"/>
          <w:color w:val="000000"/>
        </w:rPr>
        <w:fldChar w:fldCharType="separate"/>
      </w:r>
      <w:r>
        <w:rPr>
          <w:rFonts w:ascii="Titillium" w:hAnsi="Titillium"/>
          <w:bCs/>
          <w:color w:val="000000"/>
          <w:sz w:val="20"/>
        </w:rPr>
        <w:t>art. 270-277d</w:t>
      </w:r>
      <w:r>
        <w:rPr>
          <w:sz w:val="20"/>
          <w:bCs/>
          <w:rFonts w:ascii="Titillium" w:hAnsi="Titillium"/>
          <w:color w:val="000000"/>
        </w:rPr>
        <w:fldChar w:fldCharType="end"/>
      </w:r>
      <w:r>
        <w:rPr>
          <w:rFonts w:ascii="Titillium" w:hAnsi="Titillium"/>
          <w:bCs/>
          <w:color w:val="000000"/>
          <w:sz w:val="20"/>
        </w:rPr>
        <w:t xml:space="preserve"> Kodeksu karnego, lub przestępstwo skarbowe,</w:t>
      </w:r>
    </w:p>
    <w:p>
      <w:pPr>
        <w:pStyle w:val="ListParagraph"/>
        <w:numPr>
          <w:ilvl w:val="0"/>
          <w:numId w:val="13"/>
        </w:numPr>
        <w:ind w:hanging="284" w:left="1418"/>
        <w:jc w:val="both"/>
        <w:textAlignment w:val="auto"/>
        <w:rPr>
          <w:rFonts w:ascii="Titillium" w:hAnsi="Titillium"/>
        </w:rPr>
      </w:pPr>
      <w:r>
        <w:rPr>
          <w:rFonts w:ascii="Titillium" w:hAnsi="Titillium"/>
          <w:bCs/>
          <w:color w:val="000000"/>
          <w:sz w:val="20"/>
        </w:rPr>
        <w:t>o którym mowa w art. 9 ust. 1 i 3 lub art. 10 ustawy z dnia 15 czerwca 2012 r. o skutkach powierzania wykonywania pracy cudzoziemcom przebywającym wbrew przepisom na terytorium Rzeczypospolitej Polskiej</w:t>
      </w:r>
    </w:p>
    <w:p>
      <w:pPr>
        <w:pStyle w:val="ListParagraph"/>
        <w:ind w:left="720"/>
        <w:textAlignment w:val="auto"/>
        <w:rPr>
          <w:rFonts w:ascii="Titillium" w:hAnsi="Titillium"/>
        </w:rPr>
      </w:pPr>
      <w:r>
        <w:rPr>
          <w:rFonts w:ascii="Titillium" w:hAnsi="Titillium"/>
          <w:bCs/>
          <w:color w:val="000000"/>
          <w:sz w:val="20"/>
        </w:rPr>
        <w:t>- lub za odpowiedni czyn zabroniony określony w przepisach prawa obcego;</w:t>
      </w:r>
    </w:p>
    <w:p>
      <w:pPr>
        <w:pStyle w:val="ListParagraph"/>
        <w:numPr>
          <w:ilvl w:val="0"/>
          <w:numId w:val="14"/>
        </w:numPr>
        <w:ind w:hanging="567" w:left="1134"/>
        <w:jc w:val="both"/>
        <w:textAlignment w:val="auto"/>
        <w:rPr>
          <w:rFonts w:ascii="Titillium" w:hAnsi="Titillium"/>
        </w:rPr>
      </w:pPr>
      <w:r>
        <w:rPr>
          <w:rFonts w:ascii="Titillium" w:hAnsi="Titillium"/>
          <w:bCs/>
          <w:color w:val="000000"/>
          <w:sz w:val="20"/>
        </w:rPr>
        <w:t>jeżeli urzędującego członka jego organu zarządzającego lub nadzorczego, wspólnika spółki w</w:t>
      </w:r>
      <w:r>
        <w:rPr>
          <w:rFonts w:cs="Calibri" w:ascii="Titillium" w:hAnsi="Titillium"/>
          <w:bCs/>
          <w:color w:val="000000"/>
          <w:sz w:val="20"/>
        </w:rPr>
        <w:t> </w:t>
      </w:r>
      <w:r>
        <w:rPr>
          <w:rFonts w:ascii="Titillium" w:hAnsi="Titillium"/>
          <w:bCs/>
          <w:color w:val="000000"/>
          <w:sz w:val="20"/>
        </w:rPr>
        <w:t>spółce jawnej lub partnerskiej albo komplementariusza w spółce komandytowej lub komandytowo-akcyjnej lub prokurenta prawomocnie skazano za przestępstwo, o którym mowa w pkt 1;</w:t>
      </w:r>
    </w:p>
    <w:p>
      <w:pPr>
        <w:pStyle w:val="ListParagraph"/>
        <w:numPr>
          <w:ilvl w:val="0"/>
          <w:numId w:val="14"/>
        </w:numPr>
        <w:ind w:hanging="567" w:left="1134"/>
        <w:jc w:val="both"/>
        <w:textAlignment w:val="auto"/>
        <w:rPr>
          <w:rFonts w:ascii="Titillium" w:hAnsi="Titillium"/>
        </w:rPr>
      </w:pPr>
      <w:r>
        <w:rPr>
          <w:rFonts w:ascii="Titillium" w:hAnsi="Titillium"/>
          <w:bCs/>
          <w:color w:val="000000"/>
          <w:sz w:val="20"/>
        </w:rPr>
        <w:t>wobec którego wydano prawomocny wyrok sądu lub ostateczną decyzję administracyjną o</w:t>
      </w:r>
      <w:r>
        <w:rPr>
          <w:rFonts w:cs="Calibri" w:ascii="Titillium" w:hAnsi="Titillium"/>
          <w:bCs/>
          <w:color w:val="000000"/>
          <w:sz w:val="20"/>
        </w:rPr>
        <w:t> </w:t>
      </w:r>
      <w:r>
        <w:rPr>
          <w:rFonts w:ascii="Titillium" w:hAnsi="Titillium"/>
          <w:bCs/>
          <w:color w:val="000000"/>
          <w:sz w:val="20"/>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w:t>
      </w:r>
      <w:r>
        <w:rPr>
          <w:rFonts w:cs="Calibri" w:ascii="Titillium" w:hAnsi="Titillium"/>
          <w:bCs/>
          <w:color w:val="000000"/>
          <w:sz w:val="20"/>
        </w:rPr>
        <w:t> </w:t>
      </w:r>
      <w:r>
        <w:rPr>
          <w:rFonts w:ascii="Titillium" w:hAnsi="Titillium"/>
          <w:bCs/>
          <w:color w:val="000000"/>
          <w:sz w:val="20"/>
        </w:rPr>
        <w:t>odsetkami lub grzywnami lub zawarł wiążące porozumienie w sprawie spłaty tych należności;</w:t>
      </w:r>
    </w:p>
    <w:p>
      <w:pPr>
        <w:pStyle w:val="ListParagraph"/>
        <w:numPr>
          <w:ilvl w:val="0"/>
          <w:numId w:val="14"/>
        </w:numPr>
        <w:ind w:hanging="567" w:left="1134"/>
        <w:jc w:val="both"/>
        <w:textAlignment w:val="auto"/>
        <w:rPr>
          <w:rFonts w:ascii="Titillium" w:hAnsi="Titillium"/>
        </w:rPr>
      </w:pPr>
      <w:r>
        <w:rPr>
          <w:rFonts w:ascii="Titillium" w:hAnsi="Titillium"/>
          <w:bCs/>
          <w:color w:val="000000"/>
          <w:sz w:val="20"/>
        </w:rPr>
        <w:t>wobec którego prawomocnie orzeczono zakaz ubiegania się o zamówienia publiczne;</w:t>
      </w:r>
    </w:p>
    <w:p>
      <w:pPr>
        <w:pStyle w:val="ListParagraph"/>
        <w:numPr>
          <w:ilvl w:val="0"/>
          <w:numId w:val="14"/>
        </w:numPr>
        <w:ind w:hanging="567" w:left="1134"/>
        <w:jc w:val="both"/>
        <w:textAlignment w:val="auto"/>
        <w:rPr/>
      </w:pPr>
      <w:r>
        <w:rPr>
          <w:rFonts w:ascii="Titillium" w:hAnsi="Titillium"/>
          <w:bCs/>
          <w:color w:val="000000"/>
          <w:sz w:val="20"/>
        </w:rPr>
        <w:t>jeżeli zamawiający może stwierdzić, na podstawie wiarygodnych przesłanek, że wykonawca zawarł z innymi wykonawcami porozumienie mające na celu zakłócenie konkurencji, w</w:t>
      </w:r>
      <w:r>
        <w:rPr>
          <w:rFonts w:cs="Calibri" w:ascii="Titillium" w:hAnsi="Titillium"/>
          <w:bCs/>
          <w:color w:val="000000"/>
          <w:sz w:val="20"/>
        </w:rPr>
        <w:t> </w:t>
      </w:r>
      <w:r>
        <w:rPr>
          <w:rFonts w:ascii="Titillium" w:hAnsi="Titillium"/>
          <w:bCs/>
          <w:color w:val="000000"/>
          <w:sz w:val="20"/>
        </w:rPr>
        <w:t xml:space="preserve">szczególności jeżeli należąc do tej samej grupy kapitałowej w rozumieniu </w:t>
      </w:r>
      <w:r>
        <w:fldChar w:fldCharType="begin"/>
      </w:r>
      <w:r>
        <w:rPr>
          <w:sz w:val="20"/>
          <w:bCs/>
          <w:rFonts w:ascii="Titillium" w:hAnsi="Titillium"/>
          <w:color w:val="000000"/>
        </w:rPr>
        <w:instrText xml:space="preserve"> HYPERLINK "https://sip.lex.pl/" \l "/document/17337528?cm=DOCUMENT"</w:instrText>
      </w:r>
      <w:r>
        <w:rPr>
          <w:sz w:val="20"/>
          <w:bCs/>
          <w:rFonts w:ascii="Titillium" w:hAnsi="Titillium"/>
          <w:color w:val="000000"/>
        </w:rPr>
        <w:fldChar w:fldCharType="separate"/>
      </w:r>
      <w:r>
        <w:rPr>
          <w:rFonts w:ascii="Titillium" w:hAnsi="Titillium"/>
          <w:bCs/>
          <w:color w:val="000000"/>
          <w:sz w:val="20"/>
        </w:rPr>
        <w:t>ustawy</w:t>
      </w:r>
      <w:r>
        <w:rPr>
          <w:sz w:val="20"/>
          <w:bCs/>
          <w:rFonts w:ascii="Titillium" w:hAnsi="Titillium"/>
          <w:color w:val="000000"/>
        </w:rPr>
        <w:fldChar w:fldCharType="end"/>
      </w:r>
      <w:r>
        <w:rPr>
          <w:rFonts w:ascii="Titillium" w:hAnsi="Titillium"/>
          <w:bCs/>
          <w:color w:val="000000"/>
          <w:sz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pPr>
        <w:pStyle w:val="ListParagraph"/>
        <w:numPr>
          <w:ilvl w:val="0"/>
          <w:numId w:val="14"/>
        </w:numPr>
        <w:ind w:hanging="567" w:left="1134"/>
        <w:jc w:val="both"/>
        <w:textAlignment w:val="auto"/>
        <w:rPr/>
      </w:pPr>
      <w:r>
        <w:rPr>
          <w:rFonts w:ascii="Titillium" w:hAnsi="Titillium"/>
          <w:bCs/>
          <w:color w:val="000000"/>
          <w:sz w:val="20"/>
        </w:rPr>
        <w:t>jeżeli, w przypadkach, o których mowa w art. 85 ust. 1, doszło do zakłócenia konkurencji wynikającego z wcześniejszego zaangażowania tego wykonawcy lub podmiotu, który należy z</w:t>
      </w:r>
      <w:r>
        <w:rPr>
          <w:rFonts w:cs="Calibri" w:ascii="Titillium" w:hAnsi="Titillium"/>
          <w:bCs/>
          <w:color w:val="000000"/>
          <w:sz w:val="20"/>
        </w:rPr>
        <w:t> </w:t>
      </w:r>
      <w:r>
        <w:rPr>
          <w:rFonts w:ascii="Titillium" w:hAnsi="Titillium"/>
          <w:bCs/>
          <w:color w:val="000000"/>
          <w:sz w:val="20"/>
        </w:rPr>
        <w:t xml:space="preserve">wykonawcą do tej samej grupy kapitałowej w rozumieniu </w:t>
      </w:r>
      <w:r>
        <w:fldChar w:fldCharType="begin"/>
      </w:r>
      <w:r>
        <w:rPr>
          <w:sz w:val="20"/>
          <w:bCs/>
          <w:rFonts w:ascii="Titillium" w:hAnsi="Titillium"/>
          <w:color w:val="000000"/>
        </w:rPr>
        <w:instrText xml:space="preserve"> HYPERLINK "https://sip.lex.pl/" \l "/document/17337528?cm=DOCUMENT"</w:instrText>
      </w:r>
      <w:r>
        <w:rPr>
          <w:sz w:val="20"/>
          <w:bCs/>
          <w:rFonts w:ascii="Titillium" w:hAnsi="Titillium"/>
          <w:color w:val="000000"/>
        </w:rPr>
        <w:fldChar w:fldCharType="separate"/>
      </w:r>
      <w:r>
        <w:rPr>
          <w:rFonts w:ascii="Titillium" w:hAnsi="Titillium"/>
          <w:bCs/>
          <w:color w:val="000000"/>
          <w:sz w:val="20"/>
        </w:rPr>
        <w:t>ustawy</w:t>
      </w:r>
      <w:r>
        <w:rPr>
          <w:sz w:val="20"/>
          <w:bCs/>
          <w:rFonts w:ascii="Titillium" w:hAnsi="Titillium"/>
          <w:color w:val="000000"/>
        </w:rPr>
        <w:fldChar w:fldCharType="end"/>
      </w:r>
      <w:r>
        <w:rPr>
          <w:rFonts w:ascii="Titillium" w:hAnsi="Titillium"/>
          <w:bCs/>
          <w:color w:val="000000"/>
          <w:sz w:val="20"/>
        </w:rPr>
        <w:t xml:space="preserve"> z dnia 16 lutego 2007 r. o</w:t>
      </w:r>
      <w:r>
        <w:rPr>
          <w:rFonts w:cs="Calibri" w:ascii="Titillium" w:hAnsi="Titillium"/>
          <w:bCs/>
          <w:color w:val="000000"/>
          <w:sz w:val="20"/>
        </w:rPr>
        <w:t> </w:t>
      </w:r>
      <w:r>
        <w:rPr>
          <w:rFonts w:ascii="Titillium" w:hAnsi="Titillium"/>
          <w:bCs/>
          <w:color w:val="000000"/>
          <w:sz w:val="20"/>
        </w:rPr>
        <w:t>ochronie konkurencji i konsumentów, chyba że spowodowane tym zakłócenie konkurencji może być wyeliminowane w inny sposób niż przez wykluczenie wykonawcy z udziału w</w:t>
      </w:r>
      <w:r>
        <w:rPr>
          <w:rFonts w:cs="Calibri" w:ascii="Titillium" w:hAnsi="Titillium"/>
          <w:bCs/>
          <w:color w:val="000000"/>
          <w:sz w:val="20"/>
        </w:rPr>
        <w:t> </w:t>
      </w:r>
      <w:r>
        <w:rPr>
          <w:rFonts w:ascii="Titillium" w:hAnsi="Titillium"/>
          <w:bCs/>
          <w:color w:val="000000"/>
          <w:sz w:val="20"/>
        </w:rPr>
        <w:t>postępowaniu o</w:t>
      </w:r>
      <w:r>
        <w:rPr>
          <w:rFonts w:cs="Calibri" w:ascii="Titillium" w:hAnsi="Titillium"/>
          <w:bCs/>
          <w:color w:val="000000"/>
          <w:sz w:val="20"/>
        </w:rPr>
        <w:t> </w:t>
      </w:r>
      <w:r>
        <w:rPr>
          <w:rFonts w:ascii="Titillium" w:hAnsi="Titillium"/>
          <w:bCs/>
          <w:color w:val="000000"/>
          <w:sz w:val="20"/>
        </w:rPr>
        <w:t>udzielenie zamówienia</w:t>
      </w:r>
      <w:r>
        <w:rPr>
          <w:rFonts w:ascii="Titillium" w:hAnsi="Titillium"/>
          <w:bCs/>
          <w:color w:val="000000"/>
        </w:rPr>
        <w:t>;</w:t>
      </w:r>
    </w:p>
    <w:p>
      <w:pPr>
        <w:pStyle w:val="Standard"/>
        <w:spacing w:lineRule="auto" w:line="276"/>
        <w:jc w:val="both"/>
        <w:rPr>
          <w:rFonts w:ascii="Titillium" w:hAnsi="Titillium"/>
        </w:rPr>
      </w:pPr>
      <w:r>
        <w:rPr>
          <w:rFonts w:ascii="Titillium" w:hAnsi="Titillium"/>
          <w:bCs/>
          <w:color w:val="000000"/>
        </w:rPr>
        <w:t>oraz  spełniają warunki, o których mowa w art. 57 i 112 ust. 2 ustawy Pzp i wykażą ich spełnianie na poziomie/ w zakresie wymaganym przez Zamawiającego zgodnie z opisem zamieszczonym w ust. 9.</w:t>
      </w:r>
    </w:p>
    <w:p>
      <w:pPr>
        <w:pStyle w:val="Standard"/>
        <w:numPr>
          <w:ilvl w:val="0"/>
          <w:numId w:val="11"/>
        </w:numPr>
        <w:spacing w:lineRule="auto" w:line="276"/>
        <w:ind w:hanging="567" w:left="567"/>
        <w:jc w:val="both"/>
        <w:rPr>
          <w:rFonts w:ascii="Titillium" w:hAnsi="Titillium"/>
        </w:rPr>
      </w:pPr>
      <w:r>
        <w:rPr>
          <w:rFonts w:ascii="Titillium" w:hAnsi="Titillium"/>
          <w:bCs/>
          <w:color w:val="000000"/>
        </w:rPr>
        <w:t>Zgodnie z podziałem dokonanym w ustawie Pzp podstawy wykluczenia z postępowania, o których mowa w art. 108 ustawy określa się jako obligatoryjne.</w:t>
      </w:r>
    </w:p>
    <w:p>
      <w:pPr>
        <w:pStyle w:val="Standard"/>
        <w:numPr>
          <w:ilvl w:val="0"/>
          <w:numId w:val="11"/>
        </w:numPr>
        <w:spacing w:lineRule="auto" w:line="276"/>
        <w:ind w:hanging="567" w:left="567"/>
        <w:jc w:val="both"/>
        <w:rPr>
          <w:rFonts w:ascii="Titillium" w:hAnsi="Titillium"/>
        </w:rPr>
      </w:pPr>
      <w:r>
        <w:rPr>
          <w:rFonts w:ascii="Titillium" w:hAnsi="Titillium"/>
          <w:bCs/>
          <w:color w:val="000000"/>
        </w:rPr>
        <w:t>Zamawiający rezygnuje z ustanowienia fakultatywnych przesłanek wykluczenia określonych w art. 109 ustawy Pzp:</w:t>
      </w:r>
    </w:p>
    <w:p>
      <w:pPr>
        <w:pStyle w:val="Standard"/>
        <w:spacing w:lineRule="auto" w:line="276"/>
        <w:jc w:val="both"/>
        <w:rPr>
          <w:rFonts w:ascii="Titillium" w:hAnsi="Titillium"/>
          <w:b/>
          <w:bCs/>
        </w:rPr>
      </w:pPr>
      <w:r>
        <w:rPr>
          <w:rFonts w:ascii="Titillium" w:hAnsi="Titillium"/>
          <w:b/>
          <w:bCs/>
        </w:rPr>
      </w:r>
    </w:p>
    <w:p>
      <w:pPr>
        <w:sectPr>
          <w:headerReference w:type="default" r:id="rId6"/>
          <w:footerReference w:type="default" r:id="rId7"/>
          <w:type w:val="nextPage"/>
          <w:pgSz w:w="11906" w:h="16838"/>
          <w:pgMar w:left="1583" w:right="1420" w:gutter="0" w:header="708" w:top="765" w:footer="708" w:bottom="765"/>
          <w:pgNumType w:fmt="decimal"/>
          <w:formProt w:val="false"/>
          <w:textDirection w:val="lrTb"/>
          <w:docGrid w:type="default" w:linePitch="100" w:charSpace="0"/>
        </w:sectPr>
      </w:pPr>
    </w:p>
    <w:p>
      <w:pPr>
        <w:pStyle w:val="Standard"/>
        <w:tabs>
          <w:tab w:val="clear" w:pos="720"/>
          <w:tab w:val="left" w:pos="-110" w:leader="none"/>
          <w:tab w:val="left" w:pos="223" w:leader="none"/>
        </w:tabs>
        <w:spacing w:lineRule="auto" w:line="276"/>
        <w:ind w:left="-56"/>
        <w:jc w:val="both"/>
        <w:rPr>
          <w:rFonts w:ascii="Titillium" w:hAnsi="Titillium"/>
        </w:rPr>
      </w:pPr>
      <w:r>
        <w:rPr>
          <w:rFonts w:ascii="Titillium" w:hAnsi="Titillium"/>
          <w:b/>
          <w:bCs/>
        </w:rPr>
        <w:t>Procedura self-cleaning (samooczyszczenie)</w:t>
      </w:r>
    </w:p>
    <w:p>
      <w:pPr>
        <w:pStyle w:val="Standard"/>
        <w:numPr>
          <w:ilvl w:val="0"/>
          <w:numId w:val="11"/>
        </w:numPr>
        <w:spacing w:lineRule="auto" w:line="276"/>
        <w:ind w:hanging="567" w:left="567"/>
        <w:jc w:val="both"/>
        <w:rPr>
          <w:rFonts w:ascii="Titillium" w:hAnsi="Titillium"/>
        </w:rPr>
      </w:pPr>
      <w:r>
        <w:rPr>
          <w:rFonts w:ascii="Titillium" w:hAnsi="Titillium"/>
          <w:bCs/>
          <w:color w:val="000000"/>
        </w:rPr>
        <w:t xml:space="preserve">Wykonawca nie podlega wykluczeniu w okolicznościach określonych w art. 108 ust. 1 pkt 1, 2 i 5  ustawy Pzp, jeżeli </w:t>
      </w:r>
      <w:r>
        <w:rPr>
          <w:rFonts w:ascii="Titillium" w:hAnsi="Titillium"/>
        </w:rPr>
        <w:t xml:space="preserve">udowodni Zamawiającemu, że spełnił </w:t>
      </w:r>
      <w:r>
        <w:rPr>
          <w:rFonts w:ascii="Titillium" w:hAnsi="Titillium"/>
          <w:b/>
          <w:bCs/>
        </w:rPr>
        <w:t>łącznie</w:t>
      </w:r>
      <w:r>
        <w:rPr>
          <w:rFonts w:ascii="Titillium" w:hAnsi="Titillium"/>
        </w:rPr>
        <w:t xml:space="preserve"> następujące przesłanki:</w:t>
      </w:r>
    </w:p>
    <w:p>
      <w:pPr>
        <w:pStyle w:val="ListParagraph"/>
        <w:numPr>
          <w:ilvl w:val="0"/>
          <w:numId w:val="15"/>
        </w:numPr>
        <w:ind w:hanging="567" w:left="1134"/>
        <w:jc w:val="both"/>
        <w:textAlignment w:val="auto"/>
        <w:rPr>
          <w:rFonts w:ascii="Titillium" w:hAnsi="Titillium"/>
        </w:rPr>
      </w:pPr>
      <w:r>
        <w:rPr>
          <w:rFonts w:ascii="Titillium" w:hAnsi="Titillium"/>
          <w:bCs/>
          <w:color w:val="000000"/>
          <w:sz w:val="20"/>
        </w:rPr>
        <w:t>naprawił lub zobowiązał się do naprawienia szkody wyrządzonej przestępstwem, wykroczeniem lub swoim nieprawidłowym postępowaniem, w tym poprzez zadośćuczynienie pieniężne,</w:t>
      </w:r>
    </w:p>
    <w:p>
      <w:pPr>
        <w:pStyle w:val="ListParagraph"/>
        <w:numPr>
          <w:ilvl w:val="0"/>
          <w:numId w:val="15"/>
        </w:numPr>
        <w:ind w:hanging="567" w:left="1134"/>
        <w:jc w:val="both"/>
        <w:textAlignment w:val="auto"/>
        <w:rPr>
          <w:rFonts w:ascii="Titillium" w:hAnsi="Titillium"/>
        </w:rPr>
      </w:pPr>
      <w:r>
        <w:rPr>
          <w:rFonts w:ascii="Titillium" w:hAnsi="Titillium"/>
          <w:bCs/>
          <w:color w:val="000000"/>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pStyle w:val="ListParagraph"/>
        <w:numPr>
          <w:ilvl w:val="0"/>
          <w:numId w:val="15"/>
        </w:numPr>
        <w:ind w:hanging="567" w:left="1134"/>
        <w:jc w:val="both"/>
        <w:textAlignment w:val="auto"/>
        <w:rPr>
          <w:rFonts w:ascii="Titillium" w:hAnsi="Titillium"/>
        </w:rPr>
      </w:pPr>
      <w:r>
        <w:rPr>
          <w:rFonts w:ascii="Titillium" w:hAnsi="Titillium"/>
          <w:bCs/>
          <w:color w:val="000000"/>
          <w:sz w:val="20"/>
        </w:rPr>
        <w:t>podjął konkretne środki techniczne, organizacyjne i kadrowe, odpowiednie dla zapobiegania dalszym przestępstwom, wykroczeniom lub nieprawidłowemu postępowaniu, w</w:t>
      </w:r>
      <w:r>
        <w:rPr>
          <w:rFonts w:cs="Calibri" w:ascii="Titillium" w:hAnsi="Titillium"/>
          <w:bCs/>
          <w:color w:val="000000"/>
          <w:sz w:val="20"/>
        </w:rPr>
        <w:t> </w:t>
      </w:r>
      <w:r>
        <w:rPr>
          <w:rFonts w:ascii="Titillium" w:hAnsi="Titillium"/>
          <w:bCs/>
          <w:color w:val="000000"/>
          <w:sz w:val="20"/>
        </w:rPr>
        <w:t>szczególności:</w:t>
      </w:r>
    </w:p>
    <w:p>
      <w:pPr>
        <w:pStyle w:val="ListParagraph"/>
        <w:numPr>
          <w:ilvl w:val="0"/>
          <w:numId w:val="16"/>
        </w:numPr>
        <w:ind w:hanging="284" w:left="1418"/>
        <w:jc w:val="both"/>
        <w:textAlignment w:val="auto"/>
        <w:rPr>
          <w:rFonts w:ascii="Titillium" w:hAnsi="Titillium"/>
        </w:rPr>
      </w:pPr>
      <w:r>
        <w:rPr>
          <w:rFonts w:ascii="Titillium" w:hAnsi="Titillium"/>
          <w:bCs/>
          <w:color w:val="000000"/>
          <w:sz w:val="20"/>
        </w:rPr>
        <w:t>zerwał wszelkie powiązania z osobami lub podmiotami odpowiedzialnymi za nieprawidłowe postępowanie Wykonawcy,</w:t>
      </w:r>
    </w:p>
    <w:p>
      <w:pPr>
        <w:pStyle w:val="ListParagraph"/>
        <w:numPr>
          <w:ilvl w:val="0"/>
          <w:numId w:val="16"/>
        </w:numPr>
        <w:ind w:hanging="284" w:left="1418"/>
        <w:jc w:val="both"/>
        <w:textAlignment w:val="auto"/>
        <w:rPr>
          <w:rFonts w:ascii="Titillium" w:hAnsi="Titillium"/>
        </w:rPr>
      </w:pPr>
      <w:r>
        <w:rPr>
          <w:rFonts w:ascii="Titillium" w:hAnsi="Titillium"/>
          <w:bCs/>
          <w:color w:val="000000"/>
          <w:sz w:val="20"/>
        </w:rPr>
        <w:t>zreorganizował personel,</w:t>
      </w:r>
    </w:p>
    <w:p>
      <w:pPr>
        <w:pStyle w:val="ListParagraph"/>
        <w:numPr>
          <w:ilvl w:val="0"/>
          <w:numId w:val="16"/>
        </w:numPr>
        <w:ind w:hanging="284" w:left="1418"/>
        <w:jc w:val="both"/>
        <w:textAlignment w:val="auto"/>
        <w:rPr>
          <w:rFonts w:ascii="Titillium" w:hAnsi="Titillium"/>
        </w:rPr>
      </w:pPr>
      <w:r>
        <w:rPr>
          <w:rFonts w:ascii="Titillium" w:hAnsi="Titillium"/>
          <w:bCs/>
          <w:color w:val="000000"/>
          <w:sz w:val="20"/>
        </w:rPr>
        <w:t>wdrożył system sprawozdawczości i kontroli,</w:t>
      </w:r>
    </w:p>
    <w:p>
      <w:pPr>
        <w:pStyle w:val="ListParagraph"/>
        <w:numPr>
          <w:ilvl w:val="0"/>
          <w:numId w:val="16"/>
        </w:numPr>
        <w:ind w:hanging="284" w:left="1418"/>
        <w:jc w:val="both"/>
        <w:textAlignment w:val="auto"/>
        <w:rPr>
          <w:rFonts w:ascii="Titillium" w:hAnsi="Titillium"/>
        </w:rPr>
      </w:pPr>
      <w:r>
        <w:rPr>
          <w:rFonts w:ascii="Titillium" w:hAnsi="Titillium"/>
          <w:bCs/>
          <w:color w:val="000000"/>
          <w:sz w:val="20"/>
        </w:rPr>
        <w:t>utworzył struktury audytu wewnętrznego do monitorowania przestrzegania przepisów, wewnętrznych regulacji lub standardów,</w:t>
      </w:r>
    </w:p>
    <w:p>
      <w:pPr>
        <w:pStyle w:val="ListParagraph"/>
        <w:numPr>
          <w:ilvl w:val="0"/>
          <w:numId w:val="16"/>
        </w:numPr>
        <w:ind w:hanging="284" w:left="1418"/>
        <w:jc w:val="both"/>
        <w:textAlignment w:val="auto"/>
        <w:rPr>
          <w:rFonts w:ascii="Titillium" w:hAnsi="Titillium"/>
        </w:rPr>
      </w:pPr>
      <w:r>
        <w:rPr>
          <w:rFonts w:ascii="Titillium" w:hAnsi="Titillium"/>
          <w:bCs/>
          <w:color w:val="000000"/>
          <w:sz w:val="20"/>
        </w:rPr>
        <w:t>wprowadził wewnętrzne regulacje dotyczące odpowiedzialności i odszkodowań za nieprzestrzeganie przepisów, wewnętrznych regulacji lub standardów.</w:t>
      </w:r>
    </w:p>
    <w:p>
      <w:pPr>
        <w:pStyle w:val="Standard"/>
        <w:numPr>
          <w:ilvl w:val="0"/>
          <w:numId w:val="11"/>
        </w:numPr>
        <w:spacing w:lineRule="auto" w:line="276"/>
        <w:ind w:hanging="567" w:left="567"/>
        <w:jc w:val="both"/>
        <w:rPr>
          <w:rFonts w:ascii="Titillium" w:hAnsi="Titillium"/>
        </w:rPr>
      </w:pPr>
      <w:r>
        <w:rPr>
          <w:rFonts w:ascii="Titillium" w:hAnsi="Titillium"/>
        </w:rPr>
        <w:t>Zamawiający ocenia, czy podjęte przez Wykonawcę czynności, o których mowa w ust. 4, są wystarczające do wykazania jego rzetelności, uwzględniając wagę i szczególne okoliczności czynu Wykonawcy.</w:t>
      </w:r>
      <w:bookmarkStart w:id="5" w:name="passage_331595"/>
      <w:bookmarkEnd w:id="5"/>
      <w:r>
        <w:rPr>
          <w:rFonts w:ascii="Titillium" w:hAnsi="Titillium"/>
        </w:rPr>
        <w:t xml:space="preserve"> Jeżeli podjęte przez Wykonawcę czynności, o których mowa w ust. 4, nie są wystarczające do wykazania jego rzetelności, Zamawiający wyklucza Wykonawcę.</w:t>
      </w:r>
    </w:p>
    <w:p>
      <w:pPr>
        <w:pStyle w:val="Standard"/>
        <w:numPr>
          <w:ilvl w:val="0"/>
          <w:numId w:val="11"/>
        </w:numPr>
        <w:spacing w:lineRule="auto" w:line="276"/>
        <w:ind w:hanging="567" w:left="567"/>
        <w:jc w:val="both"/>
        <w:rPr>
          <w:rFonts w:ascii="Titillium" w:hAnsi="Titillium"/>
        </w:rPr>
      </w:pPr>
      <w:r>
        <w:rPr>
          <w:rFonts w:ascii="Titillium" w:hAnsi="Titillium"/>
        </w:rPr>
        <w:t xml:space="preserve">Z postępowania o udzielenie zamówienia publicznego prowadzonego na podstawie ustawy Pzp zgodnie z art. 7 ust. 1 ustawy </w:t>
      </w:r>
      <w:r>
        <w:rPr>
          <w:rFonts w:ascii="Titillium" w:hAnsi="Titillium"/>
          <w:color w:val="000000"/>
        </w:rPr>
        <w:t>o szczególnych rozwiązaniach w zakresie przeciwdziałania wspieraniu agresji na Ukrainę oraz służących ochronie bezpieczeństwa narodowego</w:t>
      </w:r>
      <w:r>
        <w:rPr>
          <w:rFonts w:ascii="Titillium" w:hAnsi="Titillium"/>
        </w:rPr>
        <w:t xml:space="preserve"> wyklucza się: </w:t>
      </w:r>
    </w:p>
    <w:p>
      <w:pPr>
        <w:pStyle w:val="Standard"/>
        <w:numPr>
          <w:ilvl w:val="0"/>
          <w:numId w:val="17"/>
        </w:numPr>
        <w:spacing w:lineRule="auto" w:line="276"/>
        <w:ind w:hanging="567" w:left="1134"/>
        <w:jc w:val="both"/>
        <w:rPr>
          <w:rFonts w:ascii="Titillium" w:hAnsi="Titillium"/>
        </w:rPr>
      </w:pPr>
      <w:r>
        <w:rPr>
          <w:rFonts w:ascii="Titillium" w:hAnsi="Titillium"/>
        </w:rPr>
        <w:t>Wykonawcę oraz uczestnika konkursu wymienionego w wykazach określonych w</w:t>
      </w:r>
      <w:r>
        <w:rPr>
          <w:rFonts w:cs="Calibri" w:ascii="Titillium" w:hAnsi="Titillium"/>
        </w:rPr>
        <w:t> </w:t>
      </w:r>
      <w:r>
        <w:rPr>
          <w:rFonts w:ascii="Titillium" w:hAnsi="Titillium"/>
        </w:rPr>
        <w:t>rozporządzeniu 765/2006 i rozporządzeniu 269/2014 albo wpisanego na listę na podstawie decyzji w sprawie wpisu na listę rozstrzygającej o zastosowaniu środka, o którym mowa w art. 1 pkt 3 ustawy, o której mowa powyżej,</w:t>
      </w:r>
    </w:p>
    <w:p>
      <w:pPr>
        <w:pStyle w:val="Standard"/>
        <w:numPr>
          <w:ilvl w:val="0"/>
          <w:numId w:val="17"/>
        </w:numPr>
        <w:spacing w:lineRule="auto" w:line="276"/>
        <w:ind w:hanging="567" w:left="1134"/>
        <w:jc w:val="both"/>
        <w:rPr>
          <w:rFonts w:ascii="Titillium" w:hAnsi="Titillium"/>
        </w:rPr>
      </w:pPr>
      <w:r>
        <w:rPr>
          <w:rFonts w:ascii="Titillium" w:hAnsi="Titillium"/>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której mowa powyżej,</w:t>
      </w:r>
    </w:p>
    <w:p>
      <w:pPr>
        <w:pStyle w:val="Standard"/>
        <w:numPr>
          <w:ilvl w:val="0"/>
          <w:numId w:val="17"/>
        </w:numPr>
        <w:spacing w:lineRule="auto" w:line="276"/>
        <w:ind w:hanging="567" w:left="1134"/>
        <w:jc w:val="both"/>
        <w:rPr>
          <w:rFonts w:ascii="Titillium" w:hAnsi="Titillium"/>
        </w:rPr>
      </w:pPr>
      <w:r>
        <w:rPr>
          <w:rFonts w:ascii="Titillium" w:hAnsi="Titillium"/>
        </w:rPr>
        <w:t>Wykonawcę oraz uczestnika konkursu, którego jednostką dominującą w rozumieniu art. 3 ust. 1 pkt 37 ustawy z dnia 29 września 1994 r. o rachunkowości (Dz. U. z 2021 r. poz. 217, 2105 i</w:t>
      </w:r>
      <w:r>
        <w:rPr>
          <w:rFonts w:cs="Calibri" w:ascii="Titillium" w:hAnsi="Titillium"/>
        </w:rPr>
        <w:t> </w:t>
      </w:r>
      <w:r>
        <w:rPr>
          <w:rFonts w:ascii="Titillium" w:hAnsi="Titillium"/>
        </w:rPr>
        <w:t>2106) jest podmiot wymieniony w wykazach określonych w rozporządzeniu 765/2006 i</w:t>
      </w:r>
      <w:r>
        <w:rPr>
          <w:rFonts w:cs="Calibri" w:ascii="Titillium" w:hAnsi="Titillium"/>
        </w:rPr>
        <w:t> </w:t>
      </w:r>
      <w:r>
        <w:rPr>
          <w:rFonts w:ascii="Titillium" w:hAnsi="Titillium"/>
        </w:rPr>
        <w:t>rozporządzeniu 269/2014 albo wpisany na listę lub będący taką jednostką dominującą od dnia 24 lutego 2022 r.,  o ile został wpisany na listę na podstawie decyzji w sprawie wpisu na listę rozstrzygającej o zastosowaniu środka, o którym mowa w art. 1 pkt 3 ustawy,  o której mowa powyżej.</w:t>
      </w:r>
    </w:p>
    <w:p>
      <w:pPr>
        <w:pStyle w:val="Standard"/>
        <w:numPr>
          <w:ilvl w:val="0"/>
          <w:numId w:val="11"/>
        </w:numPr>
        <w:spacing w:lineRule="auto" w:line="276"/>
        <w:ind w:hanging="567" w:left="567"/>
        <w:jc w:val="both"/>
        <w:rPr>
          <w:rFonts w:ascii="Titillium" w:hAnsi="Titillium"/>
        </w:rPr>
      </w:pPr>
      <w:r>
        <w:rPr>
          <w:rFonts w:ascii="Titillium" w:hAnsi="Titillium"/>
        </w:rPr>
        <w:t>Wykluczenie następuje na okres trwania okoliczności określonych w ust. 6.</w:t>
      </w:r>
    </w:p>
    <w:p>
      <w:pPr>
        <w:pStyle w:val="Standard"/>
        <w:numPr>
          <w:ilvl w:val="0"/>
          <w:numId w:val="11"/>
        </w:numPr>
        <w:spacing w:lineRule="auto" w:line="276"/>
        <w:ind w:hanging="567" w:left="567"/>
        <w:jc w:val="both"/>
        <w:rPr>
          <w:rFonts w:ascii="Titillium" w:hAnsi="Titillium"/>
        </w:rPr>
      </w:pPr>
      <w:r>
        <w:rPr>
          <w:rFonts w:ascii="Titillium" w:hAnsi="Titillium"/>
        </w:rPr>
        <w:t>W przypadku Wykonawcy wykluczonego na podstawie ust. 6, Zamawiający odrzuca ofertę takiego Wykonawcy odpowiednio do trybu stosowanego do udzielenia zamówienia publicznego oraz etapu prowadzonego postępowania o udzielenie zamówienia publicznego.</w:t>
      </w:r>
    </w:p>
    <w:p>
      <w:pPr>
        <w:pStyle w:val="Standard"/>
        <w:spacing w:lineRule="auto" w:line="276"/>
        <w:ind w:hanging="567" w:left="567"/>
        <w:jc w:val="both"/>
        <w:rPr>
          <w:rFonts w:ascii="Titillium" w:hAnsi="Titillium"/>
        </w:rPr>
      </w:pPr>
      <w:r>
        <w:rPr>
          <w:rFonts w:ascii="Titillium" w:hAnsi="Titillium"/>
        </w:rPr>
      </w:r>
    </w:p>
    <w:p>
      <w:pPr>
        <w:pStyle w:val="Standard"/>
        <w:spacing w:lineRule="auto" w:line="276"/>
        <w:ind w:hanging="567" w:left="567"/>
        <w:jc w:val="both"/>
        <w:rPr>
          <w:rFonts w:ascii="Titillium" w:hAnsi="Titillium"/>
        </w:rPr>
      </w:pPr>
      <w:r>
        <w:rPr>
          <w:rFonts w:ascii="Titillium" w:hAnsi="Titillium"/>
        </w:rPr>
      </w:r>
    </w:p>
    <w:p>
      <w:pPr>
        <w:sectPr>
          <w:type w:val="continuous"/>
          <w:pgSz w:w="11906" w:h="16838"/>
          <w:pgMar w:left="1583" w:right="1420" w:gutter="0" w:header="708" w:top="765" w:footer="708" w:bottom="765"/>
          <w:formProt w:val="false"/>
          <w:textDirection w:val="lrTb"/>
          <w:docGrid w:type="default" w:linePitch="100" w:charSpace="0"/>
        </w:sectPr>
      </w:pPr>
    </w:p>
    <w:p>
      <w:pPr>
        <w:pStyle w:val="Standard"/>
        <w:tabs>
          <w:tab w:val="clear" w:pos="720"/>
          <w:tab w:val="left" w:pos="-54" w:leader="none"/>
          <w:tab w:val="left" w:pos="279" w:leader="none"/>
        </w:tabs>
        <w:spacing w:lineRule="auto" w:line="276"/>
        <w:jc w:val="both"/>
        <w:rPr>
          <w:rFonts w:ascii="Titillium" w:hAnsi="Titillium"/>
        </w:rPr>
      </w:pPr>
      <w:r>
        <w:rPr>
          <w:rFonts w:ascii="Titillium" w:hAnsi="Titillium"/>
        </w:rPr>
      </w:r>
    </w:p>
    <w:p>
      <w:pPr>
        <w:pStyle w:val="Normalny1"/>
        <w:numPr>
          <w:ilvl w:val="0"/>
          <w:numId w:val="139"/>
        </w:numPr>
        <w:spacing w:lineRule="auto" w:line="276"/>
        <w:ind w:hanging="567" w:left="567"/>
        <w:jc w:val="both"/>
        <w:rPr>
          <w:rFonts w:ascii="Titillium" w:hAnsi="Titillium"/>
        </w:rPr>
      </w:pPr>
      <w:r>
        <w:rPr>
          <w:rFonts w:ascii="Titillium" w:hAnsi="Titillium"/>
          <w:b/>
          <w:bCs/>
          <w:sz w:val="20"/>
          <w:szCs w:val="20"/>
        </w:rPr>
        <w:t>Informacja o warunkach udziału w postępowaniu</w:t>
      </w:r>
    </w:p>
    <w:p>
      <w:pPr>
        <w:pStyle w:val="Standard"/>
        <w:spacing w:lineRule="auto" w:line="276"/>
        <w:ind w:left="567"/>
        <w:jc w:val="both"/>
        <w:rPr>
          <w:rFonts w:ascii="Titillium" w:hAnsi="Titillium"/>
        </w:rPr>
      </w:pPr>
      <w:r>
        <w:rPr>
          <w:rFonts w:ascii="Titillium" w:hAnsi="Titillium"/>
          <w:b/>
        </w:rPr>
        <w:t>O udzielenie zamówienia mogą ubiegać się Wykonawcy, którzy spełniają warunki, dotyczące:</w:t>
      </w:r>
    </w:p>
    <w:p>
      <w:pPr>
        <w:pStyle w:val="Standard"/>
        <w:numPr>
          <w:ilvl w:val="1"/>
          <w:numId w:val="140"/>
        </w:numPr>
        <w:spacing w:lineRule="auto" w:line="276"/>
        <w:ind w:hanging="567" w:left="1134"/>
        <w:jc w:val="both"/>
        <w:rPr>
          <w:rFonts w:ascii="Titillium" w:hAnsi="Titillium"/>
        </w:rPr>
      </w:pPr>
      <w:r>
        <w:rPr>
          <w:rFonts w:ascii="Titillium" w:hAnsi="Titillium"/>
          <w:bCs/>
          <w:color w:val="000000"/>
        </w:rPr>
        <w:t>zdolności do występowania w obrocie gospodarczym:</w:t>
      </w:r>
    </w:p>
    <w:p>
      <w:pPr>
        <w:pStyle w:val="Standard"/>
        <w:spacing w:lineRule="auto" w:line="276"/>
        <w:ind w:hanging="567" w:left="1701"/>
        <w:jc w:val="both"/>
        <w:rPr>
          <w:rFonts w:ascii="Titillium" w:hAnsi="Titillium"/>
        </w:rPr>
      </w:pPr>
      <w:r>
        <w:rPr>
          <w:rFonts w:eastAsia="Times-Roman, 'Times New Roman'" w:ascii="Titillium" w:hAnsi="Titillium"/>
          <w:bCs/>
          <w:i/>
          <w:iCs/>
          <w:color w:val="000000"/>
        </w:rPr>
        <w:t>Zamawiający nie określa warunków udziału w postępowaniu w tym zakresie.</w:t>
      </w:r>
    </w:p>
    <w:p>
      <w:pPr>
        <w:pStyle w:val="Standard"/>
        <w:numPr>
          <w:ilvl w:val="1"/>
          <w:numId w:val="141"/>
        </w:numPr>
        <w:spacing w:lineRule="auto" w:line="276"/>
        <w:ind w:hanging="567" w:left="1134"/>
        <w:jc w:val="both"/>
        <w:rPr>
          <w:rFonts w:ascii="Titillium" w:hAnsi="Titillium"/>
        </w:rPr>
      </w:pPr>
      <w:r>
        <w:rPr>
          <w:rFonts w:ascii="Titillium" w:hAnsi="Titillium"/>
          <w:bCs/>
          <w:color w:val="000000"/>
        </w:rPr>
        <w:t>uprawnień do prowadzenia określonej działalności gospodarczej lub zawodowej, o ile wynika to z odrębnych przepisów:</w:t>
      </w:r>
    </w:p>
    <w:p>
      <w:pPr>
        <w:pStyle w:val="Standard"/>
        <w:spacing w:lineRule="auto" w:line="276"/>
        <w:ind w:hanging="567" w:left="1701"/>
        <w:jc w:val="both"/>
        <w:rPr>
          <w:rFonts w:ascii="Titillium" w:hAnsi="Titillium"/>
        </w:rPr>
      </w:pPr>
      <w:r>
        <w:rPr>
          <w:rFonts w:eastAsia="Times-Roman, 'Times New Roman'" w:ascii="Titillium" w:hAnsi="Titillium"/>
          <w:bCs/>
          <w:i/>
          <w:iCs/>
          <w:color w:val="000000"/>
        </w:rPr>
        <w:t>Zamawiający nie określa warunków udziału w postępowaniu w tym zakresie.</w:t>
      </w:r>
    </w:p>
    <w:p>
      <w:pPr>
        <w:pStyle w:val="Standard"/>
        <w:numPr>
          <w:ilvl w:val="1"/>
          <w:numId w:val="142"/>
        </w:numPr>
        <w:spacing w:lineRule="auto" w:line="276"/>
        <w:ind w:hanging="567" w:left="1134"/>
        <w:jc w:val="both"/>
        <w:rPr>
          <w:rFonts w:ascii="Titillium" w:hAnsi="Titillium"/>
        </w:rPr>
      </w:pPr>
      <w:r>
        <w:rPr>
          <w:rFonts w:ascii="Titillium" w:hAnsi="Titillium"/>
          <w:bCs/>
          <w:color w:val="000000"/>
        </w:rPr>
        <w:t>sytuacji ekonomicznej lub finansowej:</w:t>
      </w:r>
    </w:p>
    <w:p>
      <w:pPr>
        <w:pStyle w:val="Standard"/>
        <w:spacing w:lineRule="auto" w:line="276"/>
        <w:ind w:left="1134"/>
        <w:jc w:val="both"/>
        <w:rPr>
          <w:rFonts w:ascii="Titillium" w:hAnsi="Titillium"/>
        </w:rPr>
      </w:pPr>
      <w:r>
        <w:rPr>
          <w:rFonts w:eastAsia="Times-Roman, 'Times New Roman'" w:ascii="Titillium" w:hAnsi="Titillium"/>
          <w:bCs/>
          <w:i/>
          <w:color w:val="000000"/>
        </w:rPr>
        <w:t xml:space="preserve">Zamawiający uzna warunek za spełniony, jeżeli Wykonawcy wykażą, iż posiadają środki finansowe lub zdolność kredytową w wysokości wynoszącej co najmniej 300 000 zł - </w:t>
      </w:r>
      <w:r>
        <w:rPr>
          <w:rFonts w:eastAsia="Times-Roman, 'Times New Roman'" w:ascii="Titillium" w:hAnsi="Titillium"/>
          <w:b/>
          <w:bCs/>
          <w:i w:val="false"/>
          <w:iCs w:val="false"/>
          <w:strike w:val="false"/>
          <w:dstrike w:val="false"/>
          <w:color w:val="000000"/>
        </w:rPr>
        <w:t>dotyczy zadania nr 1</w:t>
      </w:r>
    </w:p>
    <w:p>
      <w:pPr>
        <w:pStyle w:val="Standard"/>
        <w:numPr>
          <w:ilvl w:val="1"/>
          <w:numId w:val="143"/>
        </w:numPr>
        <w:spacing w:lineRule="auto" w:line="276"/>
        <w:ind w:hanging="567" w:left="1134"/>
        <w:jc w:val="both"/>
        <w:rPr>
          <w:rFonts w:ascii="Titillium" w:hAnsi="Titillium"/>
        </w:rPr>
      </w:pPr>
      <w:r>
        <w:rPr>
          <w:rFonts w:ascii="Titillium" w:hAnsi="Titillium"/>
        </w:rPr>
        <w:t>zdolności technicznej lub zawodowej:</w:t>
      </w:r>
    </w:p>
    <w:p>
      <w:pPr>
        <w:pStyle w:val="Standard"/>
        <w:widowControl/>
        <w:numPr>
          <w:ilvl w:val="0"/>
          <w:numId w:val="0"/>
        </w:numPr>
        <w:suppressAutoHyphens w:val="true"/>
        <w:bidi w:val="0"/>
        <w:spacing w:lineRule="auto" w:line="276" w:before="0" w:after="0"/>
        <w:ind w:hanging="0" w:left="1134" w:right="0"/>
        <w:jc w:val="both"/>
        <w:textAlignment w:val="baseline"/>
        <w:rPr>
          <w:rFonts w:ascii="Titillium" w:hAnsi="Titillium"/>
        </w:rPr>
      </w:pPr>
      <w:r>
        <w:rPr>
          <w:rFonts w:ascii="Titillium" w:hAnsi="Titillium"/>
          <w:bCs/>
          <w:i/>
          <w:iCs/>
          <w:strike w:val="false"/>
          <w:dstrike w:val="false"/>
          <w:sz w:val="20"/>
          <w:szCs w:val="20"/>
          <w:lang w:val="pl-PL"/>
        </w:rPr>
        <w:t xml:space="preserve">Zamawiający uzna warunek za spełniony, jeżeli Wykonawcy wykażą, iż wykonali w sposób należyty, zgodnie z przepisami prawa budowlanego i prawidłowo ukończyli w okresie ostatnich 5 lat przed upływem terminu składania ofert, a jeżeli okres prowadzenia działalności jest krótszy – w tym okresie </w:t>
      </w:r>
      <w:r>
        <w:rPr>
          <w:rFonts w:ascii="Titillium" w:hAnsi="Titillium"/>
          <w:bCs/>
          <w:i/>
          <w:iCs/>
          <w:sz w:val="20"/>
          <w:szCs w:val="20"/>
          <w:lang w:val="pl-PL"/>
        </w:rPr>
        <w:t>co najmniej</w:t>
      </w:r>
      <w:r>
        <w:rPr>
          <w:rFonts w:ascii="Titillium" w:hAnsi="Titillium"/>
          <w:bCs/>
          <w:i/>
          <w:iCs/>
          <w:position w:val="0"/>
          <w:sz w:val="20"/>
          <w:sz w:val="20"/>
          <w:szCs w:val="20"/>
          <w:vertAlign w:val="baseline"/>
          <w:lang w:val="pl-PL"/>
        </w:rPr>
        <w:t xml:space="preserve"> </w:t>
      </w:r>
      <w:r>
        <w:rPr>
          <w:rFonts w:eastAsia="Times New Roman" w:cs="Times New Roman" w:ascii="Titillium" w:hAnsi="Titillium"/>
          <w:bCs/>
          <w:i/>
          <w:iCs/>
          <w:color w:val="auto"/>
          <w:position w:val="0"/>
          <w:sz w:val="20"/>
          <w:sz w:val="20"/>
          <w:szCs w:val="20"/>
          <w:vertAlign w:val="baseline"/>
          <w:lang w:val="pl-PL" w:eastAsia="zh-CN" w:bidi="ar-SA"/>
        </w:rPr>
        <w:t>2</w:t>
      </w:r>
      <w:r>
        <w:rPr>
          <w:rFonts w:eastAsia="Times New Roman" w:cs="Book Antiqua" w:ascii="Titillium" w:hAnsi="Titillium"/>
          <w:b w:val="false"/>
          <w:bCs w:val="false"/>
          <w:i/>
          <w:iCs/>
          <w:color w:val="000000"/>
          <w:position w:val="0"/>
          <w:sz w:val="20"/>
          <w:sz w:val="20"/>
          <w:szCs w:val="20"/>
          <w:shd w:fill="auto" w:val="clear"/>
          <w:vertAlign w:val="baseline"/>
          <w:lang w:val="pl-PL" w:eastAsia="zxx" w:bidi="ar-SA"/>
        </w:rPr>
        <w:t xml:space="preserve"> roboty budowlane obejmujące</w:t>
      </w:r>
      <w:r>
        <w:rPr>
          <w:rFonts w:eastAsia="Times New Roman" w:cs="Book Antiqua" w:ascii="Titillium" w:hAnsi="Titillium"/>
          <w:b w:val="false"/>
          <w:bCs w:val="false"/>
          <w:i/>
          <w:iCs/>
          <w:strike w:val="false"/>
          <w:dstrike w:val="false"/>
          <w:color w:val="000000"/>
          <w:position w:val="0"/>
          <w:sz w:val="20"/>
          <w:sz w:val="20"/>
          <w:szCs w:val="20"/>
          <w:shd w:fill="auto" w:val="clear"/>
          <w:vertAlign w:val="baseline"/>
          <w:lang w:val="pl-PL" w:eastAsia="zxx" w:bidi="ar-SA"/>
        </w:rPr>
        <w:t xml:space="preserve"> budowę, </w:t>
      </w:r>
      <w:r>
        <w:rPr>
          <w:rFonts w:eastAsia="Times New Roman" w:cs="Book Antiqua" w:ascii="Titillium" w:hAnsi="Titillium"/>
          <w:b w:val="false"/>
          <w:bCs w:val="false"/>
          <w:i/>
          <w:iCs/>
          <w:color w:val="000000"/>
          <w:position w:val="0"/>
          <w:sz w:val="20"/>
          <w:sz w:val="20"/>
          <w:szCs w:val="20"/>
          <w:shd w:fill="auto" w:val="clear"/>
          <w:vertAlign w:val="baseline"/>
          <w:lang w:val="pl-PL" w:eastAsia="zxx" w:bidi="ar-SA"/>
        </w:rPr>
        <w:t>przebudowę albo remont drogi o powierzchni wynoszącej co najmniej:</w:t>
      </w:r>
    </w:p>
    <w:p>
      <w:pPr>
        <w:pStyle w:val="Standard"/>
        <w:widowControl/>
        <w:numPr>
          <w:ilvl w:val="3"/>
          <w:numId w:val="144"/>
        </w:numPr>
        <w:suppressAutoHyphens w:val="true"/>
        <w:bidi w:val="0"/>
        <w:spacing w:lineRule="auto" w:line="276" w:before="0" w:after="0"/>
        <w:ind w:hanging="0" w:left="1134" w:right="0"/>
        <w:jc w:val="both"/>
        <w:textAlignment w:val="baseline"/>
        <w:rPr>
          <w:rFonts w:ascii="Titillium" w:hAnsi="Titillium"/>
        </w:rPr>
      </w:pPr>
      <w:r>
        <w:rPr>
          <w:rFonts w:eastAsia="Times New Roman" w:cs="Book Antiqua" w:ascii="Titillium" w:hAnsi="Titillium"/>
          <w:b w:val="false"/>
          <w:bCs w:val="false"/>
          <w:i/>
          <w:iCs/>
          <w:color w:val="000000"/>
          <w:position w:val="0"/>
          <w:sz w:val="20"/>
          <w:sz w:val="20"/>
          <w:szCs w:val="20"/>
          <w:shd w:fill="auto" w:val="clear"/>
          <w:vertAlign w:val="baseline"/>
          <w:lang w:val="pl-PL" w:eastAsia="zxx" w:bidi="ar-SA"/>
        </w:rPr>
        <w:t>1500 m</w:t>
      </w:r>
      <w:r>
        <w:rPr>
          <w:rFonts w:eastAsia="Times New Roman" w:cs="Book Antiqua" w:ascii="Titillium" w:hAnsi="Titillium"/>
          <w:b w:val="false"/>
          <w:bCs w:val="false"/>
          <w:i/>
          <w:iCs/>
          <w:color w:val="000000"/>
          <w:sz w:val="20"/>
          <w:szCs w:val="20"/>
          <w:shd w:fill="auto" w:val="clear"/>
          <w:vertAlign w:val="superscript"/>
          <w:lang w:val="pl-PL" w:eastAsia="zxx" w:bidi="ar-SA"/>
        </w:rPr>
        <w:t xml:space="preserve">2 </w:t>
      </w:r>
      <w:r>
        <w:rPr>
          <w:rFonts w:eastAsia="Times New Roman" w:cs="Book Antiqua" w:ascii="Titillium" w:hAnsi="Titillium"/>
          <w:b w:val="false"/>
          <w:bCs w:val="false"/>
          <w:i/>
          <w:iCs/>
          <w:color w:val="000000"/>
          <w:position w:val="0"/>
          <w:sz w:val="20"/>
          <w:sz w:val="20"/>
          <w:szCs w:val="20"/>
          <w:shd w:fill="auto" w:val="clear"/>
          <w:vertAlign w:val="baseline"/>
          <w:lang w:val="pl-PL" w:eastAsia="zxx" w:bidi="ar-SA"/>
        </w:rPr>
        <w:t>– dla zadania nr 1</w:t>
      </w:r>
    </w:p>
    <w:p>
      <w:pPr>
        <w:pStyle w:val="Standard"/>
        <w:widowControl/>
        <w:numPr>
          <w:ilvl w:val="3"/>
          <w:numId w:val="145"/>
        </w:numPr>
        <w:suppressAutoHyphens w:val="true"/>
        <w:bidi w:val="0"/>
        <w:spacing w:lineRule="auto" w:line="276" w:before="0" w:after="0"/>
        <w:ind w:hanging="0" w:left="1134" w:right="0"/>
        <w:jc w:val="both"/>
        <w:textAlignment w:val="baseline"/>
        <w:rPr>
          <w:rFonts w:ascii="Titillium" w:hAnsi="Titillium"/>
        </w:rPr>
      </w:pPr>
      <w:r>
        <w:rPr>
          <w:rFonts w:eastAsia="Times New Roman" w:cs="Book Antiqua" w:ascii="Titillium" w:hAnsi="Titillium"/>
          <w:b w:val="false"/>
          <w:bCs w:val="false"/>
          <w:i/>
          <w:iCs/>
          <w:color w:val="000000"/>
          <w:position w:val="0"/>
          <w:sz w:val="20"/>
          <w:sz w:val="20"/>
          <w:szCs w:val="20"/>
          <w:shd w:fill="auto" w:val="clear"/>
          <w:vertAlign w:val="baseline"/>
          <w:lang w:val="pl-PL" w:eastAsia="zxx" w:bidi="ar-SA"/>
        </w:rPr>
        <w:t>500 m</w:t>
      </w:r>
      <w:r>
        <w:rPr>
          <w:rFonts w:eastAsia="Times New Roman" w:cs="Book Antiqua" w:ascii="Titillium" w:hAnsi="Titillium"/>
          <w:b w:val="false"/>
          <w:bCs w:val="false"/>
          <w:i/>
          <w:iCs/>
          <w:color w:val="000000"/>
          <w:sz w:val="20"/>
          <w:szCs w:val="20"/>
          <w:shd w:fill="auto" w:val="clear"/>
          <w:vertAlign w:val="superscript"/>
          <w:lang w:val="pl-PL" w:eastAsia="zxx" w:bidi="ar-SA"/>
        </w:rPr>
        <w:t>2</w:t>
      </w:r>
      <w:r>
        <w:rPr>
          <w:rFonts w:eastAsia="Times New Roman" w:cs="Book Antiqua" w:ascii="Titillium" w:hAnsi="Titillium"/>
          <w:b w:val="false"/>
          <w:bCs w:val="false"/>
          <w:i/>
          <w:iCs/>
          <w:color w:val="000000"/>
          <w:position w:val="0"/>
          <w:sz w:val="20"/>
          <w:sz w:val="20"/>
          <w:szCs w:val="20"/>
          <w:shd w:fill="auto" w:val="clear"/>
          <w:vertAlign w:val="baseline"/>
          <w:lang w:val="pl-PL" w:eastAsia="zxx" w:bidi="ar-SA"/>
        </w:rPr>
        <w:t xml:space="preserve"> – dla zadania nr 2.</w:t>
      </w:r>
    </w:p>
    <w:p>
      <w:pPr>
        <w:pStyle w:val="Standard"/>
        <w:numPr>
          <w:ilvl w:val="1"/>
          <w:numId w:val="146"/>
        </w:numPr>
        <w:spacing w:lineRule="auto" w:line="276"/>
        <w:ind w:hanging="567" w:left="1134"/>
        <w:jc w:val="both"/>
        <w:rPr>
          <w:rFonts w:ascii="Titillium" w:hAnsi="Titillium"/>
        </w:rPr>
      </w:pPr>
      <w:r>
        <w:rPr>
          <w:rFonts w:ascii="Titillium" w:hAnsi="Titillium"/>
          <w:bCs/>
          <w:color w:val="000000"/>
        </w:rPr>
        <w:t>zdolność</w:t>
      </w:r>
      <w:r>
        <w:rPr>
          <w:rFonts w:ascii="Titillium" w:hAnsi="Titillium"/>
          <w:bCs/>
          <w:i/>
          <w:iCs/>
          <w:color w:val="000000"/>
        </w:rPr>
        <w:t xml:space="preserve"> </w:t>
      </w:r>
      <w:r>
        <w:rPr>
          <w:rFonts w:ascii="Titillium" w:hAnsi="Titillium"/>
          <w:bCs/>
          <w:color w:val="000000"/>
        </w:rPr>
        <w:t xml:space="preserve">zawodowa w zakresie dysponowania osobami zdolnymi do realizacji zamówienia: </w:t>
      </w:r>
      <w:r>
        <w:rPr>
          <w:rFonts w:ascii="Titillium" w:hAnsi="Titillium"/>
          <w:bCs/>
          <w:i/>
          <w:iCs/>
          <w:color w:val="000000"/>
        </w:rPr>
        <w:t>Zamawiający uzna warunek za spełniony, jeżeli Wykonawcy wykażą się dysponowaniem:</w:t>
      </w:r>
    </w:p>
    <w:p>
      <w:pPr>
        <w:pStyle w:val="Standard"/>
        <w:numPr>
          <w:ilvl w:val="0"/>
          <w:numId w:val="18"/>
        </w:numPr>
        <w:spacing w:lineRule="auto" w:line="276"/>
        <w:ind w:hanging="284" w:left="1418"/>
        <w:jc w:val="both"/>
        <w:rPr>
          <w:rFonts w:ascii="Titillium" w:hAnsi="Titillium"/>
        </w:rPr>
      </w:pPr>
      <w:r>
        <w:rPr>
          <w:rFonts w:cs="A" w:ascii="Titillium" w:hAnsi="Titillium"/>
          <w:bCs/>
          <w:i/>
          <w:iCs/>
          <w:color w:val="000000"/>
          <w:lang w:eastAsia="pl-PL"/>
        </w:rPr>
        <w:t xml:space="preserve">co najmniej jedną </w:t>
      </w:r>
      <w:r>
        <w:rPr>
          <w:rFonts w:cs="A" w:ascii="Titillium" w:hAnsi="Titillium"/>
          <w:i/>
          <w:iCs/>
          <w:color w:val="000000"/>
          <w:lang w:eastAsia="pl-PL"/>
        </w:rPr>
        <w:t xml:space="preserve">osobą posiadającą uprawnienia budowlane do projektowania </w:t>
      </w:r>
      <w:r>
        <w:rPr>
          <w:rFonts w:cs="A" w:ascii="Titillium" w:hAnsi="Titillium"/>
          <w:bCs/>
          <w:i/>
          <w:iCs/>
          <w:color w:val="000000"/>
          <w:lang w:eastAsia="pl-PL"/>
        </w:rPr>
        <w:t>w</w:t>
      </w:r>
      <w:r>
        <w:rPr>
          <w:rFonts w:cs="Calibri" w:ascii="Titillium" w:hAnsi="Titillium"/>
          <w:bCs/>
          <w:i/>
          <w:iCs/>
          <w:color w:val="000000"/>
          <w:lang w:eastAsia="pl-PL"/>
        </w:rPr>
        <w:t> </w:t>
      </w:r>
      <w:r>
        <w:rPr>
          <w:rFonts w:cs="A" w:ascii="Titillium" w:hAnsi="Titillium"/>
          <w:bCs/>
          <w:i/>
          <w:iCs/>
          <w:color w:val="000000"/>
          <w:lang w:eastAsia="pl-PL"/>
        </w:rPr>
        <w:t>specjalno</w:t>
      </w:r>
      <w:r>
        <w:rPr>
          <w:rFonts w:cs="Titillium" w:ascii="Titillium" w:hAnsi="Titillium"/>
          <w:bCs/>
          <w:i/>
          <w:iCs/>
          <w:color w:val="000000"/>
          <w:lang w:eastAsia="pl-PL"/>
        </w:rPr>
        <w:t>ś</w:t>
      </w:r>
      <w:r>
        <w:rPr>
          <w:rFonts w:cs="A" w:ascii="Titillium" w:hAnsi="Titillium"/>
          <w:bCs/>
          <w:i/>
          <w:iCs/>
          <w:color w:val="000000"/>
          <w:lang w:eastAsia="pl-PL"/>
        </w:rPr>
        <w:t>ci in</w:t>
      </w:r>
      <w:r>
        <w:rPr>
          <w:rFonts w:cs="Titillium" w:ascii="Titillium" w:hAnsi="Titillium"/>
          <w:bCs/>
          <w:i/>
          <w:iCs/>
          <w:color w:val="000000"/>
          <w:lang w:eastAsia="pl-PL"/>
        </w:rPr>
        <w:t>ż</w:t>
      </w:r>
      <w:r>
        <w:rPr>
          <w:rFonts w:cs="A" w:ascii="Titillium" w:hAnsi="Titillium"/>
          <w:bCs/>
          <w:i/>
          <w:iCs/>
          <w:color w:val="000000"/>
          <w:lang w:eastAsia="pl-PL"/>
        </w:rPr>
        <w:t xml:space="preserve">ynieryjnej drogowej </w:t>
      </w:r>
      <w:r>
        <w:rPr>
          <w:rFonts w:cs="A" w:ascii="Titillium" w:hAnsi="Titillium"/>
          <w:b/>
          <w:bCs/>
          <w:i/>
          <w:iCs/>
          <w:color w:val="000000"/>
          <w:lang w:eastAsia="pl-PL"/>
        </w:rPr>
        <w:t>– dotyczy zadania nr 1</w:t>
      </w:r>
    </w:p>
    <w:p>
      <w:pPr>
        <w:pStyle w:val="Standard"/>
        <w:numPr>
          <w:ilvl w:val="0"/>
          <w:numId w:val="18"/>
        </w:numPr>
        <w:tabs>
          <w:tab w:val="clear" w:pos="720"/>
          <w:tab w:val="left" w:pos="1647" w:leader="none"/>
          <w:tab w:val="left" w:pos="1980" w:leader="none"/>
          <w:tab w:val="left" w:pos="3405" w:leader="none"/>
        </w:tabs>
        <w:spacing w:lineRule="auto" w:line="276"/>
        <w:ind w:hanging="284" w:left="1418"/>
        <w:jc w:val="both"/>
        <w:rPr>
          <w:rFonts w:ascii="Titillium" w:hAnsi="Titillium"/>
        </w:rPr>
      </w:pPr>
      <w:r>
        <w:rPr>
          <w:rFonts w:cs="A" w:ascii="Titillium" w:hAnsi="Titillium"/>
          <w:bCs/>
          <w:i/>
          <w:iCs/>
          <w:color w:val="000000"/>
          <w:lang w:eastAsia="pl-PL"/>
        </w:rPr>
        <w:t xml:space="preserve">co najmniej jedną </w:t>
      </w:r>
      <w:r>
        <w:rPr>
          <w:rFonts w:cs="A" w:ascii="Titillium" w:hAnsi="Titillium"/>
          <w:i/>
          <w:iCs/>
          <w:color w:val="000000"/>
          <w:lang w:eastAsia="pl-PL"/>
        </w:rPr>
        <w:t xml:space="preserve">osobą posiadającą uprawnienia budowlane do kierowania robotami budowlanymi </w:t>
      </w:r>
      <w:r>
        <w:rPr>
          <w:rFonts w:cs="A" w:ascii="Titillium" w:hAnsi="Titillium"/>
          <w:bCs/>
          <w:i/>
          <w:iCs/>
          <w:color w:val="000000"/>
          <w:lang w:eastAsia="pl-PL"/>
        </w:rPr>
        <w:t>w specjalności inżynieryjnej drogowej –</w:t>
      </w:r>
      <w:r>
        <w:rPr>
          <w:rFonts w:cs="A" w:ascii="Titillium" w:hAnsi="Titillium"/>
          <w:b/>
          <w:bCs/>
          <w:i w:val="false"/>
          <w:iCs w:val="false"/>
          <w:color w:val="000000"/>
          <w:lang w:eastAsia="pl-PL"/>
        </w:rPr>
        <w:t xml:space="preserve"> dotyczy obydwu zadań.</w:t>
      </w:r>
    </w:p>
    <w:p>
      <w:pPr>
        <w:pStyle w:val="Standard"/>
        <w:numPr>
          <w:ilvl w:val="0"/>
          <w:numId w:val="0"/>
        </w:numPr>
        <w:tabs>
          <w:tab w:val="clear" w:pos="720"/>
          <w:tab w:val="left" w:pos="1647" w:leader="none"/>
          <w:tab w:val="left" w:pos="1980" w:leader="none"/>
          <w:tab w:val="left" w:pos="3405" w:leader="none"/>
        </w:tabs>
        <w:spacing w:lineRule="auto" w:line="276"/>
        <w:ind w:hanging="0" w:left="1418"/>
        <w:jc w:val="both"/>
        <w:rPr>
          <w:rFonts w:ascii="Titillium" w:hAnsi="Titillium"/>
        </w:rPr>
      </w:pPr>
      <w:r>
        <w:rPr>
          <w:rFonts w:ascii="Titillium" w:hAnsi="Titillium"/>
        </w:rPr>
      </w:r>
    </w:p>
    <w:p>
      <w:pPr>
        <w:pStyle w:val="Standard"/>
        <w:spacing w:lineRule="auto" w:line="276"/>
        <w:ind w:left="1276"/>
        <w:jc w:val="both"/>
        <w:rPr>
          <w:rFonts w:ascii="Titillium" w:hAnsi="Titillium"/>
        </w:rPr>
      </w:pPr>
      <w:r>
        <w:rPr>
          <w:rFonts w:cs="A" w:ascii="Titillium" w:hAnsi="Titillium"/>
          <w:bCs/>
          <w:i/>
          <w:iCs/>
          <w:color w:val="000000"/>
          <w:lang w:eastAsia="pl-PL"/>
        </w:rPr>
        <w:t>Zamawiający uzna również uprawnienia osób wykonujących samodzielne funkcje techniczne w</w:t>
      </w:r>
      <w:r>
        <w:rPr>
          <w:rFonts w:cs="Calibri" w:ascii="Titillium" w:hAnsi="Titillium"/>
          <w:bCs/>
          <w:i/>
          <w:iCs/>
          <w:color w:val="000000"/>
          <w:lang w:eastAsia="pl-PL"/>
        </w:rPr>
        <w:t> </w:t>
      </w:r>
      <w:r>
        <w:rPr>
          <w:rFonts w:cs="A" w:ascii="Titillium" w:hAnsi="Titillium"/>
          <w:bCs/>
          <w:i/>
          <w:iCs/>
          <w:color w:val="000000"/>
          <w:lang w:eastAsia="pl-PL"/>
        </w:rPr>
        <w:t>budownictwie, jeżeli ich kwalifikacje zawodowe zostały uznane na zasadach określonych w</w:t>
      </w:r>
      <w:r>
        <w:rPr>
          <w:rFonts w:cs="Calibri" w:ascii="Titillium" w:hAnsi="Titillium"/>
          <w:bCs/>
          <w:i/>
          <w:iCs/>
          <w:color w:val="000000"/>
          <w:lang w:eastAsia="pl-PL"/>
        </w:rPr>
        <w:t> </w:t>
      </w:r>
      <w:r>
        <w:rPr>
          <w:rFonts w:cs="A" w:ascii="Titillium" w:hAnsi="Titillium"/>
          <w:bCs/>
          <w:i/>
          <w:iCs/>
          <w:color w:val="000000"/>
          <w:lang w:eastAsia="pl-PL"/>
        </w:rPr>
        <w:t>ustawie z dnia 22 grudnia 2015 r. o zasadach uznawania kwalifikacji zawodowych nabytych w</w:t>
      </w:r>
      <w:r>
        <w:rPr>
          <w:rFonts w:cs="Calibri" w:ascii="Titillium" w:hAnsi="Titillium"/>
          <w:bCs/>
          <w:i/>
          <w:iCs/>
          <w:color w:val="000000"/>
          <w:lang w:eastAsia="pl-PL"/>
        </w:rPr>
        <w:t> </w:t>
      </w:r>
      <w:r>
        <w:rPr>
          <w:rFonts w:cs="A" w:ascii="Titillium" w:hAnsi="Titillium"/>
          <w:bCs/>
          <w:i/>
          <w:iCs/>
          <w:color w:val="000000"/>
          <w:lang w:eastAsia="pl-PL"/>
        </w:rPr>
        <w:t xml:space="preserve">państwach członkowskich Unii Europejskiej  (t. j. Dz. U. z 2023 r. poz. 334.). </w:t>
      </w:r>
      <w:r>
        <w:rPr>
          <w:rFonts w:cs="A" w:ascii="Titillium" w:hAnsi="Titillium"/>
          <w:i/>
          <w:iCs/>
          <w:color w:val="000000"/>
          <w:lang w:eastAsia="pl-PL"/>
        </w:rPr>
        <w:t>Zamawiający dopuszcza również wykazanie spełniania warunku dotyczącego dysponowania osobami zdolnymi do wykonywania zamówienia przez osoby, które legitymują się uprawnieniami budowlanymi nabytymi na podstawie uprzednio obowiązujących przepisów w myśl przepisu art. 104 ustawy Prawo budowlane.</w:t>
      </w:r>
    </w:p>
    <w:p>
      <w:pPr>
        <w:pStyle w:val="Heading1"/>
        <w:numPr>
          <w:ilvl w:val="0"/>
          <w:numId w:val="46"/>
        </w:numPr>
        <w:jc w:val="both"/>
        <w:rPr>
          <w:rFonts w:ascii="Titillium" w:hAnsi="Titillium"/>
        </w:rPr>
      </w:pPr>
      <w:r>
        <w:rPr>
          <w:rFonts w:ascii="Titillium" w:hAnsi="Titillium"/>
        </w:rPr>
        <w:t>Informacja na temat podmiotowych środków dowodowych, których złożenia wymaga Zamawiający w celu potwierdzenia braku podstaw wykluczenia oraz spełniania warunków udziału w postępowaniu oraz oświadczenie o niepodleganiu wykluczeniu, spełnianiu warunków udziału w</w:t>
      </w:r>
      <w:r>
        <w:rPr>
          <w:rFonts w:cs="Calibri" w:ascii="Titillium" w:hAnsi="Titillium"/>
        </w:rPr>
        <w:t> </w:t>
      </w:r>
      <w:r>
        <w:rPr>
          <w:rFonts w:ascii="Titillium" w:hAnsi="Titillium"/>
        </w:rPr>
        <w:t>postępowaniu lub kryteriów selekcji,                           w zakresie wskazanym przez Zamawiającego</w:t>
      </w:r>
    </w:p>
    <w:p>
      <w:pPr>
        <w:pStyle w:val="Standard"/>
        <w:jc w:val="both"/>
        <w:rPr>
          <w:rFonts w:ascii="Titillium" w:hAnsi="Titillium"/>
        </w:rPr>
      </w:pPr>
      <w:r>
        <w:rPr>
          <w:rFonts w:ascii="Titillium" w:hAnsi="Titillium"/>
        </w:rPr>
      </w:r>
    </w:p>
    <w:p>
      <w:pPr>
        <w:pStyle w:val="ListParagraph"/>
        <w:numPr>
          <w:ilvl w:val="0"/>
          <w:numId w:val="19"/>
        </w:numPr>
        <w:ind w:hanging="567" w:left="567"/>
        <w:jc w:val="both"/>
        <w:rPr>
          <w:rFonts w:ascii="Titillium" w:hAnsi="Titillium"/>
        </w:rPr>
      </w:pPr>
      <w:r>
        <w:rPr>
          <w:rFonts w:ascii="Titillium" w:hAnsi="Titillium"/>
          <w:b/>
          <w:bCs/>
          <w:sz w:val="20"/>
        </w:rPr>
        <w:t>Do oferty należy dołączyć oświadczenie o niepodleganiu wykluczeniu, spełnianiu warunków udziału w postępowaniu w zakresie wskazanym przez Zamawiającego</w:t>
      </w:r>
      <w:r>
        <w:rPr>
          <w:rFonts w:ascii="Titillium" w:hAnsi="Titillium"/>
          <w:sz w:val="20"/>
        </w:rPr>
        <w:t xml:space="preserve"> wg wzoru określonego na załączniku nr 2 lub 2a do SWZ. Oświadczenie, o którym mowa w zdaniu poprzedzającym, składają odrębnie:</w:t>
      </w:r>
    </w:p>
    <w:p>
      <w:pPr>
        <w:pStyle w:val="Standard"/>
        <w:numPr>
          <w:ilvl w:val="0"/>
          <w:numId w:val="20"/>
        </w:numPr>
        <w:spacing w:lineRule="auto" w:line="276"/>
        <w:ind w:hanging="567" w:left="1134"/>
        <w:jc w:val="both"/>
        <w:rPr>
          <w:rFonts w:ascii="Titillium" w:hAnsi="Titillium"/>
        </w:rPr>
      </w:pPr>
      <w:r>
        <w:rPr>
          <w:rFonts w:ascii="Titillium" w:hAnsi="Titillium"/>
        </w:rPr>
        <w:t>Wykonawca / 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pPr>
        <w:pStyle w:val="Standard"/>
        <w:numPr>
          <w:ilvl w:val="0"/>
          <w:numId w:val="20"/>
        </w:numPr>
        <w:spacing w:lineRule="auto" w:line="276"/>
        <w:ind w:hanging="567" w:left="1134"/>
        <w:jc w:val="both"/>
        <w:rPr>
          <w:rFonts w:ascii="Titillium" w:hAnsi="Titillium"/>
        </w:rPr>
      </w:pPr>
      <w:r>
        <w:rPr>
          <w:rFonts w:ascii="Titillium" w:hAnsi="Titillium"/>
        </w:rPr>
        <w:t>podmiot udostępniający zasoby, na którego potencjał powołuje się Wykonawca celem potwierdzenia spełnienia warunków udziału w postępowaniu wg wzoru na załączniku nr 2a.                   W takim przypadku oświadczenie potwierdza brak podstaw wykluczenia podmiotu oraz spełnianie warunków udziału w postępowaniu w zakresie, w jakim podmiot udostępnia swoje zasoby Wykonawcy.</w:t>
      </w:r>
    </w:p>
    <w:p>
      <w:pPr>
        <w:pStyle w:val="ListParagraph"/>
        <w:numPr>
          <w:ilvl w:val="0"/>
          <w:numId w:val="19"/>
        </w:numPr>
        <w:ind w:hanging="567" w:left="567"/>
        <w:jc w:val="both"/>
        <w:rPr>
          <w:rFonts w:ascii="Titillium" w:hAnsi="Titillium"/>
        </w:rPr>
      </w:pPr>
      <w:r>
        <w:rPr>
          <w:rFonts w:ascii="Titillium" w:hAnsi="Titillium"/>
          <w:b/>
          <w:bCs/>
          <w:sz w:val="20"/>
        </w:rPr>
        <w:t>W celu potwierdzenia braku podstaw wykluczenia Wykonawcy z udziału w postępowaniu o</w:t>
      </w:r>
      <w:r>
        <w:rPr>
          <w:rFonts w:cs="Calibri" w:ascii="Titillium" w:hAnsi="Titillium"/>
          <w:b/>
          <w:bCs/>
          <w:sz w:val="20"/>
        </w:rPr>
        <w:t> </w:t>
      </w:r>
      <w:r>
        <w:rPr>
          <w:rFonts w:ascii="Titillium" w:hAnsi="Titillium"/>
          <w:b/>
          <w:bCs/>
          <w:sz w:val="20"/>
        </w:rPr>
        <w:t>udzielenie zamówienia publicznego,  należy przedłożyć następujące podmiotowe środki dowodowe:</w:t>
      </w:r>
    </w:p>
    <w:p>
      <w:pPr>
        <w:pStyle w:val="Standard"/>
        <w:numPr>
          <w:ilvl w:val="0"/>
          <w:numId w:val="21"/>
        </w:numPr>
        <w:spacing w:lineRule="auto" w:line="276"/>
        <w:ind w:hanging="567" w:left="1134"/>
        <w:jc w:val="both"/>
        <w:rPr>
          <w:rFonts w:ascii="Titillium" w:hAnsi="Titillium"/>
        </w:rPr>
      </w:pPr>
      <w:r>
        <w:rPr>
          <w:rFonts w:ascii="Titillium" w:hAnsi="Titillium"/>
        </w:rPr>
        <w:t>informacja z Krajowego Rejestru Karnego w zakresie:</w:t>
      </w:r>
    </w:p>
    <w:p>
      <w:pPr>
        <w:pStyle w:val="Standard"/>
        <w:numPr>
          <w:ilvl w:val="0"/>
          <w:numId w:val="22"/>
        </w:numPr>
        <w:tabs>
          <w:tab w:val="clear" w:pos="720"/>
          <w:tab w:val="left" w:pos="-1468" w:leader="none"/>
          <w:tab w:val="left" w:pos="-1427" w:leader="none"/>
        </w:tabs>
        <w:spacing w:lineRule="auto" w:line="276"/>
        <w:ind w:hanging="284" w:left="1418"/>
        <w:jc w:val="both"/>
        <w:rPr>
          <w:rFonts w:ascii="Titillium" w:hAnsi="Titillium"/>
        </w:rPr>
      </w:pPr>
      <w:r>
        <w:rPr>
          <w:rFonts w:ascii="Titillium" w:hAnsi="Titillium"/>
        </w:rPr>
        <w:t>art. 108 ust. 1 pkt 1 i 2 ustawy Pzp</w:t>
      </w:r>
    </w:p>
    <w:p>
      <w:pPr>
        <w:pStyle w:val="Standard"/>
        <w:numPr>
          <w:ilvl w:val="0"/>
          <w:numId w:val="22"/>
        </w:numPr>
        <w:tabs>
          <w:tab w:val="clear" w:pos="720"/>
          <w:tab w:val="left" w:pos="-1468" w:leader="none"/>
          <w:tab w:val="left" w:pos="-1427" w:leader="none"/>
        </w:tabs>
        <w:spacing w:lineRule="auto" w:line="276"/>
        <w:ind w:hanging="284" w:left="1418"/>
        <w:jc w:val="both"/>
        <w:rPr>
          <w:rFonts w:ascii="Titillium" w:hAnsi="Titillium"/>
        </w:rPr>
      </w:pPr>
      <w:r>
        <w:rPr>
          <w:rFonts w:ascii="Titillium" w:hAnsi="Titillium"/>
        </w:rPr>
        <w:t>art. 108 ust. 1 pkt 4 ustawy Pzp, dotyczącym orzeczenia zakazu ubiegania się                              o zamówienie publiczne tytułem środka karnego,</w:t>
      </w:r>
    </w:p>
    <w:p>
      <w:pPr>
        <w:pStyle w:val="Standard"/>
        <w:spacing w:lineRule="auto" w:line="276"/>
        <w:ind w:firstLine="720" w:left="414"/>
        <w:jc w:val="both"/>
        <w:rPr>
          <w:rFonts w:ascii="Titillium" w:hAnsi="Titillium"/>
        </w:rPr>
      </w:pPr>
      <w:r>
        <w:rPr>
          <w:rFonts w:ascii="Titillium" w:hAnsi="Titillium"/>
        </w:rPr>
        <w:t>- sporządzona nie wcześniej niż 6 miesięcy przed jej złożeniem,</w:t>
      </w:r>
    </w:p>
    <w:p>
      <w:pPr>
        <w:pStyle w:val="Standard"/>
        <w:numPr>
          <w:ilvl w:val="0"/>
          <w:numId w:val="21"/>
        </w:numPr>
        <w:spacing w:lineRule="auto" w:line="276"/>
        <w:ind w:hanging="567" w:left="1134"/>
        <w:jc w:val="both"/>
        <w:rPr>
          <w:rFonts w:ascii="Titillium" w:hAnsi="Titillium"/>
        </w:rPr>
      </w:pPr>
      <w:r>
        <w:rPr>
          <w:rFonts w:ascii="Titillium" w:hAnsi="Titillium"/>
        </w:rPr>
        <w:t>oświadczenie Wykonawcy, w zakresie art. 108 ust. 1 pkt 5 ustawy Pzp, o braku przynależności do tej 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w:t>
      </w:r>
      <w:r>
        <w:rPr>
          <w:rFonts w:cs="Calibri" w:ascii="Titillium" w:hAnsi="Titillium"/>
        </w:rPr>
        <w:t> </w:t>
      </w:r>
      <w:r>
        <w:rPr>
          <w:rFonts w:ascii="Titillium" w:hAnsi="Titillium"/>
        </w:rPr>
        <w:t>o dopuszczenie do udzia</w:t>
      </w:r>
      <w:r>
        <w:rPr>
          <w:rFonts w:cs="Titillium" w:ascii="Titillium" w:hAnsi="Titillium"/>
        </w:rPr>
        <w:t>ł</w:t>
      </w:r>
      <w:r>
        <w:rPr>
          <w:rFonts w:ascii="Titillium" w:hAnsi="Titillium"/>
        </w:rPr>
        <w:t>u w post</w:t>
      </w:r>
      <w:r>
        <w:rPr>
          <w:rFonts w:cs="Titillium" w:ascii="Titillium" w:hAnsi="Titillium"/>
        </w:rPr>
        <w:t>ę</w:t>
      </w:r>
      <w:r>
        <w:rPr>
          <w:rFonts w:ascii="Titillium" w:hAnsi="Titillium"/>
        </w:rPr>
        <w:t>powaniu niezale</w:t>
      </w:r>
      <w:r>
        <w:rPr>
          <w:rFonts w:cs="Titillium" w:ascii="Titillium" w:hAnsi="Titillium"/>
        </w:rPr>
        <w:t>ż</w:t>
      </w:r>
      <w:r>
        <w:rPr>
          <w:rFonts w:ascii="Titillium" w:hAnsi="Titillium"/>
        </w:rPr>
        <w:t>nie od innego Wykonawcy należącego do tej samej grupy kapitałowej,</w:t>
      </w:r>
    </w:p>
    <w:p>
      <w:pPr>
        <w:pStyle w:val="Standard"/>
        <w:numPr>
          <w:ilvl w:val="0"/>
          <w:numId w:val="21"/>
        </w:numPr>
        <w:spacing w:lineRule="auto" w:line="276"/>
        <w:ind w:hanging="567" w:left="1134"/>
        <w:jc w:val="both"/>
        <w:rPr>
          <w:rFonts w:ascii="Titillium" w:hAnsi="Titillium"/>
        </w:rPr>
      </w:pPr>
      <w:r>
        <w:rPr>
          <w:rFonts w:ascii="Titillium" w:hAnsi="Titillium"/>
        </w:rPr>
        <w:t xml:space="preserve">oświadczenie Wykonawcy o aktualności informacji zawartych w oświadczeniu, o którym mowa w art. 125 ust. 1 ustawy Pzp, w zakresie podstaw wykluczenia z postępowania wskazanych przez Zamawiającego, o których mowa w:  </w:t>
      </w:r>
    </w:p>
    <w:p>
      <w:pPr>
        <w:pStyle w:val="Standard"/>
        <w:numPr>
          <w:ilvl w:val="0"/>
          <w:numId w:val="23"/>
        </w:numPr>
        <w:tabs>
          <w:tab w:val="clear" w:pos="720"/>
          <w:tab w:val="left" w:pos="-1468" w:leader="none"/>
          <w:tab w:val="left" w:pos="-1427" w:leader="none"/>
        </w:tabs>
        <w:spacing w:lineRule="auto" w:line="276"/>
        <w:ind w:hanging="284" w:left="1418"/>
        <w:jc w:val="both"/>
        <w:rPr>
          <w:rFonts w:ascii="Titillium" w:hAnsi="Titillium"/>
        </w:rPr>
      </w:pPr>
      <w:r>
        <w:rPr>
          <w:rFonts w:ascii="Titillium" w:hAnsi="Titillium"/>
        </w:rPr>
        <w:t>art. 108 ust. 1 pkt 3 ustawy Pzp,</w:t>
      </w:r>
    </w:p>
    <w:p>
      <w:pPr>
        <w:pStyle w:val="Standard"/>
        <w:numPr>
          <w:ilvl w:val="0"/>
          <w:numId w:val="23"/>
        </w:numPr>
        <w:tabs>
          <w:tab w:val="clear" w:pos="720"/>
          <w:tab w:val="left" w:pos="-1468" w:leader="none"/>
          <w:tab w:val="left" w:pos="-1427" w:leader="none"/>
        </w:tabs>
        <w:spacing w:lineRule="auto" w:line="276"/>
        <w:ind w:hanging="284" w:left="1418"/>
        <w:jc w:val="both"/>
        <w:rPr>
          <w:rFonts w:ascii="Titillium" w:hAnsi="Titillium"/>
        </w:rPr>
      </w:pPr>
      <w:r>
        <w:rPr>
          <w:rFonts w:ascii="Titillium" w:hAnsi="Titillium"/>
        </w:rPr>
        <w:t>art. 108 ust. 1 pkt 4 ustawy Pzp, dotyczących orzeczenia zakazu ubiegania się o</w:t>
      </w:r>
      <w:r>
        <w:rPr>
          <w:rFonts w:cs="Calibri" w:ascii="Titillium" w:hAnsi="Titillium"/>
        </w:rPr>
        <w:t> </w:t>
      </w:r>
      <w:r>
        <w:rPr>
          <w:rFonts w:ascii="Titillium" w:hAnsi="Titillium"/>
        </w:rPr>
        <w:t>zamówienie publiczne tytułem środka zapobiegawczego,</w:t>
      </w:r>
    </w:p>
    <w:p>
      <w:pPr>
        <w:pStyle w:val="Standard"/>
        <w:numPr>
          <w:ilvl w:val="0"/>
          <w:numId w:val="23"/>
        </w:numPr>
        <w:tabs>
          <w:tab w:val="clear" w:pos="720"/>
          <w:tab w:val="left" w:pos="-1468" w:leader="none"/>
          <w:tab w:val="left" w:pos="-1427" w:leader="none"/>
        </w:tabs>
        <w:spacing w:lineRule="auto" w:line="276"/>
        <w:ind w:hanging="284" w:left="1418"/>
        <w:jc w:val="both"/>
        <w:rPr>
          <w:rFonts w:ascii="Titillium" w:hAnsi="Titillium"/>
        </w:rPr>
      </w:pPr>
      <w:r>
        <w:rPr>
          <w:rFonts w:ascii="Titillium" w:hAnsi="Titillium"/>
        </w:rPr>
        <w:t>art. 108 ust. 1 pkt 5 ustawy Pzp, dotyczących zawarcia z innymi wykonawcami porozumienia mającego na celu zakłócenie konkurencji,</w:t>
      </w:r>
    </w:p>
    <w:p>
      <w:pPr>
        <w:pStyle w:val="Standard"/>
        <w:numPr>
          <w:ilvl w:val="0"/>
          <w:numId w:val="23"/>
        </w:numPr>
        <w:tabs>
          <w:tab w:val="clear" w:pos="720"/>
          <w:tab w:val="left" w:pos="-1468" w:leader="none"/>
          <w:tab w:val="left" w:pos="-1427" w:leader="none"/>
        </w:tabs>
        <w:spacing w:lineRule="auto" w:line="276"/>
        <w:ind w:hanging="284" w:left="1418"/>
        <w:jc w:val="both"/>
        <w:rPr>
          <w:rFonts w:ascii="Titillium" w:hAnsi="Titillium"/>
        </w:rPr>
      </w:pPr>
      <w:r>
        <w:rPr>
          <w:rFonts w:ascii="Titillium" w:hAnsi="Titillium"/>
        </w:rPr>
        <w:t>art. 108 ust. 1 pkt 6 ustawy Pzp,</w:t>
      </w:r>
    </w:p>
    <w:p>
      <w:pPr>
        <w:pStyle w:val="ListParagraph"/>
        <w:numPr>
          <w:ilvl w:val="0"/>
          <w:numId w:val="19"/>
        </w:numPr>
        <w:ind w:hanging="567" w:left="567"/>
        <w:jc w:val="both"/>
        <w:rPr/>
      </w:pPr>
      <w:r>
        <w:rPr>
          <w:rStyle w:val="ZnakZnak3"/>
          <w:rFonts w:ascii="Titillium" w:hAnsi="Titillium"/>
          <w:sz w:val="20"/>
        </w:rPr>
        <w:t>Wykaz podmiotowych środków dowodowych składanych w celu potwierdzenia spełniania przez Wykonawcę warunków udziału w postępowaniu dotyczących zdolności technicznej lub zawodowej, zakresie wskazanym w rozdziale II ust. 9 SWZ:</w:t>
      </w:r>
    </w:p>
    <w:p>
      <w:pPr>
        <w:pStyle w:val="Standard"/>
        <w:numPr>
          <w:ilvl w:val="0"/>
          <w:numId w:val="24"/>
        </w:numPr>
        <w:tabs>
          <w:tab w:val="clear" w:pos="720"/>
          <w:tab w:val="left" w:pos="1702" w:leader="none"/>
        </w:tabs>
        <w:spacing w:lineRule="auto" w:line="276"/>
        <w:ind w:hanging="567" w:left="1134"/>
        <w:jc w:val="both"/>
        <w:rPr>
          <w:rFonts w:ascii="Titillium" w:hAnsi="Titillium"/>
        </w:rPr>
      </w:pPr>
      <w:r>
        <w:rPr>
          <w:rFonts w:ascii="Titillium" w:hAnsi="Titillium"/>
          <w:color w:val="000000"/>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wg załącznik nr 3 do SWZ,</w:t>
      </w:r>
    </w:p>
    <w:p>
      <w:pPr>
        <w:pStyle w:val="Standard"/>
        <w:tabs>
          <w:tab w:val="clear" w:pos="720"/>
          <w:tab w:val="left" w:pos="1134" w:leader="none"/>
        </w:tabs>
        <w:spacing w:lineRule="auto" w:line="276"/>
        <w:ind w:hanging="567" w:left="567"/>
        <w:jc w:val="both"/>
        <w:rPr>
          <w:rFonts w:ascii="Titillium" w:hAnsi="Titillium"/>
        </w:rPr>
      </w:pPr>
      <w:r>
        <w:rPr>
          <w:rFonts w:ascii="Titillium" w:hAnsi="Titillium"/>
          <w:b/>
          <w:bCs/>
          <w:color w:val="000000"/>
        </w:rPr>
        <w:tab/>
        <w:tab/>
        <w:t>Okres 5 lat liczy się wstecz od upływu terminu składania ofert;</w:t>
      </w:r>
    </w:p>
    <w:p>
      <w:pPr>
        <w:pStyle w:val="Standard"/>
        <w:numPr>
          <w:ilvl w:val="0"/>
          <w:numId w:val="24"/>
        </w:numPr>
        <w:tabs>
          <w:tab w:val="clear" w:pos="720"/>
          <w:tab w:val="left" w:pos="1702" w:leader="none"/>
        </w:tabs>
        <w:spacing w:lineRule="auto" w:line="276"/>
        <w:ind w:hanging="567" w:left="1134"/>
        <w:jc w:val="both"/>
        <w:rPr>
          <w:rFonts w:ascii="Titillium" w:hAnsi="Titillium"/>
        </w:rPr>
      </w:pPr>
      <w:r>
        <w:rPr>
          <w:rFonts w:ascii="Titillium" w:hAnsi="Titillium"/>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wg wzoru na załączniku nr 4;</w:t>
      </w:r>
    </w:p>
    <w:p>
      <w:pPr>
        <w:pStyle w:val="Standard"/>
        <w:numPr>
          <w:ilvl w:val="0"/>
          <w:numId w:val="24"/>
        </w:numPr>
        <w:tabs>
          <w:tab w:val="clear" w:pos="720"/>
          <w:tab w:val="left" w:pos="1702" w:leader="none"/>
        </w:tabs>
        <w:spacing w:lineRule="auto" w:line="276"/>
        <w:ind w:hanging="567" w:left="1134"/>
        <w:jc w:val="both"/>
        <w:rPr>
          <w:rFonts w:ascii="Titillium" w:hAnsi="Titillium"/>
        </w:rPr>
      </w:pPr>
      <w:r>
        <w:rPr>
          <w:rFonts w:ascii="Titillium" w:hAnsi="Titillium"/>
        </w:rPr>
        <w:t>informacja banku lub spółdzielczej kasy oszczędnościowo-kredytowej potwierdzającej wysokość posiadanych środków finansowych lub zdolność kredytową wykonawcy, w okresie nie wcześniejszym niż 3 miesiące przed jej złożeniem –</w:t>
      </w:r>
      <w:r>
        <w:rPr>
          <w:rFonts w:ascii="Titillium" w:hAnsi="Titillium"/>
          <w:b/>
          <w:bCs/>
        </w:rPr>
        <w:t xml:space="preserve"> dotyczy zadania nr 1.</w:t>
      </w:r>
    </w:p>
    <w:p>
      <w:pPr>
        <w:pStyle w:val="Standard"/>
        <w:spacing w:lineRule="auto" w:line="276"/>
        <w:ind w:left="567"/>
        <w:jc w:val="both"/>
        <w:rPr>
          <w:rFonts w:ascii="Titillium" w:hAnsi="Titillium"/>
        </w:rPr>
      </w:pPr>
      <w:r>
        <w:rPr>
          <w:rFonts w:ascii="Titillium" w:hAnsi="Titillium"/>
          <w:color w:val="000000"/>
        </w:rPr>
        <w:t xml:space="preserve">Zamawiający przed udzieleniem zamówienia na podstawie przepisu art. 274 ust.1 ustawy Pzp wzywa  Wykonawcę najwyżej ocenionego do złożenia w wyznaczonym terminie, nie krótszym </w:t>
      </w:r>
      <w:r>
        <w:rPr>
          <w:rFonts w:ascii="Titillium" w:hAnsi="Titillium"/>
          <w:b/>
          <w:bCs/>
          <w:color w:val="000000"/>
        </w:rPr>
        <w:t>niż 5 dni</w:t>
      </w:r>
      <w:r>
        <w:rPr>
          <w:rFonts w:ascii="Titillium" w:hAnsi="Titillium"/>
          <w:color w:val="000000"/>
        </w:rPr>
        <w:t xml:space="preserve"> aktualnych na dzień złożenia podmiotowych środków dowodowych.</w:t>
      </w:r>
    </w:p>
    <w:p>
      <w:pPr>
        <w:pStyle w:val="ListParagraph"/>
        <w:ind w:left="567"/>
        <w:jc w:val="both"/>
        <w:rPr>
          <w:rFonts w:ascii="Titillium" w:hAnsi="Titillium"/>
        </w:rPr>
      </w:pPr>
      <w:r>
        <w:rPr>
          <w:rFonts w:ascii="Titillium" w:hAnsi="Titillium"/>
        </w:rPr>
      </w:r>
    </w:p>
    <w:p>
      <w:pPr>
        <w:pStyle w:val="ListParagraph"/>
        <w:numPr>
          <w:ilvl w:val="0"/>
          <w:numId w:val="19"/>
        </w:numPr>
        <w:ind w:hanging="567" w:left="567"/>
        <w:jc w:val="both"/>
        <w:rPr>
          <w:rFonts w:ascii="Titillium" w:hAnsi="Titillium"/>
        </w:rPr>
      </w:pPr>
      <w:r>
        <w:rPr>
          <w:rFonts w:ascii="Titillium" w:hAnsi="Titillium"/>
          <w:sz w:val="20"/>
          <w:szCs w:val="18"/>
          <w:shd w:fill="00FFFF" w:val="clear"/>
        </w:rPr>
        <w:t>Dokumenty, które należy dołączyć do oferty:</w:t>
      </w:r>
    </w:p>
    <w:p>
      <w:pPr>
        <w:pStyle w:val="Standard"/>
        <w:numPr>
          <w:ilvl w:val="0"/>
          <w:numId w:val="147"/>
        </w:numPr>
        <w:spacing w:lineRule="auto" w:line="276"/>
        <w:ind w:hanging="567" w:left="1134"/>
        <w:jc w:val="both"/>
        <w:rPr>
          <w:rFonts w:ascii="Titillium" w:hAnsi="Titillium"/>
        </w:rPr>
      </w:pPr>
      <w:r>
        <w:rPr>
          <w:rFonts w:ascii="Titillium" w:hAnsi="Titillium"/>
        </w:rPr>
        <w:t>formularz oferty – wg wzoru na załączniku nr 1a i/lub 1b,</w:t>
      </w:r>
    </w:p>
    <w:p>
      <w:pPr>
        <w:pStyle w:val="Standard"/>
        <w:numPr>
          <w:ilvl w:val="0"/>
          <w:numId w:val="148"/>
        </w:numPr>
        <w:tabs>
          <w:tab w:val="clear" w:pos="720"/>
          <w:tab w:val="left" w:pos="1494" w:leader="none"/>
          <w:tab w:val="left" w:pos="1817" w:leader="none"/>
        </w:tabs>
        <w:spacing w:lineRule="auto" w:line="276"/>
        <w:ind w:hanging="567" w:left="1134"/>
        <w:jc w:val="both"/>
        <w:rPr>
          <w:rFonts w:ascii="Titillium" w:hAnsi="Titillium"/>
        </w:rPr>
      </w:pPr>
      <w:r>
        <w:rPr>
          <w:rFonts w:ascii="Titillium" w:hAnsi="Titillium"/>
        </w:rPr>
        <w:t xml:space="preserve">oświadczenie </w:t>
      </w:r>
      <w:r>
        <w:rPr>
          <w:rFonts w:eastAsia="Times-Roman, 'Times New Roman'" w:ascii="Titillium" w:hAnsi="Titillium"/>
        </w:rPr>
        <w:t>o niepodleganiu wykluczeniu i spełnianiu warunków udziału w postępowaniu</w:t>
      </w:r>
      <w:r>
        <w:rPr>
          <w:rFonts w:ascii="Titillium" w:hAnsi="Titillium"/>
        </w:rPr>
        <w:t xml:space="preserve"> – wg wzoru na załączniku nr 2 do SWZ,</w:t>
      </w:r>
    </w:p>
    <w:p>
      <w:pPr>
        <w:pStyle w:val="Standard"/>
        <w:numPr>
          <w:ilvl w:val="0"/>
          <w:numId w:val="149"/>
        </w:numPr>
        <w:tabs>
          <w:tab w:val="clear" w:pos="720"/>
          <w:tab w:val="left" w:pos="1494" w:leader="none"/>
          <w:tab w:val="left" w:pos="1817" w:leader="none"/>
        </w:tabs>
        <w:spacing w:lineRule="auto" w:line="276"/>
        <w:ind w:hanging="567" w:left="1134"/>
        <w:jc w:val="both"/>
        <w:rPr>
          <w:rFonts w:ascii="Titillium" w:hAnsi="Titillium"/>
        </w:rPr>
      </w:pPr>
      <w:r>
        <w:rPr>
          <w:rFonts w:ascii="Titillium" w:hAnsi="Titillium"/>
        </w:rPr>
        <w:t xml:space="preserve">oświadczenie </w:t>
      </w:r>
      <w:r>
        <w:rPr>
          <w:rFonts w:eastAsia="Times-Roman, 'Times New Roman'" w:ascii="Titillium" w:hAnsi="Titillium"/>
        </w:rPr>
        <w:t>o niepodleganiu wykluczeniu i spełnianiu warunków udziału w postępowaniu</w:t>
      </w:r>
      <w:r>
        <w:rPr>
          <w:rFonts w:ascii="Titillium" w:hAnsi="Titillium"/>
        </w:rPr>
        <w:t xml:space="preserve"> – wg wzoru na załączniku nr 2a do SWZ złożone przez podmiot trzeci,</w:t>
      </w:r>
    </w:p>
    <w:p>
      <w:pPr>
        <w:pStyle w:val="Standard"/>
        <w:numPr>
          <w:ilvl w:val="0"/>
          <w:numId w:val="150"/>
        </w:numPr>
        <w:tabs>
          <w:tab w:val="clear" w:pos="720"/>
          <w:tab w:val="left" w:pos="1494" w:leader="none"/>
          <w:tab w:val="left" w:pos="1817" w:leader="none"/>
        </w:tabs>
        <w:spacing w:lineRule="auto" w:line="276"/>
        <w:ind w:hanging="567" w:left="1134"/>
        <w:jc w:val="both"/>
        <w:rPr>
          <w:rFonts w:ascii="Titillium" w:hAnsi="Titillium"/>
        </w:rPr>
      </w:pPr>
      <w:r>
        <w:rPr>
          <w:rFonts w:ascii="Titillium" w:hAnsi="Titillium"/>
        </w:rPr>
        <w:t>oświadczenie, z którego wynika, które roboty i usługi wykonają poszczególni Wykonawcy występujący wspólnie wg wzoru na załączniku nr 5 (uwaga dotyczy tylko konsorcjum/spółki cywilnej),</w:t>
      </w:r>
    </w:p>
    <w:p>
      <w:pPr>
        <w:pStyle w:val="Standard"/>
        <w:numPr>
          <w:ilvl w:val="0"/>
          <w:numId w:val="151"/>
        </w:numPr>
        <w:tabs>
          <w:tab w:val="clear" w:pos="720"/>
          <w:tab w:val="left" w:pos="1494" w:leader="none"/>
          <w:tab w:val="left" w:pos="1817" w:leader="none"/>
        </w:tabs>
        <w:spacing w:lineRule="auto" w:line="276"/>
        <w:ind w:hanging="567" w:left="1134"/>
        <w:jc w:val="both"/>
        <w:rPr>
          <w:rFonts w:ascii="Titillium" w:hAnsi="Titillium"/>
        </w:rPr>
      </w:pPr>
      <w:r>
        <w:rPr>
          <w:rFonts w:ascii="Titillium" w:hAnsi="Titillium"/>
        </w:rPr>
        <w:t>zobowiązania podmiotów trzecich do oddania Wykonawcy do dyspozycji niezbędnych zasobów na okres korzystania z nich przy wykonywaniu zamówienia</w:t>
      </w:r>
      <w:r>
        <w:rPr>
          <w:rFonts w:ascii="Titillium" w:hAnsi="Titillium"/>
          <w:b/>
        </w:rPr>
        <w:t xml:space="preserve"> – </w:t>
      </w:r>
      <w:r>
        <w:rPr>
          <w:rFonts w:ascii="Titillium" w:hAnsi="Titillium"/>
        </w:rPr>
        <w:t>dołączyć jeżeli Wykonawca zamierza spełnianie warunków udziału w postępowaniu dotyczących wykształcenia, kwalifikacji zawodowych, doświadczenia, sytuacji finansowej wykazać wykorzystując zasoby podmiotów trzecich (wzór własny),</w:t>
      </w:r>
    </w:p>
    <w:p>
      <w:pPr>
        <w:pStyle w:val="Standard"/>
        <w:numPr>
          <w:ilvl w:val="0"/>
          <w:numId w:val="152"/>
        </w:numPr>
        <w:tabs>
          <w:tab w:val="clear" w:pos="720"/>
          <w:tab w:val="left" w:pos="1494" w:leader="none"/>
          <w:tab w:val="left" w:pos="1817" w:leader="none"/>
        </w:tabs>
        <w:spacing w:lineRule="auto" w:line="276"/>
        <w:ind w:hanging="567" w:left="1134"/>
        <w:jc w:val="both"/>
        <w:rPr>
          <w:rFonts w:ascii="Titillium" w:hAnsi="Titillium"/>
        </w:rPr>
      </w:pPr>
      <w:r>
        <w:rPr>
          <w:rFonts w:ascii="Titillium" w:hAnsi="Titillium"/>
        </w:rPr>
        <w:t xml:space="preserve">pełnomocnictwo do reprezentowania Wykonawcy w postępowaniu, albo do reprezentowania w postępowaniu i zawarcia umowy, z którego wynika zakres, tj. określenie do jakich czynności uprawniony jest pełnomocnik – </w:t>
      </w:r>
      <w:r>
        <w:rPr>
          <w:rFonts w:ascii="Titillium" w:hAnsi="Titillium"/>
          <w:i/>
        </w:rPr>
        <w:t>dołączyć, o ile dotyczy,</w:t>
      </w:r>
    </w:p>
    <w:p>
      <w:pPr>
        <w:pStyle w:val="Standard"/>
        <w:numPr>
          <w:ilvl w:val="0"/>
          <w:numId w:val="153"/>
        </w:numPr>
        <w:tabs>
          <w:tab w:val="clear" w:pos="720"/>
          <w:tab w:val="left" w:pos="1494" w:leader="none"/>
          <w:tab w:val="left" w:pos="1817" w:leader="none"/>
        </w:tabs>
        <w:spacing w:lineRule="auto" w:line="276"/>
        <w:ind w:hanging="567" w:left="1134"/>
        <w:jc w:val="both"/>
        <w:rPr>
          <w:rFonts w:ascii="Titillium" w:hAnsi="Titillium"/>
          <w:i w:val="false"/>
          <w:i w:val="false"/>
          <w:iCs w:val="false"/>
        </w:rPr>
      </w:pPr>
      <w:r>
        <w:rPr>
          <w:rFonts w:ascii="Titillium" w:hAnsi="Titillium"/>
          <w:i w:val="false"/>
          <w:iCs w:val="false"/>
        </w:rPr>
        <w:t xml:space="preserve">kosztorys ofertowy w formie uproszczonej – </w:t>
      </w:r>
      <w:r>
        <w:rPr>
          <w:rFonts w:ascii="Titillium" w:hAnsi="Titillium"/>
          <w:b/>
          <w:bCs/>
          <w:i w:val="false"/>
          <w:iCs w:val="false"/>
        </w:rPr>
        <w:t>dla zadania nr 2,</w:t>
      </w:r>
    </w:p>
    <w:p>
      <w:pPr>
        <w:pStyle w:val="Standard"/>
        <w:numPr>
          <w:ilvl w:val="0"/>
          <w:numId w:val="154"/>
        </w:numPr>
        <w:tabs>
          <w:tab w:val="clear" w:pos="720"/>
          <w:tab w:val="left" w:pos="1494" w:leader="none"/>
          <w:tab w:val="left" w:pos="1817" w:leader="none"/>
        </w:tabs>
        <w:spacing w:lineRule="auto" w:line="276"/>
        <w:ind w:hanging="567" w:left="1134"/>
        <w:jc w:val="both"/>
        <w:rPr>
          <w:rFonts w:ascii="Titillium" w:hAnsi="Titillium"/>
        </w:rPr>
      </w:pPr>
      <w:r>
        <w:rPr>
          <w:rFonts w:ascii="Titillium" w:hAnsi="Titillium"/>
        </w:rPr>
        <w:t xml:space="preserve">dowód wniesienia wadium w formie niepieniężnej – </w:t>
      </w:r>
      <w:r>
        <w:rPr>
          <w:rFonts w:ascii="Titillium" w:hAnsi="Titillium"/>
          <w:b/>
          <w:bCs/>
        </w:rPr>
        <w:t>dla zadania nr 1</w:t>
      </w:r>
      <w:r>
        <w:rPr>
          <w:rFonts w:ascii="Titillium" w:hAnsi="Titillium"/>
        </w:rPr>
        <w:t>.</w:t>
      </w:r>
    </w:p>
    <w:p>
      <w:pPr>
        <w:pStyle w:val="ListParagraph"/>
        <w:numPr>
          <w:ilvl w:val="0"/>
          <w:numId w:val="19"/>
        </w:numPr>
        <w:ind w:hanging="567" w:left="567"/>
        <w:jc w:val="both"/>
        <w:rPr>
          <w:rFonts w:ascii="Titillium" w:hAnsi="Titillium"/>
        </w:rPr>
      </w:pPr>
      <w:r>
        <w:rPr>
          <w:rFonts w:ascii="Titillium" w:hAnsi="Titillium"/>
        </w:rPr>
        <w:t xml:space="preserve">Forma i postać </w:t>
      </w:r>
      <w:r>
        <w:rPr>
          <w:rFonts w:ascii="Titillium" w:hAnsi="Titillium"/>
          <w:b/>
        </w:rPr>
        <w:t>podmiotowych i przedmiotowych środków dowodowych oraz pozostałych dokumentów:</w:t>
      </w:r>
    </w:p>
    <w:p>
      <w:pPr>
        <w:pStyle w:val="Standard"/>
        <w:numPr>
          <w:ilvl w:val="0"/>
          <w:numId w:val="25"/>
        </w:numPr>
        <w:spacing w:lineRule="auto" w:line="276"/>
        <w:ind w:hanging="567" w:left="1134"/>
        <w:jc w:val="both"/>
        <w:rPr>
          <w:rFonts w:ascii="Titillium" w:hAnsi="Titillium"/>
        </w:rPr>
      </w:pPr>
      <w:r>
        <w:rPr>
          <w:rFonts w:ascii="Titillium" w:hAnsi="Titillium"/>
        </w:rPr>
        <w:t>oświadczenie, o którym mowa w art. 125 ust. 1 ustawy Pzp (o niepodleganiu wykluczeniu i</w:t>
      </w:r>
      <w:r>
        <w:rPr>
          <w:rFonts w:cs="Calibri" w:ascii="Titillium" w:hAnsi="Titillium"/>
        </w:rPr>
        <w:t> </w:t>
      </w:r>
      <w:r>
        <w:rPr>
          <w:rFonts w:ascii="Titillium" w:hAnsi="Titillium"/>
        </w:rPr>
        <w:t xml:space="preserve">spełnianiu warunków udziału w postępowaniu), składa się, pod rygorem nieważności, </w:t>
      </w:r>
      <w:r>
        <w:rPr>
          <w:rFonts w:ascii="Titillium" w:hAnsi="Titillium"/>
          <w:b/>
          <w:bCs/>
        </w:rPr>
        <w:t>w</w:t>
      </w:r>
      <w:r>
        <w:rPr>
          <w:rFonts w:cs="Calibri" w:ascii="Titillium" w:hAnsi="Titillium"/>
          <w:b/>
          <w:bCs/>
        </w:rPr>
        <w:t> </w:t>
      </w:r>
      <w:r>
        <w:rPr>
          <w:rFonts w:ascii="Titillium" w:hAnsi="Titillium"/>
          <w:b/>
          <w:bCs/>
        </w:rPr>
        <w:t>formie elektronicznej lub w postaci elektronicznej opatrzonej podpisem zaufanym lub podpisem osobistym</w:t>
      </w:r>
      <w:r>
        <w:rPr>
          <w:rFonts w:ascii="Titillium" w:hAnsi="Titillium"/>
        </w:rPr>
        <w:t>;</w:t>
      </w:r>
    </w:p>
    <w:p>
      <w:pPr>
        <w:pStyle w:val="Standard"/>
        <w:numPr>
          <w:ilvl w:val="0"/>
          <w:numId w:val="25"/>
        </w:numPr>
        <w:spacing w:lineRule="auto" w:line="276"/>
        <w:ind w:hanging="567" w:left="1134"/>
        <w:jc w:val="both"/>
        <w:rPr>
          <w:rFonts w:ascii="Titillium" w:hAnsi="Titillium"/>
        </w:rPr>
      </w:pPr>
      <w:r>
        <w:rPr>
          <w:rFonts w:ascii="Titillium" w:hAnsi="Titillium"/>
        </w:rPr>
        <w:t>oferty, oświadczenia, o których mowa w art. 125 ust. 1 ustawy Pzp, podmiotowe środki dowodowe,  w tym oświadczenie, o którym mowa w art. 117 ust. 4 ustawy Pzp, oraz zobowiązanie podmiotu udostępniającego zasoby, przedmiotowe środki dowodowe, pełnomocnictwo, dokumenty, o których mowa w art. 94 ust. 2 ustawy Pzp, sporządza się w</w:t>
      </w:r>
      <w:r>
        <w:rPr>
          <w:rFonts w:cs="Calibri" w:ascii="Titillium" w:hAnsi="Titillium"/>
        </w:rPr>
        <w:t> </w:t>
      </w:r>
      <w:r>
        <w:rPr>
          <w:rFonts w:ascii="Titillium" w:hAnsi="Titillium"/>
        </w:rPr>
        <w:t>postaci elektronicznej, w formatach danych określonych w przepisach wydanych na podstawie art. 18 ustawy z dnia 17 lutego 2005 r. o informatyzacji działalności podmiotów realizujących zadania publiczne (t. j. Dz. U. z 2024 r. poz. 307), z zastrzeżeniem formatów, o</w:t>
      </w:r>
      <w:r>
        <w:rPr>
          <w:rFonts w:cs="Calibri" w:ascii="Titillium" w:hAnsi="Titillium"/>
        </w:rPr>
        <w:t> </w:t>
      </w:r>
      <w:r>
        <w:rPr>
          <w:rFonts w:ascii="Titillium" w:hAnsi="Titillium"/>
        </w:rPr>
        <w:t>których mowa w art. 66 ust. 1 ustawy Pzp, z uwzględnieniem rodzaju przekazywanych danych;</w:t>
      </w:r>
    </w:p>
    <w:p>
      <w:pPr>
        <w:pStyle w:val="Standard"/>
        <w:numPr>
          <w:ilvl w:val="0"/>
          <w:numId w:val="25"/>
        </w:numPr>
        <w:spacing w:lineRule="auto" w:line="276"/>
        <w:ind w:hanging="567" w:left="1134"/>
        <w:jc w:val="both"/>
        <w:rPr>
          <w:rFonts w:ascii="Titillium" w:hAnsi="Titillium"/>
        </w:rPr>
      </w:pPr>
      <w:r>
        <w:rPr>
          <w:rFonts w:ascii="Titillium" w:hAnsi="Titillium"/>
        </w:rPr>
        <w:t>informacje, oświadczenia lub dokumenty, inne niż określone w ust. 2, przekazywane w</w:t>
      </w:r>
      <w:r>
        <w:rPr>
          <w:rFonts w:cs="Calibri" w:ascii="Titillium" w:hAnsi="Titillium"/>
        </w:rPr>
        <w:t> </w:t>
      </w:r>
      <w:r>
        <w:rPr>
          <w:rFonts w:ascii="Titillium" w:hAnsi="Titillium"/>
        </w:rPr>
        <w:t>postępowaniu, sporządza się w postaci elektronicznej, w formatach danych określonych w</w:t>
      </w:r>
      <w:r>
        <w:rPr>
          <w:rFonts w:cs="Calibri" w:ascii="Titillium" w:hAnsi="Titillium"/>
        </w:rPr>
        <w:t> </w:t>
      </w:r>
      <w:r>
        <w:rPr>
          <w:rFonts w:ascii="Titillium" w:hAnsi="Titillium"/>
        </w:rPr>
        <w:t xml:space="preserve">przepisach wydanych na podstawie art. 18 ustawy o informatyzacji działalności podmiotów realizujących zadania publiczne lub jako tekst wpisany bezpośrednio do wiadomości przekazywanej przy użyciu środków komunikacji elektronicznej, o których mowa w § 3 ust. 1 rozporządzenia Prezesa Rady Ministrów z dnia 30 grudnia 2020 r. </w:t>
      </w:r>
      <w:r>
        <w:rPr>
          <w:rFonts w:eastAsia="Calibri" w:cs="Calibri" w:ascii="Titillium" w:hAnsi="Titillium"/>
          <w:i/>
          <w:iCs/>
          <w:color w:val="000000"/>
        </w:rPr>
        <w:t>w sprawie sposobu sporządzania i przekazywania informacji oraz wymagań technicznych dla dokumentów elektronicznych oraz środków komunikacji elektronicznej w postępowaniu o udzielenie zamówienia publicznego lub konkursie (Dz. U. poz. 2452);</w:t>
      </w:r>
    </w:p>
    <w:p>
      <w:pPr>
        <w:pStyle w:val="Standard"/>
        <w:numPr>
          <w:ilvl w:val="0"/>
          <w:numId w:val="25"/>
        </w:numPr>
        <w:spacing w:lineRule="auto" w:line="276"/>
        <w:ind w:hanging="567" w:left="1134"/>
        <w:jc w:val="both"/>
        <w:rPr>
          <w:rFonts w:ascii="Titillium" w:hAnsi="Titillium"/>
        </w:rPr>
      </w:pPr>
      <w:r>
        <w:rPr>
          <w:rFonts w:ascii="Titillium" w:hAnsi="Titillium"/>
        </w:rPr>
        <w:t>dokumenty elektroniczne przekazuje się w postępowaniu przy użyciu środków komunikacji elektronicznej wskazanych przez Zamawiającego w SWZ;</w:t>
      </w:r>
    </w:p>
    <w:p>
      <w:pPr>
        <w:pStyle w:val="Standard"/>
        <w:numPr>
          <w:ilvl w:val="0"/>
          <w:numId w:val="25"/>
        </w:numPr>
        <w:spacing w:lineRule="auto" w:line="276"/>
        <w:ind w:hanging="567" w:left="1134"/>
        <w:jc w:val="both"/>
        <w:rPr>
          <w:rFonts w:ascii="Titillium" w:hAnsi="Titillium"/>
        </w:rPr>
      </w:pPr>
      <w:r>
        <w:rPr>
          <w:rFonts w:ascii="Titillium" w:hAnsi="Titillium"/>
        </w:rPr>
        <w:t>w przypadku gdy dokumenty elektroniczne w postępowaniu przekazywane przy użyciu środków komunikacji elektronicznej, zawierają informacje stanowiące tajemnicę przedsiębiorstwa w</w:t>
      </w:r>
      <w:r>
        <w:rPr>
          <w:rFonts w:cs="Calibri" w:ascii="Titillium" w:hAnsi="Titillium"/>
        </w:rPr>
        <w:t> </w:t>
      </w:r>
      <w:r>
        <w:rPr>
          <w:rFonts w:ascii="Titillium" w:hAnsi="Titillium"/>
        </w:rPr>
        <w:t>rozumieniu przepis</w:t>
      </w:r>
      <w:r>
        <w:rPr>
          <w:rFonts w:cs="Titillium" w:ascii="Titillium" w:hAnsi="Titillium"/>
        </w:rPr>
        <w:t>ó</w:t>
      </w:r>
      <w:r>
        <w:rPr>
          <w:rFonts w:ascii="Titillium" w:hAnsi="Titillium"/>
        </w:rPr>
        <w:t>w ustawy z dnia 16 kwietnia 1993 r. o zwalczaniu nieuczciwej konkurencji (t. j. Dz. U. z 2022 r. poz. 1233), Wykonawca, w celu utrzymania w</w:t>
      </w:r>
      <w:r>
        <w:rPr>
          <w:rFonts w:cs="Calibri" w:ascii="Titillium" w:hAnsi="Titillium"/>
        </w:rPr>
        <w:t> </w:t>
      </w:r>
      <w:r>
        <w:rPr>
          <w:rFonts w:ascii="Titillium" w:hAnsi="Titillium"/>
        </w:rPr>
        <w:t xml:space="preserve">poufności tych informacji, przekazuje je </w:t>
      </w:r>
      <w:r>
        <w:rPr>
          <w:rFonts w:ascii="Titillium" w:hAnsi="Titillium"/>
          <w:b/>
          <w:bCs/>
        </w:rPr>
        <w:t>w wydzielonym i odpowiednio oznaczonym pliku;</w:t>
      </w:r>
    </w:p>
    <w:p>
      <w:pPr>
        <w:pStyle w:val="Standard"/>
        <w:numPr>
          <w:ilvl w:val="0"/>
          <w:numId w:val="25"/>
        </w:numPr>
        <w:spacing w:lineRule="auto" w:line="276"/>
        <w:ind w:hanging="567" w:left="1134"/>
        <w:jc w:val="both"/>
        <w:rPr>
          <w:rFonts w:ascii="Titillium" w:hAnsi="Titillium"/>
        </w:rPr>
      </w:pPr>
      <w:r>
        <w:rPr>
          <w:rFonts w:ascii="Titillium" w:hAnsi="Titillium"/>
        </w:rPr>
        <w:t xml:space="preserve">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w:t>
      </w:r>
      <w:r>
        <w:rPr>
          <w:rFonts w:ascii="Titillium" w:hAnsi="Titillium"/>
          <w:b/>
          <w:bCs/>
        </w:rPr>
        <w:t>przekazuje się ten dokument.</w:t>
      </w:r>
    </w:p>
    <w:p>
      <w:pPr>
        <w:pStyle w:val="Standard"/>
        <w:numPr>
          <w:ilvl w:val="0"/>
          <w:numId w:val="25"/>
        </w:numPr>
        <w:spacing w:lineRule="auto" w:line="276"/>
        <w:ind w:hanging="567" w:left="1134"/>
        <w:jc w:val="both"/>
        <w:rPr>
          <w:rFonts w:ascii="Titillium" w:hAnsi="Titillium"/>
        </w:rPr>
      </w:pPr>
      <w:r>
        <w:rPr>
          <w:rFonts w:ascii="Titillium" w:hAnsi="Titillium"/>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Pr>
          <w:rFonts w:cs="Calibri" w:ascii="Titillium" w:hAnsi="Titillium"/>
        </w:rPr>
        <w:t> </w:t>
      </w:r>
      <w:r>
        <w:rPr>
          <w:rFonts w:ascii="Titillium" w:hAnsi="Titillium"/>
        </w:rPr>
        <w:t>postaci papierowej;</w:t>
      </w:r>
    </w:p>
    <w:p>
      <w:pPr>
        <w:pStyle w:val="Standard"/>
        <w:numPr>
          <w:ilvl w:val="0"/>
          <w:numId w:val="25"/>
        </w:numPr>
        <w:spacing w:lineRule="auto" w:line="276"/>
        <w:ind w:hanging="567" w:left="1134"/>
        <w:jc w:val="both"/>
        <w:rPr>
          <w:rFonts w:ascii="Titillium" w:hAnsi="Titillium"/>
        </w:rPr>
      </w:pPr>
      <w:r>
        <w:rPr>
          <w:rFonts w:ascii="Titillium" w:hAnsi="Titillium"/>
        </w:rPr>
        <w:t>poświadczenia zgodności cyfrowego odwzorowania z dokumentem w postaci papierowej, o</w:t>
      </w:r>
      <w:r>
        <w:rPr>
          <w:rFonts w:cs="Calibri" w:ascii="Titillium" w:hAnsi="Titillium"/>
        </w:rPr>
        <w:t> </w:t>
      </w:r>
      <w:r>
        <w:rPr>
          <w:rFonts w:ascii="Titillium" w:hAnsi="Titillium"/>
        </w:rPr>
        <w:t xml:space="preserve">którym mowa w pkt 7, dokonuje w przypadku: </w:t>
      </w:r>
    </w:p>
    <w:p>
      <w:pPr>
        <w:pStyle w:val="Standard"/>
        <w:numPr>
          <w:ilvl w:val="0"/>
          <w:numId w:val="26"/>
        </w:numPr>
        <w:spacing w:lineRule="auto" w:line="276"/>
        <w:ind w:hanging="284" w:left="1418"/>
        <w:jc w:val="both"/>
        <w:rPr>
          <w:rFonts w:ascii="Titillium" w:hAnsi="Titillium"/>
        </w:rPr>
      </w:pPr>
      <w:r>
        <w:rPr>
          <w:rFonts w:ascii="Titillium" w:hAnsi="Titillium"/>
        </w:rPr>
        <w:t>podmiotowych środków dowodowych oraz dokumentów potwierdzających umocowanie do reprezentowania - odpowiednio Wykonawca, Wykonawca wspólnie ubiegający się o</w:t>
      </w:r>
      <w:r>
        <w:rPr>
          <w:rFonts w:cs="Calibri" w:ascii="Titillium" w:hAnsi="Titillium"/>
        </w:rPr>
        <w:t> </w:t>
      </w:r>
      <w:r>
        <w:rPr>
          <w:rFonts w:ascii="Titillium" w:hAnsi="Titillium"/>
        </w:rPr>
        <w:t xml:space="preserve">udzielenie zamówienia, podmiot udostępniający zasoby lub podwykonawca, w zakresie podmiotowych </w:t>
        <w:tab/>
        <w:t>środków dowodowych lub dokumentów potwierdzających umocowanie do reprezentowania, które każdego z nich dotyczą;</w:t>
      </w:r>
    </w:p>
    <w:p>
      <w:pPr>
        <w:pStyle w:val="Standard"/>
        <w:numPr>
          <w:ilvl w:val="0"/>
          <w:numId w:val="26"/>
        </w:numPr>
        <w:spacing w:lineRule="auto" w:line="276"/>
        <w:ind w:hanging="284" w:left="1418"/>
        <w:jc w:val="both"/>
        <w:rPr>
          <w:rFonts w:ascii="Titillium" w:hAnsi="Titillium"/>
        </w:rPr>
      </w:pPr>
      <w:r>
        <w:rPr>
          <w:rFonts w:ascii="Titillium" w:hAnsi="Titillium"/>
        </w:rPr>
        <w:t>przedmiotowych środków dowodowych - odpowiednio Wykonawca lub Wykonawca wspólnie ubiegający się o udzielenie zamówienia;</w:t>
      </w:r>
    </w:p>
    <w:p>
      <w:pPr>
        <w:pStyle w:val="Standard"/>
        <w:numPr>
          <w:ilvl w:val="0"/>
          <w:numId w:val="26"/>
        </w:numPr>
        <w:spacing w:lineRule="auto" w:line="276"/>
        <w:ind w:hanging="284" w:left="1418"/>
        <w:jc w:val="both"/>
        <w:rPr>
          <w:rFonts w:ascii="Titillium" w:hAnsi="Titillium"/>
        </w:rPr>
      </w:pPr>
      <w:r>
        <w:rPr>
          <w:rFonts w:ascii="Titillium" w:hAnsi="Titillium"/>
        </w:rPr>
        <w:t>innych dokumentów, w tym dokumentów, o których mowa w art. 94 ust. 2 ustawy Pzp - odpowiednio Wykonawca lub Wykonawca wspólnie ubiegający się o udzielenie zamówienia, w zakresie dokumentów, które każdego z nich dotyczą;</w:t>
      </w:r>
    </w:p>
    <w:p>
      <w:pPr>
        <w:pStyle w:val="Standard"/>
        <w:numPr>
          <w:ilvl w:val="0"/>
          <w:numId w:val="25"/>
        </w:numPr>
        <w:spacing w:lineRule="auto" w:line="276"/>
        <w:ind w:hanging="567" w:left="1134"/>
        <w:jc w:val="both"/>
        <w:rPr>
          <w:rFonts w:ascii="Titillium" w:hAnsi="Titillium"/>
        </w:rPr>
      </w:pPr>
      <w:r>
        <w:rPr>
          <w:rFonts w:ascii="Titillium" w:hAnsi="Titillium"/>
        </w:rPr>
        <w:t>poświadczenia zgodności cyfrowego odwzorowania z dokumentem w postaci papierowej, o</w:t>
      </w:r>
      <w:r>
        <w:rPr>
          <w:rFonts w:cs="Calibri" w:ascii="Titillium" w:hAnsi="Titillium"/>
        </w:rPr>
        <w:t> </w:t>
      </w:r>
      <w:r>
        <w:rPr>
          <w:rFonts w:ascii="Titillium" w:hAnsi="Titillium"/>
        </w:rPr>
        <w:t>którym mowa w pkt 7, może dokonać również notariusz;</w:t>
      </w:r>
    </w:p>
    <w:p>
      <w:pPr>
        <w:pStyle w:val="Standard"/>
        <w:numPr>
          <w:ilvl w:val="0"/>
          <w:numId w:val="25"/>
        </w:numPr>
        <w:spacing w:lineRule="auto" w:line="276"/>
        <w:ind w:hanging="567" w:left="1134"/>
        <w:jc w:val="both"/>
        <w:rPr>
          <w:rFonts w:ascii="Titillium" w:hAnsi="Titillium"/>
        </w:rPr>
      </w:pPr>
      <w:r>
        <w:rPr>
          <w:rFonts w:ascii="Titillium" w:hAnsi="Titillium"/>
        </w:rPr>
        <w:t xml:space="preserve">przez cyfrowe odwzorowanie, o którym mowa w pkt </w:t>
      </w:r>
      <w:r>
        <w:rPr>
          <w:rFonts w:ascii="Titillium" w:hAnsi="Titillium"/>
          <w:color w:val="000000"/>
        </w:rPr>
        <w:t>7-9,</w:t>
      </w:r>
      <w:r>
        <w:rPr>
          <w:rFonts w:ascii="Titillium" w:hAnsi="Titillium"/>
        </w:rPr>
        <w:t xml:space="preserve"> należy rozumieć dokument elektroniczny będący kopią elektroniczną treści zapisanej w postaci papierowej, umożliwiający zapoznanie się z tą treścią i jej zrozumienie, bez konieczności bezpośredniego dostępu do oryginału.</w:t>
      </w:r>
    </w:p>
    <w:p>
      <w:pPr>
        <w:pStyle w:val="Standard"/>
        <w:numPr>
          <w:ilvl w:val="0"/>
          <w:numId w:val="25"/>
        </w:numPr>
        <w:spacing w:lineRule="auto" w:line="276"/>
        <w:ind w:hanging="567" w:left="1134"/>
        <w:jc w:val="both"/>
        <w:rPr>
          <w:rFonts w:ascii="Titillium" w:hAnsi="Titillium"/>
        </w:rPr>
      </w:pPr>
      <w:r>
        <w:rPr>
          <w:rFonts w:ascii="Titillium" w:hAnsi="Titillium"/>
        </w:rPr>
        <w:t xml:space="preserve">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 podpisem zaufanym lub podpisem osobistym; </w:t>
      </w:r>
    </w:p>
    <w:p>
      <w:pPr>
        <w:pStyle w:val="Standard"/>
        <w:numPr>
          <w:ilvl w:val="0"/>
          <w:numId w:val="25"/>
        </w:numPr>
        <w:spacing w:lineRule="auto" w:line="276"/>
        <w:ind w:hanging="567" w:left="1134"/>
        <w:jc w:val="both"/>
        <w:rPr>
          <w:rFonts w:ascii="Titillium" w:hAnsi="Titillium"/>
        </w:rPr>
      </w:pPr>
      <w:r>
        <w:rPr>
          <w:rFonts w:ascii="Titillium" w:hAnsi="Titillium"/>
        </w:rPr>
        <w:t>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w:t>
      </w:r>
      <w:r>
        <w:rPr>
          <w:rFonts w:cs="Calibri" w:ascii="Titillium" w:hAnsi="Titillium"/>
        </w:rPr>
        <w:t> </w:t>
      </w:r>
      <w:r>
        <w:rPr>
          <w:rFonts w:ascii="Titillium" w:hAnsi="Titillium"/>
        </w:rPr>
        <w:t>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Standard"/>
        <w:numPr>
          <w:ilvl w:val="0"/>
          <w:numId w:val="25"/>
        </w:numPr>
        <w:spacing w:lineRule="auto" w:line="276"/>
        <w:ind w:hanging="567" w:left="1134"/>
        <w:jc w:val="both"/>
        <w:rPr>
          <w:rFonts w:ascii="Titillium" w:hAnsi="Titillium"/>
        </w:rPr>
      </w:pPr>
      <w:r>
        <w:rPr>
          <w:rFonts w:ascii="Titillium" w:hAnsi="Titillium"/>
        </w:rPr>
        <w:t>poświadczenia zgodności cyfrowego odwzorowania z dokumentem w postaci papierowej, o</w:t>
      </w:r>
      <w:r>
        <w:rPr>
          <w:rFonts w:cs="Calibri" w:ascii="Titillium" w:hAnsi="Titillium"/>
        </w:rPr>
        <w:t> </w:t>
      </w:r>
      <w:r>
        <w:rPr>
          <w:rFonts w:ascii="Titillium" w:hAnsi="Titillium"/>
        </w:rPr>
        <w:t>którym mowa w pkt 12, dokonuje w przypadku:</w:t>
      </w:r>
    </w:p>
    <w:p>
      <w:pPr>
        <w:pStyle w:val="Standard"/>
        <w:numPr>
          <w:ilvl w:val="0"/>
          <w:numId w:val="27"/>
        </w:numPr>
        <w:spacing w:lineRule="auto" w:line="276"/>
        <w:ind w:hanging="284" w:left="1418"/>
        <w:jc w:val="both"/>
        <w:rPr>
          <w:rFonts w:ascii="Titillium" w:hAnsi="Titillium"/>
        </w:rPr>
      </w:pPr>
      <w:r>
        <w:rPr>
          <w:rFonts w:ascii="Titillium" w:hAnsi="Titillium"/>
        </w:rPr>
        <w:t xml:space="preserve">podmiotowych środków dowodowych - odpowiednio Wykonawca, Wykonawca wspólnie </w:t>
        <w:tab/>
        <w:t>ubiegający się o udzielenie zamówienia, podmiot udostępniający zasoby lub podwykonawca, w zakresie podmiotowych środków dowodowych, które każdego z nich dotyczą;</w:t>
      </w:r>
    </w:p>
    <w:p>
      <w:pPr>
        <w:pStyle w:val="Standard"/>
        <w:numPr>
          <w:ilvl w:val="0"/>
          <w:numId w:val="27"/>
        </w:numPr>
        <w:spacing w:lineRule="auto" w:line="276"/>
        <w:ind w:hanging="284" w:left="1418"/>
        <w:jc w:val="both"/>
        <w:rPr>
          <w:rFonts w:ascii="Titillium" w:hAnsi="Titillium"/>
        </w:rPr>
      </w:pPr>
      <w:r>
        <w:rPr>
          <w:rFonts w:ascii="Titillium" w:hAnsi="Titillium"/>
        </w:rPr>
        <w:t>przedmiotowego środka dowodowego, dokumentu, o którym mowa w art. 94 ust. 2 ustawy Pzp, oświadczenia, o którym mowa w art. 117 ust. 4 ustawy Pzp, lub zobowiązania podmiotu udostępniającego zasoby - odpowiednio Wykonawca lub Wykonawca wspólnie ubiegający się o udzielenie zamówienia;</w:t>
      </w:r>
    </w:p>
    <w:p>
      <w:pPr>
        <w:pStyle w:val="Standard"/>
        <w:numPr>
          <w:ilvl w:val="0"/>
          <w:numId w:val="27"/>
        </w:numPr>
        <w:spacing w:lineRule="auto" w:line="276"/>
        <w:ind w:hanging="284" w:left="1418"/>
        <w:jc w:val="both"/>
        <w:rPr>
          <w:rFonts w:ascii="Titillium" w:hAnsi="Titillium"/>
        </w:rPr>
      </w:pPr>
      <w:r>
        <w:rPr>
          <w:rFonts w:ascii="Titillium" w:hAnsi="Titillium"/>
        </w:rPr>
        <w:t>pełnomocnictwa – mocodawca;</w:t>
      </w:r>
    </w:p>
    <w:p>
      <w:pPr>
        <w:pStyle w:val="Standard"/>
        <w:numPr>
          <w:ilvl w:val="0"/>
          <w:numId w:val="25"/>
        </w:numPr>
        <w:spacing w:lineRule="auto" w:line="276"/>
        <w:ind w:hanging="567" w:left="1134"/>
        <w:jc w:val="both"/>
        <w:rPr>
          <w:rFonts w:ascii="Titillium" w:hAnsi="Titillium"/>
        </w:rPr>
      </w:pPr>
      <w:r>
        <w:rPr>
          <w:rFonts w:ascii="Titillium" w:hAnsi="Titillium"/>
        </w:rPr>
        <w:t>Poświadczenia zgodności cyfrowego odwzorowania z dokumentem w postaci papierowej, o</w:t>
      </w:r>
      <w:r>
        <w:rPr>
          <w:rFonts w:cs="Calibri" w:ascii="Titillium" w:hAnsi="Titillium"/>
        </w:rPr>
        <w:t> </w:t>
      </w:r>
      <w:r>
        <w:rPr>
          <w:rFonts w:ascii="Titillium" w:hAnsi="Titillium"/>
        </w:rPr>
        <w:t>którym mowa w pkt 12, może dokonać również notariusz.</w:t>
      </w:r>
    </w:p>
    <w:p>
      <w:pPr>
        <w:pStyle w:val="ListParagraph"/>
        <w:numPr>
          <w:ilvl w:val="0"/>
          <w:numId w:val="19"/>
        </w:numPr>
        <w:ind w:hanging="567" w:left="567"/>
        <w:jc w:val="both"/>
        <w:rPr>
          <w:rFonts w:ascii="Titillium" w:hAnsi="Titillium"/>
        </w:rPr>
      </w:pPr>
      <w:r>
        <w:rPr>
          <w:rFonts w:ascii="Titillium" w:hAnsi="Titillium"/>
          <w:b/>
          <w:bCs/>
          <w:sz w:val="20"/>
        </w:rPr>
        <w:t>Wykonawcy występujący wspólnie w rozumieniu przepisu art. 58 ustawy Pzp</w:t>
      </w:r>
    </w:p>
    <w:p>
      <w:pPr>
        <w:pStyle w:val="Textbody"/>
        <w:numPr>
          <w:ilvl w:val="0"/>
          <w:numId w:val="3"/>
        </w:numPr>
        <w:tabs>
          <w:tab w:val="clear" w:pos="720"/>
          <w:tab w:val="left" w:pos="5427" w:leader="none"/>
        </w:tabs>
        <w:overflowPunct w:val="false"/>
        <w:spacing w:lineRule="auto" w:line="276"/>
        <w:ind w:hanging="567" w:left="1134"/>
        <w:jc w:val="both"/>
        <w:rPr>
          <w:rFonts w:ascii="Titillium" w:hAnsi="Titillium"/>
        </w:rPr>
      </w:pPr>
      <w:r>
        <w:rPr>
          <w:rFonts w:ascii="Titillium" w:hAnsi="Titillium"/>
          <w:sz w:val="20"/>
        </w:rPr>
        <w:t>Wykonawcy</w:t>
      </w:r>
      <w:r>
        <w:rPr>
          <w:rFonts w:eastAsia="Times-Roman, 'Times New Roman'" w:ascii="Titillium" w:hAnsi="Titillium"/>
          <w:sz w:val="20"/>
        </w:rPr>
        <w:t xml:space="preserve"> występujący wspólnie (np. konsorcjum, spółka cywilna, Wykonawcy, którzy zawarli porozumienie), </w:t>
      </w:r>
      <w:r>
        <w:rPr>
          <w:rFonts w:eastAsia="Times-Roman, 'Times New Roman'" w:ascii="Titillium" w:hAnsi="Titillium"/>
          <w:b/>
          <w:sz w:val="20"/>
        </w:rPr>
        <w:t>mają obowiązek</w:t>
      </w:r>
      <w:r>
        <w:rPr>
          <w:rFonts w:eastAsia="Times-Roman, 'Times New Roman'" w:ascii="Titillium" w:hAnsi="Titillium"/>
          <w:sz w:val="20"/>
        </w:rPr>
        <w:t xml:space="preserve"> </w:t>
      </w:r>
      <w:r>
        <w:rPr>
          <w:rFonts w:eastAsia="Times-Roman, 'Times New Roman'" w:ascii="Titillium" w:hAnsi="Titillium"/>
          <w:b/>
          <w:sz w:val="20"/>
        </w:rPr>
        <w:t>ustanowić pełnomocnika</w:t>
      </w:r>
      <w:r>
        <w:rPr>
          <w:rFonts w:eastAsia="Times-Roman, 'Times New Roman'" w:ascii="Titillium" w:hAnsi="Titillium"/>
          <w:sz w:val="20"/>
        </w:rPr>
        <w:t xml:space="preserve"> do reprezentowania ich w</w:t>
      </w:r>
      <w:r>
        <w:rPr>
          <w:rFonts w:eastAsia="Times-Roman, 'Times New Roman'" w:cs="Calibri" w:ascii="Titillium" w:hAnsi="Titillium"/>
          <w:sz w:val="20"/>
        </w:rPr>
        <w:t> </w:t>
      </w:r>
      <w:r>
        <w:rPr>
          <w:rFonts w:eastAsia="Times-Roman, 'Times New Roman'" w:ascii="Titillium" w:hAnsi="Titillium"/>
          <w:sz w:val="20"/>
        </w:rPr>
        <w:t>niniejszym postępowaniu albo reprezentowania ich w niniejszym postępowaniu i zawarcia umowy w</w:t>
      </w:r>
      <w:r>
        <w:rPr>
          <w:rFonts w:eastAsia="Times-Roman, 'Times New Roman'" w:cs="Calibri" w:ascii="Titillium" w:hAnsi="Titillium"/>
          <w:sz w:val="20"/>
        </w:rPr>
        <w:t> </w:t>
      </w:r>
      <w:r>
        <w:rPr>
          <w:rFonts w:eastAsia="Times-Roman, 'Times New Roman'" w:ascii="Titillium" w:hAnsi="Titillium"/>
          <w:sz w:val="20"/>
        </w:rPr>
        <w:t>sprawie zam</w:t>
      </w:r>
      <w:r>
        <w:rPr>
          <w:rFonts w:eastAsia="Times-Roman, 'Times New Roman'" w:cs="Titillium" w:ascii="Titillium" w:hAnsi="Titillium"/>
          <w:sz w:val="20"/>
        </w:rPr>
        <w:t>ó</w:t>
      </w:r>
      <w:r>
        <w:rPr>
          <w:rFonts w:eastAsia="Times-Roman, 'Times New Roman'" w:ascii="Titillium" w:hAnsi="Titillium"/>
          <w:sz w:val="20"/>
        </w:rPr>
        <w:t xml:space="preserve">wienia publicznego, chyba </w:t>
      </w:r>
      <w:r>
        <w:rPr>
          <w:rFonts w:eastAsia="Times-Roman, 'Times New Roman'" w:cs="Titillium" w:ascii="Titillium" w:hAnsi="Titillium"/>
          <w:sz w:val="20"/>
        </w:rPr>
        <w:t>ż</w:t>
      </w:r>
      <w:r>
        <w:rPr>
          <w:rFonts w:eastAsia="Times-Roman, 'Times New Roman'" w:ascii="Titillium" w:hAnsi="Titillium"/>
          <w:sz w:val="20"/>
        </w:rPr>
        <w:t>e pe</w:t>
      </w:r>
      <w:r>
        <w:rPr>
          <w:rFonts w:eastAsia="Times-Roman, 'Times New Roman'" w:cs="Titillium" w:ascii="Titillium" w:hAnsi="Titillium"/>
          <w:sz w:val="20"/>
        </w:rPr>
        <w:t>ł</w:t>
      </w:r>
      <w:r>
        <w:rPr>
          <w:rFonts w:eastAsia="Times-Roman, 'Times New Roman'" w:ascii="Titillium" w:hAnsi="Titillium"/>
          <w:sz w:val="20"/>
        </w:rPr>
        <w:t>nomocnictwo takie wynika z</w:t>
      </w:r>
      <w:r>
        <w:rPr>
          <w:rFonts w:eastAsia="Times-Roman, 'Times New Roman'" w:cs="Calibri" w:ascii="Titillium" w:hAnsi="Titillium"/>
          <w:sz w:val="20"/>
        </w:rPr>
        <w:t> </w:t>
      </w:r>
      <w:r>
        <w:rPr>
          <w:rFonts w:eastAsia="Times-Roman, 'Times New Roman'" w:ascii="Titillium" w:hAnsi="Titillium"/>
          <w:sz w:val="20"/>
        </w:rPr>
        <w:t>do</w:t>
      </w:r>
      <w:r>
        <w:rPr>
          <w:rFonts w:eastAsia="Times-Roman, 'Times New Roman'" w:cs="Titillium" w:ascii="Titillium" w:hAnsi="Titillium"/>
          <w:sz w:val="20"/>
        </w:rPr>
        <w:t>łą</w:t>
      </w:r>
      <w:r>
        <w:rPr>
          <w:rFonts w:eastAsia="Times-Roman, 'Times New Roman'" w:ascii="Titillium" w:hAnsi="Titillium"/>
          <w:sz w:val="20"/>
        </w:rPr>
        <w:t>czonych do oferty dokument</w:t>
      </w:r>
      <w:r>
        <w:rPr>
          <w:rFonts w:eastAsia="Times-Roman, 'Times New Roman'" w:cs="Titillium" w:ascii="Titillium" w:hAnsi="Titillium"/>
          <w:sz w:val="20"/>
        </w:rPr>
        <w:t>ó</w:t>
      </w:r>
      <w:r>
        <w:rPr>
          <w:rFonts w:eastAsia="Times-Roman, 'Times New Roman'" w:ascii="Titillium" w:hAnsi="Titillium"/>
          <w:sz w:val="20"/>
        </w:rPr>
        <w:t>w np. umowy konsorcjum lub umowy sp</w:t>
      </w:r>
      <w:r>
        <w:rPr>
          <w:rFonts w:eastAsia="Times-Roman, 'Times New Roman'" w:cs="Titillium" w:ascii="Titillium" w:hAnsi="Titillium"/>
          <w:sz w:val="20"/>
        </w:rPr>
        <w:t>ół</w:t>
      </w:r>
      <w:r>
        <w:rPr>
          <w:rFonts w:eastAsia="Times-Roman, 'Times New Roman'" w:ascii="Titillium" w:hAnsi="Titillium"/>
          <w:sz w:val="20"/>
        </w:rPr>
        <w:t>ki cywilnej.</w:t>
      </w:r>
    </w:p>
    <w:p>
      <w:pPr>
        <w:pStyle w:val="Textbody"/>
        <w:spacing w:lineRule="auto" w:line="276"/>
        <w:ind w:left="1134"/>
        <w:jc w:val="both"/>
        <w:rPr>
          <w:rFonts w:ascii="Titillium" w:hAnsi="Titillium"/>
        </w:rPr>
      </w:pPr>
      <w:r>
        <w:rPr>
          <w:rFonts w:ascii="Titillium" w:hAnsi="Titillium"/>
          <w:b/>
          <w:color w:val="000000"/>
          <w:sz w:val="20"/>
        </w:rPr>
        <w:t>Uwaga: pełnomocnictwo musi być udzielone przez wszystkich Wykonawców wchodzących w skład konsorcjum oraz powinno mieć określony zakres.</w:t>
      </w:r>
    </w:p>
    <w:p>
      <w:pPr>
        <w:pStyle w:val="Standard"/>
        <w:numPr>
          <w:ilvl w:val="0"/>
          <w:numId w:val="3"/>
        </w:numPr>
        <w:spacing w:lineRule="auto" w:line="276"/>
        <w:ind w:hanging="567" w:left="1134"/>
        <w:jc w:val="both"/>
        <w:rPr>
          <w:rFonts w:ascii="Titillium" w:hAnsi="Titillium"/>
        </w:rPr>
      </w:pPr>
      <w:r>
        <w:rPr>
          <w:rFonts w:ascii="Titillium" w:hAnsi="Titillium"/>
          <w:b/>
          <w:bCs/>
        </w:rPr>
        <w:t>W przypadku wspólnego ubiegania się o zamówienie przez Wykonawców oświadczenie o</w:t>
      </w:r>
      <w:r>
        <w:rPr>
          <w:rFonts w:cs="Calibri" w:ascii="Titillium" w:hAnsi="Titillium"/>
          <w:b/>
          <w:bCs/>
        </w:rPr>
        <w:t> </w:t>
      </w:r>
      <w:r>
        <w:rPr>
          <w:rFonts w:ascii="Titillium" w:hAnsi="Titillium"/>
          <w:b/>
          <w:bCs/>
        </w:rPr>
        <w:t xml:space="preserve">niepodleganiu wykluczeniu oraz spełnianiu warunków udziału w postępowaniu </w:t>
      </w:r>
      <w:r>
        <w:rPr>
          <w:rFonts w:ascii="Titillium" w:hAnsi="Titillium"/>
          <w:b/>
          <w:bCs/>
          <w:color w:val="000000"/>
        </w:rPr>
        <w:t>(wg wzoru na załączniku nr 2 do SWZ)</w:t>
      </w:r>
      <w:r>
        <w:rPr>
          <w:rFonts w:ascii="Titillium" w:hAnsi="Titillium"/>
          <w:b/>
          <w:bCs/>
        </w:rPr>
        <w:t xml:space="preserve"> składa każdy z Wykonawców wspólnie ubiegających się o</w:t>
      </w:r>
      <w:r>
        <w:rPr>
          <w:rFonts w:cs="Calibri" w:ascii="Titillium" w:hAnsi="Titillium"/>
          <w:b/>
          <w:bCs/>
        </w:rPr>
        <w:t> </w:t>
      </w:r>
      <w:r>
        <w:rPr>
          <w:rFonts w:ascii="Titillium" w:hAnsi="Titillium"/>
          <w:b/>
          <w:bCs/>
        </w:rPr>
        <w:t>zamówienie. Oświadczenia te potwierdzają brak podstaw wykluczenia oraz spełnianie warunków udziału w postępowaniu w zakresie, w jakim każdy z Wykonawców wykazuje spełnianie warunków udziału w postępowaniu.</w:t>
      </w:r>
    </w:p>
    <w:p>
      <w:pPr>
        <w:pStyle w:val="Standard"/>
        <w:numPr>
          <w:ilvl w:val="0"/>
          <w:numId w:val="3"/>
        </w:numPr>
        <w:spacing w:lineRule="auto" w:line="276"/>
        <w:ind w:hanging="567" w:left="1134"/>
        <w:jc w:val="both"/>
        <w:rPr>
          <w:rFonts w:ascii="Titillium" w:hAnsi="Titillium"/>
        </w:rPr>
      </w:pPr>
      <w:r>
        <w:rPr>
          <w:rFonts w:ascii="Titillium" w:hAnsi="Titillium"/>
        </w:rPr>
        <w:t>Zamawiający żąda przed zawarciem umowy w sprawie zamówienia publicznego kopii umowy regulującej współpracę Wykonawców występujących wspólnie.</w:t>
      </w:r>
    </w:p>
    <w:p>
      <w:pPr>
        <w:pStyle w:val="Standard"/>
        <w:numPr>
          <w:ilvl w:val="0"/>
          <w:numId w:val="3"/>
        </w:numPr>
        <w:spacing w:lineRule="auto" w:line="276"/>
        <w:ind w:hanging="567" w:left="1134"/>
        <w:jc w:val="both"/>
        <w:rPr>
          <w:rFonts w:ascii="Titillium" w:hAnsi="Titillium"/>
        </w:rPr>
      </w:pPr>
      <w:r>
        <w:rPr>
          <w:rFonts w:ascii="Titillium" w:hAnsi="Titillium"/>
        </w:rPr>
        <w:t>Zamawiający rezygnuje z ustalenia odmiennego określenia wymagań co do realizacji zamówienia dla konsorcjum.</w:t>
      </w:r>
    </w:p>
    <w:p>
      <w:pPr>
        <w:pStyle w:val="Standard"/>
        <w:numPr>
          <w:ilvl w:val="0"/>
          <w:numId w:val="3"/>
        </w:numPr>
        <w:spacing w:lineRule="auto" w:line="276"/>
        <w:ind w:hanging="567" w:left="1134"/>
        <w:jc w:val="both"/>
        <w:rPr>
          <w:rFonts w:ascii="Titillium" w:hAnsi="Titillium"/>
        </w:rPr>
      </w:pPr>
      <w:r>
        <w:rPr>
          <w:rFonts w:ascii="Titillium" w:hAnsi="Titillium"/>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pPr>
        <w:pStyle w:val="Standard"/>
        <w:numPr>
          <w:ilvl w:val="0"/>
          <w:numId w:val="3"/>
        </w:numPr>
        <w:spacing w:lineRule="auto" w:line="276"/>
        <w:ind w:hanging="567" w:left="1134"/>
        <w:jc w:val="both"/>
        <w:rPr>
          <w:rFonts w:ascii="Titillium" w:hAnsi="Titillium"/>
        </w:rPr>
      </w:pPr>
      <w:r>
        <w:rPr>
          <w:rFonts w:ascii="Titillium" w:hAnsi="Titillium"/>
        </w:rPr>
        <w:t>W przypadku, o którym mowa w pkt 5, Wykonawcy wspólnie ubiegający się o udzielenie zamówienia dołączają do oferty oświadczenie, z którego wynika, które  usługi lub roboty wykonają poszczególni Wykonawcy wg wzoru na załączniku nr 5.</w:t>
      </w:r>
    </w:p>
    <w:p>
      <w:pPr>
        <w:pStyle w:val="Standard"/>
        <w:numPr>
          <w:ilvl w:val="0"/>
          <w:numId w:val="3"/>
        </w:numPr>
        <w:spacing w:lineRule="auto" w:line="276"/>
        <w:ind w:hanging="567" w:left="1134"/>
        <w:jc w:val="both"/>
        <w:rPr>
          <w:rFonts w:ascii="Titillium" w:hAnsi="Titillium"/>
        </w:rPr>
      </w:pPr>
      <w:r>
        <w:rPr>
          <w:rFonts w:ascii="Titillium" w:hAnsi="Titillium"/>
        </w:rPr>
        <w:t>Wykonawcy wstępujący wspólnie, ponoszą solidarną odpowiedzialność za wykonanie umowy. Problematykę zobowiązań solidarnych w zakresie nie uregulowanym przez umowę konsorcjum regulują przepisy Kodeksu cywilnego.</w:t>
      </w:r>
    </w:p>
    <w:p>
      <w:pPr>
        <w:pStyle w:val="Standard"/>
        <w:numPr>
          <w:ilvl w:val="0"/>
          <w:numId w:val="3"/>
        </w:numPr>
        <w:spacing w:lineRule="auto" w:line="276"/>
        <w:ind w:hanging="567" w:left="1134"/>
        <w:jc w:val="both"/>
        <w:rPr>
          <w:rFonts w:ascii="Titillium" w:hAnsi="Titillium"/>
        </w:rPr>
      </w:pPr>
      <w:r>
        <w:rPr>
          <w:rFonts w:ascii="Titillium" w:hAnsi="Titillium"/>
        </w:rPr>
        <w:t>Wszelka korespondencja oraz rozliczenia prowadzone będą wyłącznie z pełnomocnikiem (liderem konsorcjum).</w:t>
      </w:r>
    </w:p>
    <w:p>
      <w:pPr>
        <w:pStyle w:val="ListParagraph"/>
        <w:numPr>
          <w:ilvl w:val="0"/>
          <w:numId w:val="19"/>
        </w:numPr>
        <w:ind w:hanging="567" w:left="567"/>
        <w:jc w:val="both"/>
        <w:rPr>
          <w:rFonts w:ascii="Titillium" w:hAnsi="Titillium"/>
        </w:rPr>
      </w:pPr>
      <w:r>
        <w:rPr>
          <w:rFonts w:ascii="Titillium" w:hAnsi="Titillium"/>
          <w:b/>
          <w:sz w:val="20"/>
        </w:rPr>
        <w:t>Wykonawca mający siedzibę lub miejsce zamieszkania poza terytorium Rzeczypospolitej Polskiej</w:t>
      </w:r>
    </w:p>
    <w:p>
      <w:pPr>
        <w:pStyle w:val="Standard"/>
        <w:tabs>
          <w:tab w:val="clear" w:pos="720"/>
          <w:tab w:val="left" w:pos="360" w:leader="none"/>
        </w:tabs>
        <w:spacing w:lineRule="auto" w:line="276"/>
        <w:jc w:val="both"/>
        <w:rPr/>
      </w:pPr>
      <w:r>
        <w:rPr>
          <w:rFonts w:ascii="Titillium" w:hAnsi="Titillium"/>
          <w:color w:val="000000"/>
        </w:rPr>
        <w:t xml:space="preserve">Wykonawca mający siedzibę lub miejsce zamieszkania poza terytorium Rzeczypospolitej Polskiej składa </w:t>
      </w:r>
      <w:r>
        <w:rPr>
          <w:rStyle w:val="ZnakZnak3"/>
          <w:rFonts w:ascii="Titillium" w:hAnsi="Titillium"/>
          <w:b w:val="false"/>
          <w:sz w:val="20"/>
        </w:rPr>
        <w:t xml:space="preserve">dokumenty zgodnie z § 4 rozporządzenia </w:t>
      </w:r>
      <w:r>
        <w:rPr>
          <w:rStyle w:val="ZnakZnak3"/>
          <w:rFonts w:ascii="Titillium" w:hAnsi="Titillium"/>
          <w:b w:val="false"/>
          <w:i/>
          <w:iCs/>
          <w:sz w:val="20"/>
        </w:rPr>
        <w:t>Ministra Rozwoju, Pracy i Technologii z dnia 23 grudnia 2020 r. w</w:t>
      </w:r>
      <w:r>
        <w:rPr>
          <w:rStyle w:val="ZnakZnak3"/>
          <w:rFonts w:cs="Calibri" w:ascii="Titillium" w:hAnsi="Titillium"/>
          <w:b w:val="false"/>
          <w:i/>
          <w:iCs/>
          <w:sz w:val="20"/>
        </w:rPr>
        <w:t> </w:t>
      </w:r>
      <w:r>
        <w:rPr>
          <w:rStyle w:val="ZnakZnak3"/>
          <w:rFonts w:ascii="Titillium" w:hAnsi="Titillium"/>
          <w:b w:val="false"/>
          <w:i/>
          <w:iCs/>
          <w:sz w:val="20"/>
        </w:rPr>
        <w:t>sprawie podmiotowych środków dowodowych oraz innych dokumentów lub oświadczeń, jakich może żądać zamawiający do wykonawcy (Dz. U. poz. 2415 ze zm.).</w:t>
      </w:r>
    </w:p>
    <w:p>
      <w:pPr>
        <w:pStyle w:val="ListParagraph"/>
        <w:numPr>
          <w:ilvl w:val="0"/>
          <w:numId w:val="19"/>
        </w:numPr>
        <w:ind w:hanging="567" w:left="567"/>
        <w:jc w:val="both"/>
        <w:rPr>
          <w:rFonts w:ascii="Titillium" w:hAnsi="Titillium"/>
        </w:rPr>
      </w:pPr>
      <w:r>
        <w:rPr>
          <w:rFonts w:ascii="Titillium" w:hAnsi="Titillium"/>
          <w:b/>
          <w:sz w:val="20"/>
        </w:rPr>
        <w:t>Udostępnianie zasobów w celu wykazania spełniania warunków udziału w postępowaniu</w:t>
      </w:r>
      <w:r>
        <w:rPr>
          <w:rFonts w:ascii="Titillium" w:hAnsi="Titillium"/>
          <w:b/>
        </w:rPr>
        <w:t xml:space="preserve">  </w:t>
      </w:r>
    </w:p>
    <w:p>
      <w:pPr>
        <w:pStyle w:val="Standard"/>
        <w:numPr>
          <w:ilvl w:val="0"/>
          <w:numId w:val="28"/>
        </w:numPr>
        <w:spacing w:lineRule="auto" w:line="276"/>
        <w:ind w:hanging="567" w:left="1134"/>
        <w:jc w:val="both"/>
        <w:rPr>
          <w:rFonts w:ascii="Titillium" w:hAnsi="Titillium"/>
        </w:rPr>
      </w:pPr>
      <w:r>
        <w:rPr>
          <w:rFonts w:ascii="Titillium" w:hAnsi="Titillium"/>
          <w:b/>
        </w:rPr>
        <w:t xml:space="preserve"> </w:t>
      </w:r>
      <w:r>
        <w:rPr>
          <w:rFonts w:ascii="Titillium" w:hAnsi="Titillium"/>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pPr>
        <w:pStyle w:val="Standard"/>
        <w:numPr>
          <w:ilvl w:val="0"/>
          <w:numId w:val="28"/>
        </w:numPr>
        <w:spacing w:lineRule="auto" w:line="276"/>
        <w:ind w:hanging="567" w:left="1134"/>
        <w:jc w:val="both"/>
        <w:rPr>
          <w:rFonts w:ascii="Titillium" w:hAnsi="Titillium"/>
        </w:rPr>
      </w:pPr>
      <w:r>
        <w:rPr>
          <w:rFonts w:ascii="Titillium" w:hAnsi="Titillium"/>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pPr>
        <w:pStyle w:val="Standard"/>
        <w:numPr>
          <w:ilvl w:val="0"/>
          <w:numId w:val="28"/>
        </w:numPr>
        <w:spacing w:lineRule="auto" w:line="276"/>
        <w:ind w:hanging="567" w:left="1134"/>
        <w:jc w:val="both"/>
        <w:rPr>
          <w:rFonts w:ascii="Titillium" w:hAnsi="Titillium"/>
        </w:rPr>
      </w:pPr>
      <w:r>
        <w:rPr>
          <w:rFonts w:ascii="Titillium" w:hAnsi="Titillium"/>
        </w:rPr>
        <w:t xml:space="preserve">Wykonawca, który polega na zdolnościach lub sytuacji podmiotów udostępniających zasoby, składa, wraz z ofertą, </w:t>
      </w:r>
      <w:r>
        <w:rPr>
          <w:rFonts w:ascii="Titillium" w:hAnsi="Titillium"/>
          <w:b/>
          <w:bCs/>
        </w:rPr>
        <w:t>zobowiązanie podmiotu udostępniającego zasoby</w:t>
      </w:r>
      <w:r>
        <w:rPr>
          <w:rFonts w:ascii="Titillium" w:hAnsi="Titillium"/>
        </w:rPr>
        <w:t xml:space="preserve"> do oddania mu do dyspozycji niezbędnych zasobów na potrzeby realizacji danego zamówienia lub inny podmiotowy środek dowodowy potwierdzający, że Wykonawca realizując zamówienie, będzie dysponował niezbędnymi zasobami tych podmiotów.</w:t>
      </w:r>
    </w:p>
    <w:p>
      <w:pPr>
        <w:pStyle w:val="Standard"/>
        <w:numPr>
          <w:ilvl w:val="0"/>
          <w:numId w:val="28"/>
        </w:numPr>
        <w:spacing w:lineRule="auto" w:line="276"/>
        <w:ind w:hanging="567" w:left="1134"/>
        <w:jc w:val="both"/>
        <w:rPr>
          <w:rFonts w:ascii="Titillium" w:hAnsi="Titillium"/>
        </w:rPr>
      </w:pPr>
      <w:r>
        <w:rPr>
          <w:rFonts w:ascii="Titillium" w:hAnsi="Titillium"/>
        </w:rPr>
        <w:t>Zobowiązanie podmiotu udostępniającego zasoby, o którym mowa w pkt 3, potwierdza, że stosunek łączący Wykonawcę z podmiotami udostępniającymi zasoby gwarantuje rzeczywisty dostęp do tych zasobów oraz określa w szczególności:</w:t>
      </w:r>
    </w:p>
    <w:p>
      <w:pPr>
        <w:pStyle w:val="Standard"/>
        <w:numPr>
          <w:ilvl w:val="0"/>
          <w:numId w:val="29"/>
        </w:numPr>
        <w:spacing w:lineRule="auto" w:line="276"/>
        <w:ind w:hanging="284" w:left="1418"/>
        <w:jc w:val="both"/>
        <w:rPr>
          <w:rFonts w:ascii="Titillium" w:hAnsi="Titillium"/>
        </w:rPr>
      </w:pPr>
      <w:r>
        <w:rPr>
          <w:rFonts w:ascii="Titillium" w:hAnsi="Titillium"/>
        </w:rPr>
        <w:t>zakres dostępnych Wykonawcy zasobów podmiotu udostępniającego zasoby;</w:t>
      </w:r>
    </w:p>
    <w:p>
      <w:pPr>
        <w:pStyle w:val="Standard"/>
        <w:numPr>
          <w:ilvl w:val="0"/>
          <w:numId w:val="29"/>
        </w:numPr>
        <w:spacing w:lineRule="auto" w:line="276"/>
        <w:ind w:hanging="284" w:left="1418"/>
        <w:jc w:val="both"/>
        <w:rPr>
          <w:rFonts w:ascii="Titillium" w:hAnsi="Titillium"/>
        </w:rPr>
      </w:pPr>
      <w:r>
        <w:rPr>
          <w:rFonts w:ascii="Titillium" w:hAnsi="Titillium"/>
        </w:rPr>
        <w:t>sposób i okres udostępnienia Wykonawcy i wykorzystania przez niego zasobów podmiotu udostępniającego te zasoby przy wykonywaniu zamówienia;</w:t>
      </w:r>
    </w:p>
    <w:p>
      <w:pPr>
        <w:pStyle w:val="Standard"/>
        <w:numPr>
          <w:ilvl w:val="0"/>
          <w:numId w:val="29"/>
        </w:numPr>
        <w:spacing w:lineRule="auto" w:line="276"/>
        <w:ind w:hanging="284" w:left="1418"/>
        <w:jc w:val="both"/>
        <w:rPr>
          <w:rFonts w:ascii="Titillium" w:hAnsi="Titillium"/>
        </w:rPr>
      </w:pPr>
      <w:r>
        <w:rPr>
          <w:rFonts w:ascii="Titillium" w:hAnsi="Titillium"/>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pPr>
        <w:pStyle w:val="Standard"/>
        <w:numPr>
          <w:ilvl w:val="0"/>
          <w:numId w:val="28"/>
        </w:numPr>
        <w:spacing w:lineRule="auto" w:line="276"/>
        <w:ind w:hanging="567" w:left="1134"/>
        <w:jc w:val="both"/>
        <w:rPr>
          <w:rFonts w:ascii="Titillium" w:hAnsi="Titillium"/>
        </w:rPr>
      </w:pPr>
      <w:r>
        <w:rPr>
          <w:rFonts w:ascii="Titillium" w:hAnsi="Titillium"/>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a także</w:t>
      </w:r>
      <w:r>
        <w:rPr>
          <w:rFonts w:ascii="Titillium" w:hAnsi="Titillium"/>
          <w:b/>
          <w:bCs/>
        </w:rPr>
        <w:t xml:space="preserve"> bada</w:t>
      </w:r>
      <w:r>
        <w:rPr>
          <w:rFonts w:ascii="Titillium" w:hAnsi="Titillium"/>
        </w:rPr>
        <w:t>, czy nie zachodzą wobec tego podmiotu podstawy wykluczenia, które zostały przewidziane względem Wykonawcy.</w:t>
      </w:r>
    </w:p>
    <w:p>
      <w:pPr>
        <w:pStyle w:val="Standard"/>
        <w:numPr>
          <w:ilvl w:val="0"/>
          <w:numId w:val="28"/>
        </w:numPr>
        <w:spacing w:lineRule="auto" w:line="276"/>
        <w:ind w:hanging="567" w:left="1134"/>
        <w:jc w:val="both"/>
        <w:rPr>
          <w:rFonts w:ascii="Titillium" w:hAnsi="Titillium"/>
        </w:rPr>
      </w:pPr>
      <w:r>
        <w:rPr>
          <w:rFonts w:ascii="Titillium" w:hAnsi="Titillium"/>
        </w:rPr>
        <w:t>Zamawiający żąda od Wykonawcy, który polega na zdolnościach technicznych lub zawodowych lub sytuacji finansowej lub ekonomicznej podmiotów udostępniających zasoby na zasadach określonych w art. 118 ustawy Pzp, przedstawienia podmiotowych środków dowodowych, o</w:t>
      </w:r>
      <w:r>
        <w:rPr>
          <w:rFonts w:cs="Calibri" w:ascii="Titillium" w:hAnsi="Titillium"/>
        </w:rPr>
        <w:t> </w:t>
      </w:r>
      <w:r>
        <w:rPr>
          <w:rFonts w:ascii="Titillium" w:hAnsi="Titillium"/>
        </w:rPr>
        <w:t>których mowa w SWZ w rozdziale III ust. 2 dotyczących tych podmiotów, potwierdzających, że nie zachodzą wobec tych podmiotów podstawy wykluczenia z</w:t>
      </w:r>
      <w:r>
        <w:rPr>
          <w:rFonts w:cs="Calibri" w:ascii="Titillium" w:hAnsi="Titillium"/>
        </w:rPr>
        <w:t> </w:t>
      </w:r>
      <w:r>
        <w:rPr>
          <w:rFonts w:ascii="Titillium" w:hAnsi="Titillium"/>
        </w:rPr>
        <w:t>postępowania.</w:t>
      </w:r>
    </w:p>
    <w:p>
      <w:pPr>
        <w:pStyle w:val="Standard"/>
        <w:numPr>
          <w:ilvl w:val="0"/>
          <w:numId w:val="28"/>
        </w:numPr>
        <w:spacing w:lineRule="auto" w:line="276"/>
        <w:ind w:hanging="567" w:left="1134"/>
        <w:jc w:val="both"/>
        <w:rPr>
          <w:rFonts w:ascii="Titillium" w:hAnsi="Titillium"/>
        </w:rPr>
      </w:pPr>
      <w:r>
        <w:rPr>
          <w:rFonts w:ascii="Titillium" w:hAnsi="Titillium"/>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pPr>
        <w:pStyle w:val="Standard"/>
        <w:numPr>
          <w:ilvl w:val="0"/>
          <w:numId w:val="28"/>
        </w:numPr>
        <w:spacing w:lineRule="auto" w:line="276"/>
        <w:ind w:hanging="567" w:left="1134"/>
        <w:jc w:val="both"/>
        <w:rPr>
          <w:rFonts w:ascii="Titillium" w:hAnsi="Titillium"/>
        </w:rPr>
      </w:pPr>
      <w:r>
        <w:rPr>
          <w:rFonts w:ascii="Titillium" w:hAnsi="Titillium"/>
        </w:rPr>
        <w:t xml:space="preserve">Zamawiający </w:t>
      </w:r>
      <w:r>
        <w:rPr>
          <w:rFonts w:ascii="Titillium" w:hAnsi="Titillium"/>
          <w:b/>
          <w:bCs/>
        </w:rPr>
        <w:t>żąda</w:t>
      </w:r>
      <w:r>
        <w:rPr>
          <w:rFonts w:ascii="Titillium" w:hAnsi="Titillium"/>
        </w:rPr>
        <w:t xml:space="preserve"> od Wykonawcy przedstawienia podmiotowych środków dowodowych, o</w:t>
      </w:r>
      <w:r>
        <w:rPr>
          <w:rFonts w:cs="Calibri" w:ascii="Titillium" w:hAnsi="Titillium"/>
        </w:rPr>
        <w:t> </w:t>
      </w:r>
      <w:r>
        <w:rPr>
          <w:rFonts w:ascii="Titillium" w:hAnsi="Titillium"/>
        </w:rPr>
        <w:t>których mowa w rozdziale III ust. 2, dotyczących podwykonawców niebędących podmiotami udostępniającymi zasoby na zasadach określonych w art. 118 ustawy Pzp, potwierdzających, że nie zachodzą wobec tych podwykonawców podstawy wykluczenia z postępowania.</w:t>
      </w:r>
    </w:p>
    <w:p>
      <w:pPr>
        <w:pStyle w:val="Standard"/>
        <w:numPr>
          <w:ilvl w:val="0"/>
          <w:numId w:val="28"/>
        </w:numPr>
        <w:spacing w:lineRule="auto" w:line="276"/>
        <w:ind w:hanging="567" w:left="1134"/>
        <w:jc w:val="both"/>
        <w:rPr/>
      </w:pPr>
      <w:r>
        <w:rPr>
          <w:rFonts w:ascii="Titillium" w:hAnsi="Titillium"/>
        </w:rPr>
        <w:t>Do podmiotów udostępniających zasoby na zasadach określonych w art. 118 ustawy Pzp oraz podwykonawców niebędących podmiotami udostępniającymi zasoby na tych zasadach, mających siedzibę lub miejsce zamieszkania poza terytorium Rzeczypospolitej Polskiej, w</w:t>
      </w:r>
      <w:r>
        <w:rPr>
          <w:rFonts w:cs="Calibri" w:ascii="Titillium" w:hAnsi="Titillium"/>
        </w:rPr>
        <w:t> </w:t>
      </w:r>
      <w:r>
        <w:rPr>
          <w:rFonts w:ascii="Titillium" w:hAnsi="Titillium"/>
        </w:rPr>
        <w:t>zakresie podmiotowych środków dowodowych stosuje się odpowiednio §</w:t>
      </w:r>
      <w:r>
        <w:rPr>
          <w:rStyle w:val="ZnakZnak3"/>
          <w:rFonts w:ascii="Titillium" w:hAnsi="Titillium"/>
          <w:b w:val="false"/>
          <w:sz w:val="20"/>
        </w:rPr>
        <w:t>4 rozporządzenia Ministra Rozwoju, Pracy i Technologii z dnia 23 grudnia 2020 r. w sprawie podmiotowych środków dowodowych oraz innych dokumentów lub oświadczeń, jakich może żądać zamawiający do wykonawcy (Dz. U. poz. 2415 ze zm.).</w:t>
      </w:r>
    </w:p>
    <w:p>
      <w:pPr>
        <w:pStyle w:val="Standard"/>
        <w:numPr>
          <w:ilvl w:val="0"/>
          <w:numId w:val="28"/>
        </w:numPr>
        <w:spacing w:lineRule="auto" w:line="276"/>
        <w:ind w:hanging="567" w:left="1134"/>
        <w:jc w:val="both"/>
        <w:rPr>
          <w:rFonts w:ascii="Titillium" w:hAnsi="Titillium"/>
        </w:rPr>
      </w:pPr>
      <w:r>
        <w:rPr>
          <w:rFonts w:ascii="Titillium" w:hAnsi="Titillium"/>
        </w:rPr>
        <w:t>Jeżeli zdolności techniczne lub zawodowe, sytuacja ekonomiczna lub finansowa podmiotu udostępniającego zasoby nie potwierdzają spełniania przez Wykonawcę warunków udziału                          w</w:t>
      </w:r>
      <w:r>
        <w:rPr>
          <w:rFonts w:cs="Calibri" w:ascii="Titillium" w:hAnsi="Titillium"/>
        </w:rPr>
        <w:t> </w:t>
      </w:r>
      <w:r>
        <w:rPr>
          <w:rFonts w:ascii="Titillium" w:hAnsi="Titillium"/>
        </w:rPr>
        <w:t>post</w:t>
      </w:r>
      <w:r>
        <w:rPr>
          <w:rFonts w:cs="Titillium" w:ascii="Titillium" w:hAnsi="Titillium"/>
        </w:rPr>
        <w:t>ę</w:t>
      </w:r>
      <w:r>
        <w:rPr>
          <w:rFonts w:ascii="Titillium" w:hAnsi="Titillium"/>
        </w:rPr>
        <w:t>powaniu lub zachodz</w:t>
      </w:r>
      <w:r>
        <w:rPr>
          <w:rFonts w:cs="Titillium" w:ascii="Titillium" w:hAnsi="Titillium"/>
        </w:rPr>
        <w:t>ą</w:t>
      </w:r>
      <w:r>
        <w:rPr>
          <w:rFonts w:ascii="Titillium" w:hAnsi="Titillium"/>
        </w:rPr>
        <w:t xml:space="preserve"> wobec tego podmiotu podstawy wykluczenia, Zamawiający żąda, aby Wykonawca w terminie określonym przez zamawiającego zastąpił ten podmiot innym podmiotem lub podmiotami albo wykazał, że samodzielnie spełnia warunki udziału w</w:t>
      </w:r>
      <w:r>
        <w:rPr>
          <w:rFonts w:cs="Calibri" w:ascii="Titillium" w:hAnsi="Titillium"/>
        </w:rPr>
        <w:t> </w:t>
      </w:r>
      <w:r>
        <w:rPr>
          <w:rFonts w:ascii="Titillium" w:hAnsi="Titillium"/>
        </w:rPr>
        <w:t>postępowaniu.</w:t>
      </w:r>
    </w:p>
    <w:p>
      <w:pPr>
        <w:pStyle w:val="Standard"/>
        <w:numPr>
          <w:ilvl w:val="0"/>
          <w:numId w:val="28"/>
        </w:numPr>
        <w:spacing w:lineRule="auto" w:line="276"/>
        <w:ind w:hanging="567" w:left="1134"/>
        <w:jc w:val="both"/>
        <w:rPr>
          <w:rFonts w:ascii="Titillium" w:hAnsi="Titillium"/>
        </w:rPr>
      </w:pPr>
      <w:r>
        <w:rPr>
          <w:rFonts w:ascii="Titillium" w:hAnsi="Titillium"/>
        </w:rPr>
        <w:t>Wykonawca</w:t>
      </w:r>
      <w:r>
        <w:rPr>
          <w:rFonts w:ascii="Titillium" w:hAnsi="Titillium"/>
          <w:b/>
          <w:bCs/>
        </w:rPr>
        <w:t xml:space="preserve"> nie może</w:t>
      </w:r>
      <w:r>
        <w:rPr>
          <w:rFonts w:ascii="Titillium" w:hAnsi="Titillium"/>
        </w:rPr>
        <w:t xml:space="preserve">, po upływie terminu składania ofert, powoływać się na zdolności lub sytuację podmiotów udostępniających zasoby, jeżeli na etapie składania ofert </w:t>
      </w:r>
      <w:r>
        <w:rPr>
          <w:rFonts w:ascii="Titillium" w:hAnsi="Titillium"/>
          <w:b/>
          <w:bCs/>
        </w:rPr>
        <w:t>nie polegał</w:t>
      </w:r>
      <w:r>
        <w:rPr>
          <w:rFonts w:ascii="Titillium" w:hAnsi="Titillium"/>
        </w:rPr>
        <w:t xml:space="preserve"> on w danym zakresie na zdolnościach lub sytuacji podmiotów udostępniających zasoby.</w:t>
      </w:r>
    </w:p>
    <w:p>
      <w:pPr>
        <w:pStyle w:val="ListParagraph"/>
        <w:numPr>
          <w:ilvl w:val="0"/>
          <w:numId w:val="19"/>
        </w:numPr>
        <w:ind w:hanging="0" w:left="0"/>
        <w:jc w:val="both"/>
        <w:rPr>
          <w:rFonts w:ascii="Titillium" w:hAnsi="Titillium"/>
        </w:rPr>
      </w:pPr>
      <w:r>
        <w:rPr>
          <w:rFonts w:cs="A" w:ascii="Titillium" w:hAnsi="Titillium"/>
          <w:b/>
          <w:bCs/>
        </w:rPr>
        <w:t xml:space="preserve">Przypadki odstąpienia przez Zamawiającego od wzywania Wykonawcy do przedłożenia </w:t>
        <w:tab/>
        <w:t>podmiotowych środków dowodowych</w:t>
      </w:r>
    </w:p>
    <w:p>
      <w:pPr>
        <w:pStyle w:val="Standard"/>
        <w:spacing w:lineRule="auto" w:line="276"/>
        <w:ind w:left="709"/>
        <w:jc w:val="both"/>
        <w:rPr>
          <w:rFonts w:ascii="Titillium" w:hAnsi="Titillium"/>
        </w:rPr>
      </w:pPr>
      <w:r>
        <w:rPr>
          <w:rFonts w:cs="A" w:ascii="Titillium" w:hAnsi="Titillium"/>
          <w:color w:val="000000"/>
        </w:rPr>
        <w:tab/>
        <w:t>Zamawiający nie wzywa do złożenia podmiotowych środków dowodowych, jeżeli może je uzyskać za pomocą bezpłatnych i ogólnodostępnych baz danych, w szczególności rejestrów publicznych w</w:t>
      </w:r>
      <w:r>
        <w:rPr>
          <w:rFonts w:cs="Calibri" w:ascii="Titillium" w:hAnsi="Titillium"/>
          <w:color w:val="000000"/>
        </w:rPr>
        <w:t> </w:t>
      </w:r>
      <w:r>
        <w:rPr>
          <w:rFonts w:cs="A" w:ascii="Titillium" w:hAnsi="Titillium"/>
          <w:color w:val="000000"/>
        </w:rPr>
        <w:t>rozumieniu ustawy o informatyzacji działalności podmiotów realizujących zadania publiczne, o ile Wykonawca wskazał w oświadczeniu, o którym mowa w art. 125 ust. 1 ustawy Pzp, dane umożliwiające dostęp do tych środków.</w:t>
      </w:r>
    </w:p>
    <w:p>
      <w:pPr>
        <w:pStyle w:val="Standard"/>
        <w:tabs>
          <w:tab w:val="clear" w:pos="720"/>
          <w:tab w:val="left" w:pos="700" w:leader="none"/>
        </w:tabs>
        <w:spacing w:lineRule="auto" w:line="276"/>
        <w:ind w:hanging="340" w:left="340"/>
        <w:jc w:val="both"/>
        <w:rPr>
          <w:rFonts w:ascii="Titillium" w:hAnsi="Titillium" w:cs="A"/>
          <w:color w:val="000000"/>
        </w:rPr>
      </w:pPr>
      <w:r>
        <w:rPr>
          <w:rFonts w:cs="A" w:ascii="Titillium" w:hAnsi="Titillium"/>
          <w:color w:val="000000"/>
        </w:rPr>
      </w:r>
    </w:p>
    <w:p>
      <w:pPr>
        <w:pStyle w:val="Heading1"/>
        <w:numPr>
          <w:ilvl w:val="0"/>
          <w:numId w:val="46"/>
        </w:numPr>
        <w:jc w:val="both"/>
        <w:rPr>
          <w:rFonts w:ascii="Titillium" w:hAnsi="Titillium"/>
        </w:rPr>
      </w:pPr>
      <w:r>
        <w:rPr>
          <w:rFonts w:eastAsia="Times New Roman" w:cs="Times New Roman" w:ascii="Titillium" w:hAnsi="Titillium"/>
        </w:rPr>
        <w:t>I</w:t>
      </w:r>
      <w:r>
        <w:rPr>
          <w:rFonts w:ascii="Titillium" w:hAnsi="Titillium"/>
        </w:rPr>
        <w:t xml:space="preserve">nformacje o środkach komunikacji elektronicznej, przy użyciu których </w:t>
      </w:r>
      <w:r>
        <w:rPr>
          <w:rFonts w:eastAsia="Times New Roman" w:cs="Times New Roman" w:ascii="Titillium" w:hAnsi="Titillium"/>
        </w:rPr>
        <w:t>Z</w:t>
      </w:r>
      <w:r>
        <w:rPr>
          <w:rFonts w:ascii="Titillium" w:hAnsi="Titillium"/>
        </w:rPr>
        <w:t xml:space="preserve">amawiający będzie komunikował się z </w:t>
      </w:r>
      <w:r>
        <w:rPr>
          <w:rFonts w:eastAsia="Times New Roman" w:cs="Times New Roman" w:ascii="Titillium" w:hAnsi="Titillium"/>
        </w:rPr>
        <w:t>Wykonawca</w:t>
      </w:r>
      <w:r>
        <w:rPr>
          <w:rFonts w:ascii="Titillium" w:hAnsi="Titillium"/>
        </w:rPr>
        <w:t>mi, oraz informacje o</w:t>
      </w:r>
      <w:r>
        <w:rPr>
          <w:rFonts w:cs="Calibri" w:ascii="Titillium" w:hAnsi="Titillium"/>
        </w:rPr>
        <w:t> </w:t>
      </w:r>
      <w:r>
        <w:rPr>
          <w:rFonts w:ascii="Titillium" w:hAnsi="Titillium"/>
        </w:rPr>
        <w:t>wymaganiach technicznych i organizacyjnych sporządzania, wysyłania i</w:t>
      </w:r>
      <w:r>
        <w:rPr>
          <w:rFonts w:cs="Calibri" w:ascii="Titillium" w:hAnsi="Titillium"/>
        </w:rPr>
        <w:t> </w:t>
      </w:r>
      <w:r>
        <w:rPr>
          <w:rFonts w:ascii="Titillium" w:hAnsi="Titillium"/>
        </w:rPr>
        <w:t>odbierania korespondencji elektronicznej</w:t>
      </w:r>
    </w:p>
    <w:p>
      <w:pPr>
        <w:pStyle w:val="Standard"/>
        <w:numPr>
          <w:ilvl w:val="0"/>
          <w:numId w:val="4"/>
        </w:numPr>
        <w:tabs>
          <w:tab w:val="clear" w:pos="720"/>
          <w:tab w:val="left" w:pos="1135" w:leader="none"/>
        </w:tabs>
        <w:spacing w:lineRule="auto" w:line="276"/>
        <w:ind w:hanging="567" w:left="567"/>
        <w:jc w:val="both"/>
        <w:rPr>
          <w:rFonts w:ascii="Titillium" w:hAnsi="Titillium"/>
        </w:rPr>
      </w:pPr>
      <w:r>
        <w:rPr>
          <w:rFonts w:ascii="Titillium" w:hAnsi="Titillium"/>
          <w:color w:val="000000"/>
        </w:rPr>
        <w:t>Komunikacja w postępowaniu o udzielenie zamówienia, w tym składanie ofert, wymiana informacji oraz przekazywanie dokumentów lub oświadczeń między Zamawiającym a Wykonawcą, z</w:t>
      </w:r>
      <w:r>
        <w:rPr>
          <w:rFonts w:cs="Calibri" w:ascii="Titillium" w:hAnsi="Titillium"/>
          <w:color w:val="000000"/>
        </w:rPr>
        <w:t> </w:t>
      </w:r>
      <w:r>
        <w:rPr>
          <w:rFonts w:ascii="Titillium" w:hAnsi="Titillium"/>
          <w:color w:val="000000"/>
        </w:rPr>
        <w:t>uwzgl</w:t>
      </w:r>
      <w:r>
        <w:rPr>
          <w:rFonts w:cs="Titillium" w:ascii="Titillium" w:hAnsi="Titillium"/>
          <w:color w:val="000000"/>
        </w:rPr>
        <w:t>ę</w:t>
      </w:r>
      <w:r>
        <w:rPr>
          <w:rFonts w:ascii="Titillium" w:hAnsi="Titillium"/>
          <w:color w:val="000000"/>
        </w:rPr>
        <w:t>dnieniem wyj</w:t>
      </w:r>
      <w:r>
        <w:rPr>
          <w:rFonts w:cs="Titillium" w:ascii="Titillium" w:hAnsi="Titillium"/>
          <w:color w:val="000000"/>
        </w:rPr>
        <w:t>ą</w:t>
      </w:r>
      <w:r>
        <w:rPr>
          <w:rFonts w:ascii="Titillium" w:hAnsi="Titillium"/>
          <w:color w:val="000000"/>
        </w:rPr>
        <w:t>tk</w:t>
      </w:r>
      <w:r>
        <w:rPr>
          <w:rFonts w:cs="Titillium" w:ascii="Titillium" w:hAnsi="Titillium"/>
          <w:color w:val="000000"/>
        </w:rPr>
        <w:t>ó</w:t>
      </w:r>
      <w:r>
        <w:rPr>
          <w:rFonts w:ascii="Titillium" w:hAnsi="Titillium"/>
          <w:color w:val="000000"/>
        </w:rPr>
        <w:t>w okre</w:t>
      </w:r>
      <w:r>
        <w:rPr>
          <w:rFonts w:cs="Titillium" w:ascii="Titillium" w:hAnsi="Titillium"/>
          <w:color w:val="000000"/>
        </w:rPr>
        <w:t>ś</w:t>
      </w:r>
      <w:r>
        <w:rPr>
          <w:rFonts w:ascii="Titillium" w:hAnsi="Titillium"/>
          <w:color w:val="000000"/>
        </w:rPr>
        <w:t>lonych w ustawie Pzp, odbywa si</w:t>
      </w:r>
      <w:r>
        <w:rPr>
          <w:rFonts w:cs="Titillium" w:ascii="Titillium" w:hAnsi="Titillium"/>
          <w:color w:val="000000"/>
        </w:rPr>
        <w:t>ę</w:t>
      </w:r>
      <w:r>
        <w:rPr>
          <w:rFonts w:ascii="Titillium" w:hAnsi="Titillium"/>
          <w:color w:val="000000"/>
        </w:rPr>
        <w:t xml:space="preserve"> przy u</w:t>
      </w:r>
      <w:r>
        <w:rPr>
          <w:rFonts w:cs="Titillium" w:ascii="Titillium" w:hAnsi="Titillium"/>
          <w:color w:val="000000"/>
        </w:rPr>
        <w:t>ż</w:t>
      </w:r>
      <w:r>
        <w:rPr>
          <w:rFonts w:ascii="Titillium" w:hAnsi="Titillium"/>
          <w:color w:val="000000"/>
        </w:rPr>
        <w:t xml:space="preserve">yciu </w:t>
      </w:r>
      <w:r>
        <w:rPr>
          <w:rFonts w:cs="Titillium" w:ascii="Titillium" w:hAnsi="Titillium"/>
          <w:color w:val="000000"/>
        </w:rPr>
        <w:t>ś</w:t>
      </w:r>
      <w:r>
        <w:rPr>
          <w:rFonts w:ascii="Titillium" w:hAnsi="Titillium"/>
          <w:color w:val="000000"/>
        </w:rPr>
        <w:t>rodk</w:t>
      </w:r>
      <w:r>
        <w:rPr>
          <w:rFonts w:cs="Titillium" w:ascii="Titillium" w:hAnsi="Titillium"/>
          <w:color w:val="000000"/>
        </w:rPr>
        <w:t>ó</w:t>
      </w:r>
      <w:r>
        <w:rPr>
          <w:rFonts w:ascii="Titillium" w:hAnsi="Titillium"/>
          <w:color w:val="000000"/>
        </w:rPr>
        <w:t>w komunikacji elektronicznej.</w:t>
      </w:r>
    </w:p>
    <w:p>
      <w:pPr>
        <w:pStyle w:val="Standard"/>
        <w:numPr>
          <w:ilvl w:val="0"/>
          <w:numId w:val="4"/>
        </w:numPr>
        <w:tabs>
          <w:tab w:val="clear" w:pos="720"/>
          <w:tab w:val="left" w:pos="1135" w:leader="none"/>
        </w:tabs>
        <w:spacing w:lineRule="auto" w:line="276"/>
        <w:ind w:hanging="567" w:left="567"/>
        <w:jc w:val="both"/>
        <w:rPr>
          <w:rFonts w:ascii="Titillium" w:hAnsi="Titillium"/>
        </w:rPr>
      </w:pPr>
      <w:r>
        <w:rPr>
          <w:rFonts w:ascii="Titillium" w:hAnsi="Titillium"/>
          <w:color w:val="000000"/>
        </w:rPr>
        <w:t>Komunikacja w postępowaniu odbywa się elektronicznie za pośrednictwem platformy (portalu) https://platformazakupowa.pl/pn/rydultowy i formularza "Wyślij wiadomość". W korespondencji należy posługiwać się znakiem sprawy względnie ID postępowania.</w:t>
      </w:r>
    </w:p>
    <w:p>
      <w:pPr>
        <w:pStyle w:val="Standard"/>
        <w:numPr>
          <w:ilvl w:val="0"/>
          <w:numId w:val="4"/>
        </w:numPr>
        <w:tabs>
          <w:tab w:val="clear" w:pos="720"/>
          <w:tab w:val="left" w:pos="1135" w:leader="none"/>
        </w:tabs>
        <w:spacing w:lineRule="auto" w:line="276"/>
        <w:ind w:hanging="567" w:left="567"/>
        <w:jc w:val="both"/>
        <w:rPr/>
      </w:pPr>
      <w:r>
        <w:rPr>
          <w:rFonts w:ascii="Titillium" w:hAnsi="Titillium"/>
          <w:color w:val="000000"/>
        </w:rPr>
        <w:t xml:space="preserve">Korzystanie z serwisu (platformy) wymaga zapoznania się Regulaminem dla Użytkowników (Wykonawców) dostępnego na  portal_ </w:t>
      </w:r>
      <w:hyperlink r:id="rId8">
        <w:r>
          <w:rPr>
            <w:rFonts w:ascii="Titillium" w:hAnsi="Titillium"/>
          </w:rPr>
          <w:t>https://platformazakupowa.pl/pn/rydultowy</w:t>
        </w:r>
      </w:hyperlink>
      <w:r>
        <w:rPr>
          <w:rFonts w:ascii="Titillium" w:hAnsi="Titillium"/>
          <w:color w:val="000000"/>
        </w:rPr>
        <w:t>.</w:t>
      </w:r>
    </w:p>
    <w:p>
      <w:pPr>
        <w:pStyle w:val="Standard"/>
        <w:numPr>
          <w:ilvl w:val="0"/>
          <w:numId w:val="4"/>
        </w:numPr>
        <w:tabs>
          <w:tab w:val="clear" w:pos="720"/>
          <w:tab w:val="left" w:pos="1135" w:leader="none"/>
        </w:tabs>
        <w:spacing w:lineRule="auto" w:line="276"/>
        <w:ind w:hanging="567" w:left="567"/>
        <w:jc w:val="both"/>
        <w:rPr>
          <w:rFonts w:ascii="Titillium" w:hAnsi="Titillium"/>
        </w:rPr>
      </w:pPr>
      <w:r>
        <w:rPr>
          <w:rFonts w:ascii="Titillium" w:hAnsi="Titillium"/>
          <w:color w:val="000000"/>
        </w:rPr>
        <w:t>Minimalne wymagania techniczne umożliwiające korzystanie ze strony platformazakupowa.pl to przeglądarka internetowa Internet Explorer, Chrome i FireFox w najnowszej dostępnej wersji,                      z włączoną obsługą języka Javascript, akceptująca pliki typu „cookies” oraz łącze internetowe                    o przepustowości, co najmniej 256 kbit/s. platformazakupowa.pl jest zoptymalizowana dla minimalnej rozdzielczości ekranu 1024x768 pikseli. Szyfrowanie danych odbywa się przy pomocy protokołu SSL.</w:t>
      </w:r>
    </w:p>
    <w:p>
      <w:pPr>
        <w:pStyle w:val="Standard"/>
        <w:numPr>
          <w:ilvl w:val="0"/>
          <w:numId w:val="4"/>
        </w:numPr>
        <w:tabs>
          <w:tab w:val="clear" w:pos="720"/>
          <w:tab w:val="left" w:pos="1135" w:leader="none"/>
        </w:tabs>
        <w:spacing w:lineRule="auto" w:line="276"/>
        <w:ind w:hanging="567" w:left="567"/>
        <w:jc w:val="both"/>
        <w:rPr>
          <w:rFonts w:ascii="Titillium" w:hAnsi="Titillium"/>
        </w:rPr>
      </w:pPr>
      <w:r>
        <w:rPr>
          <w:rFonts w:ascii="Titillium" w:hAnsi="Titillium"/>
          <w:color w:val="000000"/>
        </w:rPr>
        <w:t>Kodowanie i czas:</w:t>
      </w:r>
      <w:r>
        <w:rPr>
          <w:rFonts w:cs="Calibri" w:ascii="Titillium" w:hAnsi="Titillium"/>
          <w:color w:val="000000"/>
        </w:rPr>
        <w:t> </w:t>
      </w:r>
      <w:r>
        <w:rPr>
          <w:rFonts w:ascii="Titillium" w:hAnsi="Titillium"/>
          <w:color w:val="000000"/>
        </w:rPr>
        <w:t xml:space="preserve"> Plik za</w:t>
      </w:r>
      <w:r>
        <w:rPr>
          <w:rFonts w:cs="Titillium" w:ascii="Titillium" w:hAnsi="Titillium"/>
          <w:color w:val="000000"/>
        </w:rPr>
        <w:t>łą</w:t>
      </w:r>
      <w:r>
        <w:rPr>
          <w:rFonts w:ascii="Titillium" w:hAnsi="Titillium"/>
          <w:color w:val="000000"/>
        </w:rPr>
        <w:t>czony i zapisany przez Wykonawc</w:t>
      </w:r>
      <w:r>
        <w:rPr>
          <w:rFonts w:cs="Titillium" w:ascii="Titillium" w:hAnsi="Titillium"/>
          <w:color w:val="000000"/>
        </w:rPr>
        <w:t>ę</w:t>
      </w:r>
      <w:r>
        <w:rPr>
          <w:rFonts w:ascii="Titillium" w:hAnsi="Titillium"/>
          <w:color w:val="000000"/>
        </w:rPr>
        <w:t xml:space="preserve"> na platformie nie jest widoczny dla Zamawiaj</w:t>
      </w:r>
      <w:r>
        <w:rPr>
          <w:rFonts w:cs="Titillium" w:ascii="Titillium" w:hAnsi="Titillium"/>
          <w:color w:val="000000"/>
        </w:rPr>
        <w:t>ą</w:t>
      </w:r>
      <w:r>
        <w:rPr>
          <w:rFonts w:ascii="Titillium" w:hAnsi="Titillium"/>
          <w:color w:val="000000"/>
        </w:rPr>
        <w:t>cego, gdy</w:t>
      </w:r>
      <w:r>
        <w:rPr>
          <w:rFonts w:cs="Titillium" w:ascii="Titillium" w:hAnsi="Titillium"/>
          <w:color w:val="000000"/>
        </w:rPr>
        <w:t>ż</w:t>
      </w:r>
      <w:r>
        <w:rPr>
          <w:rFonts w:ascii="Titillium" w:hAnsi="Titillium"/>
          <w:color w:val="000000"/>
        </w:rPr>
        <w:t xml:space="preserve"> jest przechowywany na osobnym szyfruj</w:t>
      </w:r>
      <w:r>
        <w:rPr>
          <w:rFonts w:cs="Titillium" w:ascii="Titillium" w:hAnsi="Titillium"/>
          <w:color w:val="000000"/>
        </w:rPr>
        <w:t>ą</w:t>
      </w:r>
      <w:r>
        <w:rPr>
          <w:rFonts w:ascii="Titillium" w:hAnsi="Titillium"/>
          <w:color w:val="000000"/>
        </w:rPr>
        <w:t>cym serwerze i zaszyfrowany. Mo</w:t>
      </w:r>
      <w:r>
        <w:rPr>
          <w:rFonts w:cs="Titillium" w:ascii="Titillium" w:hAnsi="Titillium"/>
          <w:color w:val="000000"/>
        </w:rPr>
        <w:t>ż</w:t>
      </w:r>
      <w:r>
        <w:rPr>
          <w:rFonts w:ascii="Titillium" w:hAnsi="Titillium"/>
          <w:color w:val="000000"/>
        </w:rPr>
        <w:t>liwo</w:t>
      </w:r>
      <w:r>
        <w:rPr>
          <w:rFonts w:cs="Titillium" w:ascii="Titillium" w:hAnsi="Titillium"/>
          <w:color w:val="000000"/>
        </w:rPr>
        <w:t>ść</w:t>
      </w:r>
      <w:r>
        <w:rPr>
          <w:rFonts w:ascii="Titillium" w:hAnsi="Titillium"/>
          <w:color w:val="000000"/>
        </w:rPr>
        <w:t xml:space="preserve"> pobrania plik</w:t>
      </w:r>
      <w:r>
        <w:rPr>
          <w:rFonts w:cs="Titillium" w:ascii="Titillium" w:hAnsi="Titillium"/>
          <w:color w:val="000000"/>
        </w:rPr>
        <w:t>ó</w:t>
      </w:r>
      <w:r>
        <w:rPr>
          <w:rFonts w:ascii="Titillium" w:hAnsi="Titillium"/>
          <w:color w:val="000000"/>
        </w:rPr>
        <w:t>w przez Zamawiaj</w:t>
      </w:r>
      <w:r>
        <w:rPr>
          <w:rFonts w:cs="Titillium" w:ascii="Titillium" w:hAnsi="Titillium"/>
          <w:color w:val="000000"/>
        </w:rPr>
        <w:t>ą</w:t>
      </w:r>
      <w:r>
        <w:rPr>
          <w:rFonts w:ascii="Titillium" w:hAnsi="Titillium"/>
          <w:color w:val="000000"/>
        </w:rPr>
        <w:t>cego nast</w:t>
      </w:r>
      <w:r>
        <w:rPr>
          <w:rFonts w:cs="Titillium" w:ascii="Titillium" w:hAnsi="Titillium"/>
          <w:color w:val="000000"/>
        </w:rPr>
        <w:t>ę</w:t>
      </w:r>
      <w:r>
        <w:rPr>
          <w:rFonts w:ascii="Titillium" w:hAnsi="Titillium"/>
          <w:color w:val="000000"/>
        </w:rPr>
        <w:t>puje po up</w:t>
      </w:r>
      <w:r>
        <w:rPr>
          <w:rFonts w:cs="Titillium" w:ascii="Titillium" w:hAnsi="Titillium"/>
          <w:color w:val="000000"/>
        </w:rPr>
        <w:t>ł</w:t>
      </w:r>
      <w:r>
        <w:rPr>
          <w:rFonts w:ascii="Titillium" w:hAnsi="Titillium"/>
          <w:color w:val="000000"/>
        </w:rPr>
        <w:t>yni</w:t>
      </w:r>
      <w:r>
        <w:rPr>
          <w:rFonts w:cs="Titillium" w:ascii="Titillium" w:hAnsi="Titillium"/>
          <w:color w:val="000000"/>
        </w:rPr>
        <w:t>ę</w:t>
      </w:r>
      <w:r>
        <w:rPr>
          <w:rFonts w:ascii="Titillium" w:hAnsi="Titillium"/>
          <w:color w:val="000000"/>
        </w:rPr>
        <w:t>ciu terminu otwarcia ofert oraz ich odszyfrowaniu w systemie.</w:t>
      </w:r>
      <w:r>
        <w:rPr>
          <w:rFonts w:cs="Calibri" w:ascii="Titillium" w:hAnsi="Titillium"/>
          <w:color w:val="000000"/>
        </w:rPr>
        <w:t> </w:t>
      </w:r>
      <w:r>
        <w:rPr>
          <w:rFonts w:ascii="Titillium" w:hAnsi="Titillium"/>
          <w:color w:val="000000"/>
        </w:rPr>
        <w:t xml:space="preserve"> Oznaczenie czasu odbioru danych przez platform</w:t>
      </w:r>
      <w:r>
        <w:rPr>
          <w:rFonts w:cs="Titillium" w:ascii="Titillium" w:hAnsi="Titillium"/>
          <w:color w:val="000000"/>
        </w:rPr>
        <w:t>ę</w:t>
      </w:r>
      <w:r>
        <w:rPr>
          <w:rFonts w:ascii="Titillium" w:hAnsi="Titillium"/>
          <w:color w:val="000000"/>
        </w:rPr>
        <w:t xml:space="preserve"> stanowi przypi</w:t>
      </w:r>
      <w:r>
        <w:rPr>
          <w:rFonts w:cs="Titillium" w:ascii="Titillium" w:hAnsi="Titillium"/>
          <w:color w:val="000000"/>
        </w:rPr>
        <w:t>ę</w:t>
      </w:r>
      <w:r>
        <w:rPr>
          <w:rFonts w:ascii="Titillium" w:hAnsi="Titillium"/>
          <w:color w:val="000000"/>
        </w:rPr>
        <w:t>t</w:t>
      </w:r>
      <w:r>
        <w:rPr>
          <w:rFonts w:cs="Titillium" w:ascii="Titillium" w:hAnsi="Titillium"/>
          <w:color w:val="000000"/>
        </w:rPr>
        <w:t>ą</w:t>
      </w:r>
      <w:r>
        <w:rPr>
          <w:rFonts w:ascii="Titillium" w:hAnsi="Titillium"/>
          <w:color w:val="000000"/>
        </w:rPr>
        <w:t xml:space="preserve"> do oferty elektronicznej dat</w:t>
      </w:r>
      <w:r>
        <w:rPr>
          <w:rFonts w:cs="Titillium" w:ascii="Titillium" w:hAnsi="Titillium"/>
          <w:color w:val="000000"/>
        </w:rPr>
        <w:t>ę</w:t>
      </w:r>
      <w:r>
        <w:rPr>
          <w:rFonts w:ascii="Titillium" w:hAnsi="Titillium"/>
          <w:color w:val="000000"/>
        </w:rPr>
        <w:t xml:space="preserve"> oraz dok</w:t>
      </w:r>
      <w:r>
        <w:rPr>
          <w:rFonts w:cs="Titillium" w:ascii="Titillium" w:hAnsi="Titillium"/>
          <w:color w:val="000000"/>
        </w:rPr>
        <w:t>ł</w:t>
      </w:r>
      <w:r>
        <w:rPr>
          <w:rFonts w:ascii="Titillium" w:hAnsi="Titillium"/>
          <w:color w:val="000000"/>
        </w:rPr>
        <w:t>adny czas (hh:mm:ss), znajduj</w:t>
      </w:r>
      <w:r>
        <w:rPr>
          <w:rFonts w:cs="Titillium" w:ascii="Titillium" w:hAnsi="Titillium"/>
          <w:color w:val="000000"/>
        </w:rPr>
        <w:t>ą</w:t>
      </w:r>
      <w:r>
        <w:rPr>
          <w:rFonts w:ascii="Titillium" w:hAnsi="Titillium"/>
          <w:color w:val="000000"/>
        </w:rPr>
        <w:t>ce si</w:t>
      </w:r>
      <w:r>
        <w:rPr>
          <w:rFonts w:cs="Titillium" w:ascii="Titillium" w:hAnsi="Titillium"/>
          <w:color w:val="000000"/>
        </w:rPr>
        <w:t>ę</w:t>
      </w:r>
      <w:r>
        <w:rPr>
          <w:rFonts w:ascii="Titillium" w:hAnsi="Titillium"/>
          <w:color w:val="000000"/>
        </w:rPr>
        <w:t xml:space="preserve"> w kolumnie dotycz</w:t>
      </w:r>
      <w:r>
        <w:rPr>
          <w:rFonts w:cs="Titillium" w:ascii="Titillium" w:hAnsi="Titillium"/>
          <w:color w:val="000000"/>
        </w:rPr>
        <w:t>ą</w:t>
      </w:r>
      <w:r>
        <w:rPr>
          <w:rFonts w:ascii="Titillium" w:hAnsi="Titillium"/>
          <w:color w:val="000000"/>
        </w:rPr>
        <w:t>cej danej oferty,  w sekcji - "Data z</w:t>
      </w:r>
      <w:r>
        <w:rPr>
          <w:rFonts w:cs="Titillium" w:ascii="Titillium" w:hAnsi="Titillium"/>
          <w:color w:val="000000"/>
        </w:rPr>
        <w:t>ł</w:t>
      </w:r>
      <w:r>
        <w:rPr>
          <w:rFonts w:ascii="Titillium" w:hAnsi="Titillium"/>
          <w:color w:val="000000"/>
        </w:rPr>
        <w:t>ożenia oferty".</w:t>
      </w:r>
    </w:p>
    <w:p>
      <w:pPr>
        <w:pStyle w:val="Standard"/>
        <w:numPr>
          <w:ilvl w:val="0"/>
          <w:numId w:val="4"/>
        </w:numPr>
        <w:tabs>
          <w:tab w:val="clear" w:pos="720"/>
          <w:tab w:val="left" w:pos="1135" w:leader="none"/>
        </w:tabs>
        <w:spacing w:lineRule="auto" w:line="276"/>
        <w:ind w:hanging="567" w:left="567"/>
        <w:jc w:val="both"/>
        <w:rPr>
          <w:rFonts w:ascii="Titillium" w:hAnsi="Titillium"/>
        </w:rPr>
      </w:pPr>
      <w:r>
        <w:rPr>
          <w:rFonts w:ascii="Titillium" w:hAnsi="Titillium"/>
          <w:color w:val="000000"/>
        </w:rPr>
        <w:t>Komunikacja przez "Wyślij wiadomość" umożliwia dodanie do treści wysyłanej wiadomości plików lub spakowanego katalogu (załączników). Występuje limit objętości plików lub spakowanego katalogu w</w:t>
      </w:r>
      <w:r>
        <w:rPr>
          <w:rFonts w:cs="Calibri" w:ascii="Titillium" w:hAnsi="Titillium"/>
          <w:color w:val="000000"/>
        </w:rPr>
        <w:t> </w:t>
      </w:r>
      <w:r>
        <w:rPr>
          <w:rFonts w:ascii="Titillium" w:hAnsi="Titillium"/>
          <w:color w:val="000000"/>
        </w:rPr>
        <w:t>zakresie całej wiadomości do 1 GB przy maksymalnej ilości 20 plików lub spakowanych katalogów.</w:t>
      </w:r>
    </w:p>
    <w:p>
      <w:pPr>
        <w:pStyle w:val="Standard"/>
        <w:tabs>
          <w:tab w:val="left" w:pos="720" w:leader="none"/>
        </w:tabs>
        <w:spacing w:lineRule="auto" w:line="276"/>
        <w:ind w:hanging="360" w:left="360"/>
        <w:jc w:val="both"/>
        <w:rPr>
          <w:rFonts w:ascii="Titillium" w:hAnsi="Titillium"/>
          <w:color w:val="000000"/>
        </w:rPr>
      </w:pPr>
      <w:r>
        <w:rPr>
          <w:rFonts w:ascii="Titillium" w:hAnsi="Titillium"/>
          <w:color w:val="000000"/>
        </w:rPr>
      </w:r>
    </w:p>
    <w:p>
      <w:pPr>
        <w:pStyle w:val="Heading1"/>
        <w:numPr>
          <w:ilvl w:val="0"/>
          <w:numId w:val="46"/>
        </w:numPr>
        <w:jc w:val="both"/>
        <w:rPr>
          <w:rFonts w:ascii="Titillium" w:hAnsi="Titillium"/>
        </w:rPr>
      </w:pPr>
      <w:r>
        <w:rPr>
          <w:rFonts w:ascii="Titillium" w:hAnsi="Titillium"/>
        </w:rPr>
        <w:t>Informacje o sposobie porozumiewania się Zamawiającego z</w:t>
      </w:r>
      <w:r>
        <w:rPr>
          <w:rFonts w:cs="Calibri" w:ascii="Titillium" w:hAnsi="Titillium"/>
        </w:rPr>
        <w:t> </w:t>
      </w:r>
      <w:r>
        <w:rPr>
          <w:rFonts w:ascii="Titillium" w:hAnsi="Titillium"/>
        </w:rPr>
        <w:t>Wykonawcami oraz przekazywania oświadczeń lub dokumentów, a</w:t>
      </w:r>
      <w:r>
        <w:rPr>
          <w:rFonts w:cs="Calibri" w:ascii="Titillium" w:hAnsi="Titillium"/>
        </w:rPr>
        <w:t> </w:t>
      </w:r>
      <w:r>
        <w:rPr>
          <w:rFonts w:ascii="Titillium" w:hAnsi="Titillium"/>
        </w:rPr>
        <w:t>także osoby uprawnione do porozumiewania się z Wykonawcami</w:t>
      </w:r>
    </w:p>
    <w:p>
      <w:pPr>
        <w:pStyle w:val="Standard"/>
        <w:numPr>
          <w:ilvl w:val="0"/>
          <w:numId w:val="30"/>
        </w:numPr>
        <w:tabs>
          <w:tab w:val="clear" w:pos="720"/>
          <w:tab w:val="left" w:pos="1135" w:leader="none"/>
        </w:tabs>
        <w:spacing w:lineRule="auto" w:line="276"/>
        <w:ind w:hanging="567" w:left="567"/>
        <w:jc w:val="both"/>
        <w:rPr>
          <w:rFonts w:ascii="Titillium" w:hAnsi="Titillium"/>
        </w:rPr>
      </w:pPr>
      <w:r>
        <w:rPr>
          <w:rFonts w:eastAsia="Calibri" w:cs="Calibri" w:ascii="Titillium" w:hAnsi="Titillium"/>
        </w:rPr>
        <w:t>Osobą uprawnioną do kontaktu z Wykonawcami jest: Katarzyna Iwulska w zakresie procedury, Mariusz Szewczyk 324537453 oraz Alicja Seidler 324537421 Dominika Więcek – w zakresie przedmiotu zamówienia.</w:t>
      </w:r>
    </w:p>
    <w:p>
      <w:pPr>
        <w:pStyle w:val="Standard"/>
        <w:numPr>
          <w:ilvl w:val="0"/>
          <w:numId w:val="30"/>
        </w:numPr>
        <w:tabs>
          <w:tab w:val="clear" w:pos="720"/>
          <w:tab w:val="left" w:pos="1135" w:leader="none"/>
        </w:tabs>
        <w:spacing w:lineRule="auto" w:line="276"/>
        <w:ind w:hanging="567" w:left="567"/>
        <w:jc w:val="both"/>
        <w:rPr/>
      </w:pPr>
      <w:r>
        <w:rPr>
          <w:rFonts w:eastAsia="Calibri" w:cs="Calibri" w:ascii="Titillium" w:hAnsi="Titillium"/>
        </w:rPr>
        <w:t xml:space="preserve">Postępowanie prowadzone jest w języku polskim w formie elektronicznej za pośrednictwem </w:t>
      </w:r>
      <w:hyperlink r:id="rId9">
        <w:r>
          <w:rPr>
            <w:rFonts w:eastAsia="Calibri" w:cs="Calibri" w:ascii="Titillium" w:hAnsi="Titillium"/>
            <w:color w:val="1155CC"/>
            <w:u w:val="single"/>
          </w:rPr>
          <w:t>platformazakupowa.pl</w:t>
        </w:r>
      </w:hyperlink>
      <w:r>
        <w:rPr>
          <w:rFonts w:eastAsia="Calibri" w:cs="Calibri" w:ascii="Titillium" w:hAnsi="Titillium"/>
        </w:rPr>
        <w:t xml:space="preserve"> pod adresem: </w:t>
      </w:r>
      <w:hyperlink r:id="rId10">
        <w:r>
          <w:rPr>
            <w:rFonts w:ascii="Titillium" w:hAnsi="Titillium"/>
          </w:rPr>
          <w:t>https://platformazakupowa.pl/pn/rydultowy</w:t>
        </w:r>
      </w:hyperlink>
      <w:r>
        <w:rPr>
          <w:rFonts w:eastAsia="Calibri" w:cs="Calibri" w:ascii="Titillium" w:hAnsi="Titillium"/>
          <w:color w:val="000000"/>
        </w:rPr>
        <w:t>.</w:t>
      </w:r>
    </w:p>
    <w:p>
      <w:pPr>
        <w:pStyle w:val="Standard"/>
        <w:numPr>
          <w:ilvl w:val="0"/>
          <w:numId w:val="30"/>
        </w:numPr>
        <w:tabs>
          <w:tab w:val="clear" w:pos="720"/>
          <w:tab w:val="left" w:pos="1135" w:leader="none"/>
        </w:tabs>
        <w:spacing w:lineRule="auto" w:line="276"/>
        <w:ind w:hanging="567" w:left="567"/>
        <w:jc w:val="both"/>
        <w:rPr/>
      </w:pPr>
      <w:r>
        <w:rPr>
          <w:rFonts w:eastAsia="Calibri" w:cs="Calibri" w:ascii="Titillium" w:hAnsi="Titillium"/>
        </w:rPr>
        <w:t xml:space="preserve">W celu skrócenia czasu udzielenia odpowiedzi na pytania preferuje się, aby komunikacja między Zamawiającym a Wykonawcami, w tym wszelkie oświadczenia, wnioski, zawiadomienia oraz informacje, przekazywane będą w formie elektronicznej za pośrednictwem </w:t>
      </w:r>
      <w:hyperlink r:id="rId11">
        <w:r>
          <w:rPr>
            <w:rFonts w:eastAsia="Calibri" w:cs="Calibri" w:ascii="Titillium" w:hAnsi="Titillium"/>
            <w:color w:val="1155CC"/>
            <w:u w:val="single"/>
          </w:rPr>
          <w:t>platformazakupowa.pl</w:t>
        </w:r>
      </w:hyperlink>
      <w:r>
        <w:rPr>
          <w:rFonts w:eastAsia="Calibri" w:cs="Calibri" w:ascii="Titillium" w:hAnsi="Titillium"/>
        </w:rPr>
        <w:t xml:space="preserve"> i formularza </w:t>
      </w:r>
      <w:r>
        <w:rPr>
          <w:rFonts w:eastAsia="Calibri" w:cs="Titillium" w:ascii="Titillium" w:hAnsi="Titillium"/>
        </w:rPr>
        <w:t>„</w:t>
      </w:r>
      <w:r>
        <w:rPr>
          <w:rFonts w:eastAsia="Calibri" w:cs="Calibri" w:ascii="Titillium" w:hAnsi="Titillium"/>
        </w:rPr>
        <w:t>Wy</w:t>
      </w:r>
      <w:r>
        <w:rPr>
          <w:rFonts w:eastAsia="Calibri" w:cs="Titillium" w:ascii="Titillium" w:hAnsi="Titillium"/>
        </w:rPr>
        <w:t>ś</w:t>
      </w:r>
      <w:r>
        <w:rPr>
          <w:rFonts w:eastAsia="Calibri" w:cs="Calibri" w:ascii="Titillium" w:hAnsi="Titillium"/>
        </w:rPr>
        <w:t>lij wiadomo</w:t>
      </w:r>
      <w:r>
        <w:rPr>
          <w:rFonts w:eastAsia="Calibri" w:cs="Titillium" w:ascii="Titillium" w:hAnsi="Titillium"/>
        </w:rPr>
        <w:t>ść</w:t>
      </w:r>
      <w:r>
        <w:rPr>
          <w:rFonts w:eastAsia="Calibri" w:cs="Calibri" w:ascii="Titillium" w:hAnsi="Titillium"/>
        </w:rPr>
        <w:t xml:space="preserve"> do Zamawiającego”.</w:t>
      </w:r>
    </w:p>
    <w:p>
      <w:pPr>
        <w:pStyle w:val="Standard"/>
        <w:numPr>
          <w:ilvl w:val="0"/>
          <w:numId w:val="30"/>
        </w:numPr>
        <w:tabs>
          <w:tab w:val="clear" w:pos="720"/>
          <w:tab w:val="left" w:pos="1135" w:leader="none"/>
        </w:tabs>
        <w:spacing w:lineRule="auto" w:line="276"/>
        <w:ind w:hanging="567" w:left="567"/>
        <w:jc w:val="both"/>
        <w:rPr/>
      </w:pPr>
      <w:r>
        <w:rPr>
          <w:rFonts w:eastAsia="Calibri" w:cs="Calibri" w:ascii="Titillium" w:hAnsi="Titillium"/>
        </w:rPr>
        <w:t xml:space="preserve">Za datę przekazania (wpływu) oświadczeń, wniosków, zawiadomień oraz informacji przyjmuje się datę ich przesłania za pośrednictwem </w:t>
      </w:r>
      <w:hyperlink r:id="rId12">
        <w:r>
          <w:rPr>
            <w:rFonts w:eastAsia="Calibri" w:cs="Calibri" w:ascii="Titillium" w:hAnsi="Titillium"/>
            <w:color w:val="1155CC"/>
            <w:u w:val="single"/>
          </w:rPr>
          <w:t>platformazakupowa.pl</w:t>
        </w:r>
      </w:hyperlink>
      <w:r>
        <w:rPr>
          <w:rFonts w:eastAsia="Calibri" w:cs="Calibri" w:ascii="Titillium" w:hAnsi="Titillium"/>
        </w:rPr>
        <w:t xml:space="preserve"> poprzez kliknięcie przycisku „Wyślij wiadomość do Zamawiającego” po których pojawi się komunikat, że wiadomość została wysłana do Zamawiającego.</w:t>
      </w:r>
    </w:p>
    <w:p>
      <w:pPr>
        <w:pStyle w:val="Standard"/>
        <w:numPr>
          <w:ilvl w:val="0"/>
          <w:numId w:val="30"/>
        </w:numPr>
        <w:tabs>
          <w:tab w:val="clear" w:pos="720"/>
          <w:tab w:val="left" w:pos="1135" w:leader="none"/>
        </w:tabs>
        <w:spacing w:lineRule="auto" w:line="276"/>
        <w:ind w:hanging="567" w:left="567"/>
        <w:jc w:val="both"/>
        <w:rPr/>
      </w:pPr>
      <w:r>
        <w:rPr>
          <w:rFonts w:eastAsia="Calibri" w:cs="Calibri" w:ascii="Titillium" w:hAnsi="Titillium"/>
        </w:rPr>
        <w:t xml:space="preserve">Zamawiający będzie przekazywał Wykonawcom informacje w formie elektronicznej za pośrednictwem </w:t>
      </w:r>
      <w:hyperlink r:id="rId13">
        <w:r>
          <w:rPr>
            <w:rFonts w:eastAsia="Calibri" w:cs="Calibri" w:ascii="Titillium" w:hAnsi="Titillium"/>
            <w:color w:val="1155CC"/>
            <w:u w:val="single"/>
          </w:rPr>
          <w:t>platformazakupowa.pl</w:t>
        </w:r>
      </w:hyperlink>
      <w:r>
        <w:rPr>
          <w:rFonts w:eastAsia="Calibri" w:cs="Calibri" w:ascii="Titillium" w:hAnsi="Titillium"/>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r>
          <w:rPr>
            <w:rFonts w:eastAsia="Calibri" w:cs="Calibri" w:ascii="Titillium" w:hAnsi="Titillium"/>
            <w:color w:val="1155CC"/>
            <w:u w:val="single"/>
          </w:rPr>
          <w:t>platformazakupowa.pl</w:t>
        </w:r>
      </w:hyperlink>
      <w:r>
        <w:rPr>
          <w:rFonts w:eastAsia="Calibri" w:cs="Calibri" w:ascii="Titillium" w:hAnsi="Titillium"/>
        </w:rPr>
        <w:t xml:space="preserve"> do konkretnego Wykonawcy.</w:t>
      </w:r>
    </w:p>
    <w:p>
      <w:pPr>
        <w:pStyle w:val="Standard"/>
        <w:numPr>
          <w:ilvl w:val="0"/>
          <w:numId w:val="30"/>
        </w:numPr>
        <w:tabs>
          <w:tab w:val="clear" w:pos="720"/>
          <w:tab w:val="left" w:pos="1135" w:leader="none"/>
        </w:tabs>
        <w:spacing w:lineRule="auto" w:line="276"/>
        <w:ind w:hanging="567" w:left="567"/>
        <w:jc w:val="both"/>
        <w:rPr>
          <w:rFonts w:ascii="Titillium" w:hAnsi="Titillium"/>
        </w:rPr>
      </w:pPr>
      <w:r>
        <w:rPr>
          <w:rFonts w:eastAsia="Calibri" w:cs="Calibri" w:ascii="Titillium" w:hAnsi="Titillium"/>
        </w:rPr>
        <w:t>Wykonawca jako podmiot profesjonalny ma obowiązek sprawdzania komunikatów i wiadomości bezpośrednio na platformazakupowa.pl przesłanych przez zamawiającego, gdyż system powiadomień może ulec awarii lub powiadomienie może trafić do folderu SPAM.</w:t>
      </w:r>
    </w:p>
    <w:p>
      <w:pPr>
        <w:pStyle w:val="Standard"/>
        <w:numPr>
          <w:ilvl w:val="0"/>
          <w:numId w:val="30"/>
        </w:numPr>
        <w:tabs>
          <w:tab w:val="clear" w:pos="720"/>
          <w:tab w:val="left" w:pos="1135" w:leader="none"/>
        </w:tabs>
        <w:spacing w:lineRule="auto" w:line="276"/>
        <w:ind w:hanging="567" w:left="567"/>
        <w:jc w:val="both"/>
        <w:rPr/>
      </w:pPr>
      <w:r>
        <w:rPr>
          <w:rFonts w:eastAsia="Calibri" w:cs="Calibri" w:ascii="Titillium" w:hAnsi="Titillium"/>
        </w:rPr>
        <w:t xml:space="preserve">Zamawiający, zgodnie z rozporządzeniem </w:t>
      </w:r>
      <w:r>
        <w:rPr>
          <w:rFonts w:eastAsia="Roboto" w:cs="Roboto" w:ascii="Titillium" w:hAnsi="Titillium"/>
          <w:color w:val="202124"/>
          <w:shd w:fill="F8F9FA" w:val="clear"/>
        </w:rPr>
        <w:t xml:space="preserve">Prezesa Rady Ministrów z dnia 30 grudnia 2020 r.                         w sprawie sposobu sporządzania i przekazywania informacji oraz wymagań technicznych dla dokumentów elektronicznych oraz środków komunikacji elektronicznej w postępowaniu o udzielenie zamówienia publicznego </w:t>
      </w:r>
      <w:r>
        <w:rPr>
          <w:rFonts w:eastAsia="Calibri" w:cs="Calibri" w:ascii="Titillium" w:hAnsi="Titillium"/>
        </w:rPr>
        <w:t xml:space="preserve">określa niezbędne wymagania sprzętowo - aplikacyjne umożliwiające pracę na </w:t>
      </w:r>
      <w:hyperlink r:id="rId15">
        <w:r>
          <w:rPr>
            <w:rFonts w:eastAsia="Calibri" w:cs="Calibri" w:ascii="Titillium" w:hAnsi="Titillium"/>
            <w:color w:val="1155CC"/>
            <w:u w:val="single"/>
          </w:rPr>
          <w:t>platformazakupowa.pl</w:t>
        </w:r>
      </w:hyperlink>
      <w:r>
        <w:rPr>
          <w:rFonts w:eastAsia="Calibri" w:cs="Calibri" w:ascii="Titillium" w:hAnsi="Titillium"/>
        </w:rPr>
        <w:t>, tj.:</w:t>
      </w:r>
    </w:p>
    <w:p>
      <w:pPr>
        <w:pStyle w:val="Standard"/>
        <w:numPr>
          <w:ilvl w:val="1"/>
          <w:numId w:val="30"/>
        </w:numPr>
        <w:tabs>
          <w:tab w:val="clear" w:pos="720"/>
          <w:tab w:val="left" w:pos="1702" w:leader="none"/>
        </w:tabs>
        <w:spacing w:lineRule="auto" w:line="276"/>
        <w:ind w:hanging="567" w:left="1134"/>
        <w:jc w:val="both"/>
        <w:rPr>
          <w:rFonts w:ascii="Titillium" w:hAnsi="Titillium"/>
        </w:rPr>
      </w:pPr>
      <w:r>
        <w:rPr>
          <w:rFonts w:eastAsia="Calibri" w:cs="Calibri" w:ascii="Titillium" w:hAnsi="Titillium"/>
        </w:rPr>
        <w:t>stały dostęp do sieci Internet o gwarantowanej przepustowości nie mniejszej niż 512 kb/s,</w:t>
      </w:r>
    </w:p>
    <w:p>
      <w:pPr>
        <w:pStyle w:val="Standard"/>
        <w:numPr>
          <w:ilvl w:val="1"/>
          <w:numId w:val="30"/>
        </w:numPr>
        <w:tabs>
          <w:tab w:val="clear" w:pos="720"/>
          <w:tab w:val="left" w:pos="1702" w:leader="none"/>
        </w:tabs>
        <w:spacing w:lineRule="auto" w:line="276"/>
        <w:ind w:hanging="567" w:left="1134"/>
        <w:jc w:val="both"/>
        <w:rPr>
          <w:rFonts w:ascii="Titillium" w:hAnsi="Titillium"/>
        </w:rPr>
      </w:pPr>
      <w:r>
        <w:rPr>
          <w:rFonts w:eastAsia="Calibri" w:cs="Calibri" w:ascii="Titillium" w:hAnsi="Titillium"/>
        </w:rPr>
        <w:t>komputer klasy PC lub MAC o następującej konfiguracji: pamięć min. 2 GB Ram, procesor Intel IV 2 GHZ lub jego nowsza wersja, jeden z systemów operacyjnych - MS Windows 7, Mac Os x 10 4, Linux, lub ich nowsze wersje,</w:t>
      </w:r>
    </w:p>
    <w:p>
      <w:pPr>
        <w:pStyle w:val="Standard"/>
        <w:numPr>
          <w:ilvl w:val="1"/>
          <w:numId w:val="30"/>
        </w:numPr>
        <w:tabs>
          <w:tab w:val="clear" w:pos="720"/>
          <w:tab w:val="left" w:pos="1702" w:leader="none"/>
        </w:tabs>
        <w:spacing w:lineRule="auto" w:line="276"/>
        <w:ind w:hanging="567" w:left="1134"/>
        <w:jc w:val="both"/>
        <w:rPr>
          <w:rFonts w:ascii="Titillium" w:hAnsi="Titillium"/>
        </w:rPr>
      </w:pPr>
      <w:r>
        <w:rPr>
          <w:rFonts w:eastAsia="Calibri" w:cs="Calibri" w:ascii="Titillium" w:hAnsi="Titillium"/>
        </w:rPr>
        <w:t>zainstalowana dowolna przeglądarka internetowa, w przypadku Internet Explorer minimalnie wersja 10.0.,</w:t>
      </w:r>
    </w:p>
    <w:p>
      <w:pPr>
        <w:pStyle w:val="Standard"/>
        <w:numPr>
          <w:ilvl w:val="1"/>
          <w:numId w:val="30"/>
        </w:numPr>
        <w:tabs>
          <w:tab w:val="clear" w:pos="720"/>
          <w:tab w:val="left" w:pos="1702" w:leader="none"/>
        </w:tabs>
        <w:spacing w:lineRule="auto" w:line="276"/>
        <w:ind w:hanging="567" w:left="1134"/>
        <w:jc w:val="both"/>
        <w:rPr>
          <w:rFonts w:ascii="Titillium" w:hAnsi="Titillium"/>
        </w:rPr>
      </w:pPr>
      <w:r>
        <w:rPr>
          <w:rFonts w:eastAsia="Calibri" w:cs="Calibri" w:ascii="Titillium" w:hAnsi="Titillium"/>
        </w:rPr>
        <w:t>włączona obsługa JavaScript,</w:t>
      </w:r>
    </w:p>
    <w:p>
      <w:pPr>
        <w:pStyle w:val="Standard"/>
        <w:numPr>
          <w:ilvl w:val="1"/>
          <w:numId w:val="30"/>
        </w:numPr>
        <w:tabs>
          <w:tab w:val="clear" w:pos="720"/>
          <w:tab w:val="left" w:pos="1702" w:leader="none"/>
        </w:tabs>
        <w:spacing w:lineRule="auto" w:line="276"/>
        <w:ind w:hanging="567" w:left="1134"/>
        <w:jc w:val="both"/>
        <w:rPr>
          <w:rFonts w:ascii="Titillium" w:hAnsi="Titillium"/>
        </w:rPr>
      </w:pPr>
      <w:r>
        <w:rPr>
          <w:rFonts w:eastAsia="Calibri" w:cs="Calibri" w:ascii="Titillium" w:hAnsi="Titillium"/>
        </w:rPr>
        <w:t>zainstalowany program Adobe Acrobat Reader lub inny obsługujący format plików .pdf,</w:t>
      </w:r>
    </w:p>
    <w:p>
      <w:pPr>
        <w:pStyle w:val="Standard"/>
        <w:numPr>
          <w:ilvl w:val="1"/>
          <w:numId w:val="30"/>
        </w:numPr>
        <w:tabs>
          <w:tab w:val="clear" w:pos="720"/>
          <w:tab w:val="left" w:pos="1702" w:leader="none"/>
        </w:tabs>
        <w:spacing w:lineRule="auto" w:line="276"/>
        <w:ind w:hanging="567" w:left="1134"/>
        <w:jc w:val="both"/>
        <w:rPr>
          <w:rFonts w:ascii="Titillium" w:hAnsi="Titillium"/>
        </w:rPr>
      </w:pPr>
      <w:r>
        <w:rPr>
          <w:rFonts w:eastAsia="Calibri" w:cs="Calibri" w:ascii="Titillium" w:hAnsi="Titillium"/>
        </w:rPr>
        <w:t xml:space="preserve">szyfrowanie na platformazakupowa.pl odbywa się za pomocą protokołu TLS 1.3.  </w:t>
      </w:r>
    </w:p>
    <w:p>
      <w:pPr>
        <w:pStyle w:val="Standard"/>
        <w:numPr>
          <w:ilvl w:val="1"/>
          <w:numId w:val="30"/>
        </w:numPr>
        <w:tabs>
          <w:tab w:val="clear" w:pos="720"/>
          <w:tab w:val="left" w:pos="1702" w:leader="none"/>
        </w:tabs>
        <w:spacing w:lineRule="auto" w:line="276"/>
        <w:ind w:hanging="567" w:left="1134"/>
        <w:jc w:val="both"/>
        <w:rPr>
          <w:rFonts w:ascii="Titillium" w:hAnsi="Titillium"/>
        </w:rPr>
      </w:pPr>
      <w:r>
        <w:rPr>
          <w:rFonts w:eastAsia="Calibri" w:cs="Calibri" w:ascii="Titillium" w:hAnsi="Titillium"/>
        </w:rPr>
        <w:t>oznaczenie czasu odbioru danych przez platformę zakupową stanowi datę oraz dokładny czas (hh:mm:ss) generowany wg. czasu lokalnego serwera synchronizowanego z zegarem Głównego Urzędu Miar.</w:t>
      </w:r>
    </w:p>
    <w:p>
      <w:pPr>
        <w:pStyle w:val="Standard"/>
        <w:numPr>
          <w:ilvl w:val="0"/>
          <w:numId w:val="30"/>
        </w:numPr>
        <w:tabs>
          <w:tab w:val="clear" w:pos="720"/>
          <w:tab w:val="left" w:pos="1135" w:leader="none"/>
        </w:tabs>
        <w:spacing w:lineRule="auto" w:line="276"/>
        <w:ind w:hanging="567" w:left="567"/>
        <w:jc w:val="both"/>
        <w:rPr>
          <w:rFonts w:ascii="Titillium" w:hAnsi="Titillium"/>
        </w:rPr>
      </w:pPr>
      <w:r>
        <w:rPr>
          <w:rFonts w:eastAsia="Calibri" w:cs="Calibri" w:ascii="Titillium" w:hAnsi="Titillium"/>
        </w:rPr>
        <w:t>Wykonawca, przystępując do niniejszego postępowania o udzielenie zamówienia publicznego:</w:t>
      </w:r>
    </w:p>
    <w:p>
      <w:pPr>
        <w:pStyle w:val="Standard"/>
        <w:numPr>
          <w:ilvl w:val="1"/>
          <w:numId w:val="30"/>
        </w:numPr>
        <w:tabs>
          <w:tab w:val="clear" w:pos="720"/>
          <w:tab w:val="left" w:pos="2270" w:leader="none"/>
        </w:tabs>
        <w:spacing w:lineRule="auto" w:line="276"/>
        <w:ind w:hanging="567" w:left="1134"/>
        <w:jc w:val="both"/>
        <w:rPr/>
      </w:pPr>
      <w:r>
        <w:rPr>
          <w:rFonts w:eastAsia="Calibri" w:cs="Calibri" w:ascii="Titillium" w:hAnsi="Titillium"/>
        </w:rPr>
        <w:t xml:space="preserve">akceptuje warunki korzystania z </w:t>
      </w:r>
      <w:hyperlink r:id="rId16">
        <w:r>
          <w:rPr>
            <w:rFonts w:eastAsia="Calibri" w:cs="Calibri" w:ascii="Titillium" w:hAnsi="Titillium"/>
            <w:color w:val="1155CC"/>
            <w:u w:val="single"/>
          </w:rPr>
          <w:t>platformazakupowa.pl</w:t>
        </w:r>
      </w:hyperlink>
      <w:r>
        <w:rPr>
          <w:rFonts w:eastAsia="Calibri" w:cs="Calibri" w:ascii="Titillium" w:hAnsi="Titillium"/>
        </w:rPr>
        <w:t xml:space="preserve"> określone w Regulaminie zamieszczonym na stronie internetowej </w:t>
      </w:r>
      <w:hyperlink r:id="rId17">
        <w:r>
          <w:rPr>
            <w:rFonts w:ascii="Titillium" w:hAnsi="Titillium"/>
          </w:rPr>
          <w:t>pod linkiem</w:t>
        </w:r>
      </w:hyperlink>
      <w:r>
        <w:rPr>
          <w:rFonts w:eastAsia="Calibri" w:cs="Calibri" w:ascii="Titillium" w:hAnsi="Titillium"/>
        </w:rPr>
        <w:t xml:space="preserve">  w zakładce „Regulamin" oraz uznaje go za wiążący,</w:t>
      </w:r>
    </w:p>
    <w:p>
      <w:pPr>
        <w:pStyle w:val="Standard"/>
        <w:numPr>
          <w:ilvl w:val="1"/>
          <w:numId w:val="30"/>
        </w:numPr>
        <w:tabs>
          <w:tab w:val="clear" w:pos="720"/>
          <w:tab w:val="left" w:pos="2270" w:leader="none"/>
        </w:tabs>
        <w:spacing w:lineRule="auto" w:line="276"/>
        <w:ind w:hanging="567" w:left="1134"/>
        <w:jc w:val="both"/>
        <w:rPr>
          <w:rFonts w:ascii="Titillium" w:hAnsi="Titillium"/>
        </w:rPr>
      </w:pPr>
      <w:r>
        <w:rPr>
          <w:rFonts w:eastAsia="Calibri" w:cs="Calibri" w:ascii="Titillium" w:hAnsi="Titillium"/>
        </w:rPr>
        <w:t>zapoznaje i stosuje się do Instrukcji składania ofert/wniosków.</w:t>
      </w:r>
    </w:p>
    <w:p>
      <w:pPr>
        <w:pStyle w:val="Standard"/>
        <w:numPr>
          <w:ilvl w:val="0"/>
          <w:numId w:val="30"/>
        </w:numPr>
        <w:tabs>
          <w:tab w:val="clear" w:pos="720"/>
          <w:tab w:val="left" w:pos="1073" w:leader="none"/>
        </w:tabs>
        <w:spacing w:lineRule="auto" w:line="276"/>
        <w:ind w:hanging="567" w:left="567"/>
        <w:jc w:val="both"/>
        <w:rPr/>
      </w:pPr>
      <w:r>
        <w:rPr>
          <w:rFonts w:eastAsia="Calibri" w:cs="Calibri" w:ascii="Titillium" w:hAnsi="Titillium"/>
          <w:b/>
        </w:rPr>
        <w:t xml:space="preserve">Zamawiający nie ponosi odpowiedzialności za złożenie oferty w sposób niezgodny z Instrukcją korzystania z </w:t>
      </w:r>
      <w:hyperlink r:id="rId18">
        <w:r>
          <w:rPr>
            <w:rFonts w:eastAsia="Calibri" w:cs="Calibri" w:ascii="Titillium" w:hAnsi="Titillium"/>
            <w:b/>
            <w:color w:val="1155CC"/>
            <w:u w:val="single"/>
          </w:rPr>
          <w:t>platformazakupowa.pl</w:t>
        </w:r>
      </w:hyperlink>
      <w:r>
        <w:rPr>
          <w:rFonts w:eastAsia="Calibri" w:cs="Calibri" w:ascii="Titillium" w:hAnsi="Titillium"/>
        </w:rPr>
        <w:t>, w szczególności za sytuację, gdy Zamawiający zapozna się z tre</w:t>
      </w:r>
      <w:r>
        <w:rPr>
          <w:rFonts w:eastAsia="Calibri" w:cs="Titillium" w:ascii="Titillium" w:hAnsi="Titillium"/>
        </w:rPr>
        <w:t>ś</w:t>
      </w:r>
      <w:r>
        <w:rPr>
          <w:rFonts w:eastAsia="Calibri" w:cs="Calibri" w:ascii="Titillium" w:hAnsi="Titillium"/>
        </w:rPr>
        <w:t>ci</w:t>
      </w:r>
      <w:r>
        <w:rPr>
          <w:rFonts w:eastAsia="Calibri" w:cs="Titillium" w:ascii="Titillium" w:hAnsi="Titillium"/>
        </w:rPr>
        <w:t>ą</w:t>
      </w:r>
      <w:r>
        <w:rPr>
          <w:rFonts w:eastAsia="Calibri" w:cs="Calibri" w:ascii="Titillium" w:hAnsi="Titillium"/>
        </w:rPr>
        <w:t xml:space="preserve"> oferty przed up</w:t>
      </w:r>
      <w:r>
        <w:rPr>
          <w:rFonts w:eastAsia="Calibri" w:cs="Titillium" w:ascii="Titillium" w:hAnsi="Titillium"/>
        </w:rPr>
        <w:t>ł</w:t>
      </w:r>
      <w:r>
        <w:rPr>
          <w:rFonts w:eastAsia="Calibri" w:cs="Calibri" w:ascii="Titillium" w:hAnsi="Titillium"/>
        </w:rPr>
        <w:t>ywem terminu sk</w:t>
      </w:r>
      <w:r>
        <w:rPr>
          <w:rFonts w:eastAsia="Calibri" w:cs="Titillium" w:ascii="Titillium" w:hAnsi="Titillium"/>
        </w:rPr>
        <w:t>ł</w:t>
      </w:r>
      <w:r>
        <w:rPr>
          <w:rFonts w:eastAsia="Calibri" w:cs="Calibri" w:ascii="Titillium" w:hAnsi="Titillium"/>
        </w:rPr>
        <w:t>adania ofert (np. z</w:t>
      </w:r>
      <w:r>
        <w:rPr>
          <w:rFonts w:eastAsia="Calibri" w:cs="Titillium" w:ascii="Titillium" w:hAnsi="Titillium"/>
        </w:rPr>
        <w:t>ł</w:t>
      </w:r>
      <w:r>
        <w:rPr>
          <w:rFonts w:eastAsia="Calibri" w:cs="Calibri" w:ascii="Titillium" w:hAnsi="Titillium"/>
        </w:rPr>
        <w:t>o</w:t>
      </w:r>
      <w:r>
        <w:rPr>
          <w:rFonts w:eastAsia="Calibri" w:cs="Titillium" w:ascii="Titillium" w:hAnsi="Titillium"/>
        </w:rPr>
        <w:t>ż</w:t>
      </w:r>
      <w:r>
        <w:rPr>
          <w:rFonts w:eastAsia="Calibri" w:cs="Calibri" w:ascii="Titillium" w:hAnsi="Titillium"/>
        </w:rPr>
        <w:t>enie oferty w zak</w:t>
      </w:r>
      <w:r>
        <w:rPr>
          <w:rFonts w:eastAsia="Calibri" w:cs="Titillium" w:ascii="Titillium" w:hAnsi="Titillium"/>
        </w:rPr>
        <w:t>ł</w:t>
      </w:r>
      <w:r>
        <w:rPr>
          <w:rFonts w:eastAsia="Calibri" w:cs="Calibri" w:ascii="Titillium" w:hAnsi="Titillium"/>
        </w:rPr>
        <w:t xml:space="preserve">adce </w:t>
      </w:r>
      <w:r>
        <w:rPr>
          <w:rFonts w:eastAsia="Calibri" w:cs="Titillium" w:ascii="Titillium" w:hAnsi="Titillium"/>
        </w:rPr>
        <w:t>„</w:t>
      </w:r>
      <w:r>
        <w:rPr>
          <w:rFonts w:eastAsia="Calibri" w:cs="Calibri" w:ascii="Titillium" w:hAnsi="Titillium"/>
        </w:rPr>
        <w:t>Wy</w:t>
      </w:r>
      <w:r>
        <w:rPr>
          <w:rFonts w:eastAsia="Calibri" w:cs="Titillium" w:ascii="Titillium" w:hAnsi="Titillium"/>
        </w:rPr>
        <w:t>ś</w:t>
      </w:r>
      <w:r>
        <w:rPr>
          <w:rFonts w:eastAsia="Calibri" w:cs="Calibri" w:ascii="Titillium" w:hAnsi="Titillium"/>
        </w:rPr>
        <w:t>lij wiadomo</w:t>
      </w:r>
      <w:r>
        <w:rPr>
          <w:rFonts w:eastAsia="Calibri" w:cs="Titillium" w:ascii="Titillium" w:hAnsi="Titillium"/>
        </w:rPr>
        <w:t>ść</w:t>
      </w:r>
      <w:r>
        <w:rPr>
          <w:rFonts w:eastAsia="Calibri" w:cs="Calibri" w:ascii="Titillium" w:hAnsi="Titillium"/>
        </w:rPr>
        <w:t xml:space="preserve"> do Zamawiającego”).</w:t>
      </w:r>
      <w:r>
        <w:rPr>
          <w:rFonts w:ascii="Titillium" w:hAnsi="Titillium"/>
        </w:rPr>
        <w:t xml:space="preserve"> </w:t>
      </w:r>
      <w:r>
        <w:rPr>
          <w:rFonts w:eastAsia="Calibri" w:cs="Calibri" w:ascii="Titillium" w:hAnsi="Titillium"/>
        </w:rPr>
        <w:t>Taka oferta zostanie uznana przez Zamawiającego za ofertę handlową i nie będzie brana pod uwagę w przedmiotowym postępowaniu ponieważ nie został spełniony obowiązek narzucony w art. 221 ustawy Pzp.</w:t>
      </w:r>
    </w:p>
    <w:p>
      <w:pPr>
        <w:pStyle w:val="Standard"/>
        <w:numPr>
          <w:ilvl w:val="0"/>
          <w:numId w:val="30"/>
        </w:numPr>
        <w:tabs>
          <w:tab w:val="clear" w:pos="720"/>
          <w:tab w:val="left" w:pos="1073" w:leader="none"/>
        </w:tabs>
        <w:spacing w:lineRule="auto" w:line="276"/>
        <w:ind w:hanging="567" w:left="567"/>
        <w:jc w:val="both"/>
        <w:rPr/>
      </w:pPr>
      <w:r>
        <w:rPr>
          <w:rFonts w:eastAsia="Calibri" w:cs="Calibri" w:ascii="Titillium" w:hAnsi="Titillium"/>
          <w:color w:val="000000"/>
        </w:rPr>
        <w:t xml:space="preserve">Zamawiający informuje, że instrukcje korzystania z </w:t>
      </w:r>
      <w:hyperlink r:id="rId19">
        <w:r>
          <w:rPr>
            <w:rFonts w:eastAsia="Calibri" w:cs="Calibri" w:ascii="Titillium" w:hAnsi="Titillium"/>
            <w:color w:val="1155CC"/>
            <w:u w:val="single"/>
          </w:rPr>
          <w:t>platformazakupowa.pl</w:t>
        </w:r>
      </w:hyperlink>
      <w:r>
        <w:rPr>
          <w:rFonts w:eastAsia="Calibri" w:cs="Calibri" w:ascii="Titillium" w:hAnsi="Titillium"/>
          <w:color w:val="000000"/>
        </w:rPr>
        <w:t xml:space="preserve"> dotyczące w szczeg</w:t>
      </w:r>
      <w:r>
        <w:rPr>
          <w:rFonts w:eastAsia="Calibri" w:cs="Titillium" w:ascii="Titillium" w:hAnsi="Titillium"/>
          <w:color w:val="000000"/>
        </w:rPr>
        <w:t>ó</w:t>
      </w:r>
      <w:r>
        <w:rPr>
          <w:rFonts w:eastAsia="Calibri" w:cs="Calibri" w:ascii="Titillium" w:hAnsi="Titillium"/>
          <w:color w:val="000000"/>
        </w:rPr>
        <w:t>lno</w:t>
      </w:r>
      <w:r>
        <w:rPr>
          <w:rFonts w:eastAsia="Calibri" w:cs="Titillium" w:ascii="Titillium" w:hAnsi="Titillium"/>
          <w:color w:val="000000"/>
        </w:rPr>
        <w:t>ś</w:t>
      </w:r>
      <w:r>
        <w:rPr>
          <w:rFonts w:eastAsia="Calibri" w:cs="Calibri" w:ascii="Titillium" w:hAnsi="Titillium"/>
          <w:color w:val="000000"/>
        </w:rPr>
        <w:t>ci logowania, sk</w:t>
      </w:r>
      <w:r>
        <w:rPr>
          <w:rFonts w:eastAsia="Calibri" w:cs="Titillium" w:ascii="Titillium" w:hAnsi="Titillium"/>
          <w:color w:val="000000"/>
        </w:rPr>
        <w:t>ł</w:t>
      </w:r>
      <w:r>
        <w:rPr>
          <w:rFonts w:eastAsia="Calibri" w:cs="Calibri" w:ascii="Titillium" w:hAnsi="Titillium"/>
          <w:color w:val="000000"/>
        </w:rPr>
        <w:t>adania wniosk</w:t>
      </w:r>
      <w:r>
        <w:rPr>
          <w:rFonts w:eastAsia="Calibri" w:cs="Titillium" w:ascii="Titillium" w:hAnsi="Titillium"/>
          <w:color w:val="000000"/>
        </w:rPr>
        <w:t>ó</w:t>
      </w:r>
      <w:r>
        <w:rPr>
          <w:rFonts w:eastAsia="Calibri" w:cs="Calibri" w:ascii="Titillium" w:hAnsi="Titillium"/>
          <w:color w:val="000000"/>
        </w:rPr>
        <w:t>w o wyja</w:t>
      </w:r>
      <w:r>
        <w:rPr>
          <w:rFonts w:eastAsia="Calibri" w:cs="Titillium" w:ascii="Titillium" w:hAnsi="Titillium"/>
          <w:color w:val="000000"/>
        </w:rPr>
        <w:t>ś</w:t>
      </w:r>
      <w:r>
        <w:rPr>
          <w:rFonts w:eastAsia="Calibri" w:cs="Calibri" w:ascii="Titillium" w:hAnsi="Titillium"/>
          <w:color w:val="000000"/>
        </w:rPr>
        <w:t>nienie tre</w:t>
      </w:r>
      <w:r>
        <w:rPr>
          <w:rFonts w:eastAsia="Calibri" w:cs="Titillium" w:ascii="Titillium" w:hAnsi="Titillium"/>
          <w:color w:val="000000"/>
        </w:rPr>
        <w:t>ś</w:t>
      </w:r>
      <w:r>
        <w:rPr>
          <w:rFonts w:eastAsia="Calibri" w:cs="Calibri" w:ascii="Titillium" w:hAnsi="Titillium"/>
          <w:color w:val="000000"/>
        </w:rPr>
        <w:t>ci SWZ, sk</w:t>
      </w:r>
      <w:r>
        <w:rPr>
          <w:rFonts w:eastAsia="Calibri" w:cs="Titillium" w:ascii="Titillium" w:hAnsi="Titillium"/>
          <w:color w:val="000000"/>
        </w:rPr>
        <w:t>ł</w:t>
      </w:r>
      <w:r>
        <w:rPr>
          <w:rFonts w:eastAsia="Calibri" w:cs="Calibri" w:ascii="Titillium" w:hAnsi="Titillium"/>
          <w:color w:val="000000"/>
        </w:rPr>
        <w:t>adania ofert oraz innych czynno</w:t>
      </w:r>
      <w:r>
        <w:rPr>
          <w:rFonts w:eastAsia="Calibri" w:cs="Titillium" w:ascii="Titillium" w:hAnsi="Titillium"/>
          <w:color w:val="000000"/>
        </w:rPr>
        <w:t>ś</w:t>
      </w:r>
      <w:r>
        <w:rPr>
          <w:rFonts w:eastAsia="Calibri" w:cs="Calibri" w:ascii="Titillium" w:hAnsi="Titillium"/>
          <w:color w:val="000000"/>
        </w:rPr>
        <w:t>ci podejmowanych w niniejszym post</w:t>
      </w:r>
      <w:r>
        <w:rPr>
          <w:rFonts w:eastAsia="Calibri" w:cs="Titillium" w:ascii="Titillium" w:hAnsi="Titillium"/>
          <w:color w:val="000000"/>
        </w:rPr>
        <w:t>ę</w:t>
      </w:r>
      <w:r>
        <w:rPr>
          <w:rFonts w:eastAsia="Calibri" w:cs="Calibri" w:ascii="Titillium" w:hAnsi="Titillium"/>
          <w:color w:val="000000"/>
        </w:rPr>
        <w:t>powaniu przy u</w:t>
      </w:r>
      <w:r>
        <w:rPr>
          <w:rFonts w:eastAsia="Calibri" w:cs="Titillium" w:ascii="Titillium" w:hAnsi="Titillium"/>
          <w:color w:val="000000"/>
        </w:rPr>
        <w:t>ż</w:t>
      </w:r>
      <w:r>
        <w:rPr>
          <w:rFonts w:eastAsia="Calibri" w:cs="Calibri" w:ascii="Titillium" w:hAnsi="Titillium"/>
          <w:color w:val="000000"/>
        </w:rPr>
        <w:t xml:space="preserve">yciu </w:t>
      </w:r>
      <w:hyperlink r:id="rId20">
        <w:r>
          <w:rPr>
            <w:rFonts w:eastAsia="Calibri" w:cs="Calibri" w:ascii="Titillium" w:hAnsi="Titillium"/>
            <w:color w:val="1155CC"/>
            <w:u w:val="single"/>
          </w:rPr>
          <w:t>platformazakupowa.pl</w:t>
        </w:r>
      </w:hyperlink>
      <w:r>
        <w:rPr>
          <w:rFonts w:eastAsia="Calibri" w:cs="Calibri" w:ascii="Titillium" w:hAnsi="Titillium"/>
          <w:color w:val="000000"/>
        </w:rPr>
        <w:t xml:space="preserve"> znajdują się w zakładce „Instrukcje dla Wykonawców" na stronie internetowej pod adresem:</w:t>
      </w:r>
      <w:r>
        <w:rPr>
          <w:rFonts w:ascii="Titillium" w:hAnsi="Titillium"/>
        </w:rPr>
        <w:t xml:space="preserve"> </w:t>
      </w:r>
      <w:hyperlink r:id="rId21">
        <w:r>
          <w:rPr>
            <w:rStyle w:val="Hyperlink"/>
            <w:rFonts w:eastAsia="Calibri" w:cs="Calibri" w:ascii="Titillium" w:hAnsi="Titillium"/>
          </w:rPr>
          <w:t>https://platformazakupowa.pl/strona/46-instrukcje</w:t>
        </w:r>
      </w:hyperlink>
    </w:p>
    <w:p>
      <w:pPr>
        <w:pStyle w:val="Standard"/>
        <w:numPr>
          <w:ilvl w:val="0"/>
          <w:numId w:val="30"/>
        </w:numPr>
        <w:tabs>
          <w:tab w:val="clear" w:pos="720"/>
          <w:tab w:val="left" w:pos="1073" w:leader="none"/>
        </w:tabs>
        <w:spacing w:lineRule="auto" w:line="276"/>
        <w:ind w:hanging="567" w:left="567"/>
        <w:jc w:val="both"/>
        <w:rPr>
          <w:rFonts w:ascii="Titillium" w:hAnsi="Titillium"/>
        </w:rPr>
      </w:pPr>
      <w:r>
        <w:rPr>
          <w:rFonts w:eastAsia="Calibri" w:cs="Calibri" w:ascii="Titillium" w:hAnsi="Titillium"/>
          <w:color w:val="000000"/>
        </w:rPr>
        <w:t>Sposób sporządzenia dokumentów elektronicznych musi być zgodny z wymaganiami określonymi w rozporz</w:t>
      </w:r>
      <w:r>
        <w:rPr>
          <w:rFonts w:eastAsia="Calibri" w:cs="Titillium" w:ascii="Titillium" w:hAnsi="Titillium"/>
          <w:color w:val="000000"/>
        </w:rPr>
        <w:t>ą</w:t>
      </w:r>
      <w:r>
        <w:rPr>
          <w:rFonts w:eastAsia="Calibri" w:cs="Calibri" w:ascii="Titillium" w:hAnsi="Titillium"/>
          <w:color w:val="000000"/>
        </w:rPr>
        <w:t>dzeniu określonym w ust.7.</w:t>
      </w:r>
    </w:p>
    <w:p>
      <w:pPr>
        <w:pStyle w:val="Standard"/>
        <w:tabs>
          <w:tab w:val="left" w:pos="720" w:leader="none"/>
          <w:tab w:val="left" w:pos="786" w:leader="none"/>
        </w:tabs>
        <w:spacing w:lineRule="auto" w:line="276"/>
        <w:ind w:hanging="360" w:left="360"/>
        <w:jc w:val="both"/>
        <w:rPr>
          <w:rFonts w:ascii="Titillium" w:hAnsi="Titillium"/>
        </w:rPr>
      </w:pPr>
      <w:r>
        <w:rPr>
          <w:rFonts w:ascii="Titillium" w:hAnsi="Titillium"/>
        </w:rPr>
      </w:r>
    </w:p>
    <w:p>
      <w:pPr>
        <w:pStyle w:val="Heading1"/>
        <w:numPr>
          <w:ilvl w:val="0"/>
          <w:numId w:val="46"/>
        </w:numPr>
        <w:jc w:val="both"/>
        <w:rPr>
          <w:rFonts w:ascii="Titillium" w:hAnsi="Titillium"/>
        </w:rPr>
      </w:pPr>
      <w:r>
        <w:rPr>
          <w:rFonts w:ascii="Titillium" w:hAnsi="Titillium"/>
        </w:rPr>
        <w:t>Wyjaśnienia treści SWZ</w:t>
      </w:r>
    </w:p>
    <w:p>
      <w:pPr>
        <w:pStyle w:val="Standard"/>
        <w:numPr>
          <w:ilvl w:val="0"/>
          <w:numId w:val="155"/>
        </w:numPr>
        <w:tabs>
          <w:tab w:val="clear" w:pos="720"/>
          <w:tab w:val="left" w:pos="1135" w:leader="none"/>
        </w:tabs>
        <w:spacing w:lineRule="auto" w:line="276"/>
        <w:ind w:hanging="567" w:left="567"/>
        <w:jc w:val="both"/>
        <w:rPr>
          <w:rFonts w:ascii="Titillium" w:hAnsi="Titillium"/>
        </w:rPr>
      </w:pPr>
      <w:r>
        <w:rPr>
          <w:rFonts w:ascii="Titillium" w:hAnsi="Titillium"/>
        </w:rPr>
        <w:t xml:space="preserve">Wykonawca może zwrócić się do Zamawiającego o wyjaśnienie treści specyfikacji warunków zamówienia. Zamawiający jest zobowiązany udzielić wyjaśnień </w:t>
      </w:r>
      <w:r>
        <w:rPr>
          <w:rFonts w:ascii="Titillium" w:hAnsi="Titillium"/>
          <w:b/>
        </w:rPr>
        <w:t>niezwłocznie</w:t>
      </w:r>
      <w:r>
        <w:rPr>
          <w:rFonts w:ascii="Titillium" w:hAnsi="Titillium"/>
        </w:rPr>
        <w:t xml:space="preserve">, jednak nie później niż: na </w:t>
      </w:r>
      <w:r>
        <w:rPr>
          <w:rFonts w:ascii="Titillium" w:hAnsi="Titillium"/>
          <w:b/>
          <w:bCs/>
        </w:rPr>
        <w:t>2</w:t>
      </w:r>
      <w:r>
        <w:rPr>
          <w:rFonts w:ascii="Titillium" w:hAnsi="Titillium"/>
          <w:b/>
        </w:rPr>
        <w:t xml:space="preserve"> dni </w:t>
      </w:r>
      <w:r>
        <w:rPr>
          <w:rFonts w:ascii="Titillium" w:hAnsi="Titillium"/>
        </w:rPr>
        <w:t>przed upływem terminu składania ofert pod warunkiem, że wniosek o wyjaśnienie treści SWZ wpłynął do Zamawiającego nie później niż</w:t>
      </w:r>
      <w:r>
        <w:rPr>
          <w:rFonts w:ascii="Titillium" w:hAnsi="Titillium"/>
          <w:b/>
          <w:bCs/>
        </w:rPr>
        <w:t xml:space="preserve"> na 4 dni </w:t>
      </w:r>
      <w:r>
        <w:rPr>
          <w:rFonts w:ascii="Titillium" w:hAnsi="Titillium"/>
        </w:rPr>
        <w:t>przed upływem terminu składania ofert.</w:t>
      </w:r>
    </w:p>
    <w:p>
      <w:pPr>
        <w:pStyle w:val="Standard"/>
        <w:numPr>
          <w:ilvl w:val="0"/>
          <w:numId w:val="30"/>
        </w:numPr>
        <w:tabs>
          <w:tab w:val="clear" w:pos="720"/>
          <w:tab w:val="left" w:pos="1135" w:leader="none"/>
        </w:tabs>
        <w:spacing w:lineRule="auto" w:line="276"/>
        <w:ind w:hanging="567" w:left="567"/>
        <w:jc w:val="both"/>
        <w:rPr>
          <w:rFonts w:ascii="Titillium" w:hAnsi="Titillium"/>
        </w:rPr>
      </w:pPr>
      <w:r>
        <w:rPr>
          <w:rFonts w:ascii="Titillium" w:hAnsi="Titillium"/>
        </w:rPr>
        <w:t>Jeżeli Zamawiający nie udzieli wyjaśnień w terminie, o którym mowa w ust. 1, przedłuża termin składania odpowiednio ofert o czas niezbędny do zapoznania się wszystkich zainteresowanych Wykonawców z wyjaśnieniami niezbędnymi do należytego przygotowania i złożenia ofert.</w:t>
      </w:r>
    </w:p>
    <w:p>
      <w:pPr>
        <w:pStyle w:val="Standard"/>
        <w:numPr>
          <w:ilvl w:val="0"/>
          <w:numId w:val="30"/>
        </w:numPr>
        <w:tabs>
          <w:tab w:val="clear" w:pos="720"/>
          <w:tab w:val="left" w:pos="1135" w:leader="none"/>
        </w:tabs>
        <w:spacing w:lineRule="auto" w:line="276"/>
        <w:ind w:hanging="567" w:left="567"/>
        <w:jc w:val="both"/>
        <w:rPr>
          <w:rFonts w:ascii="Titillium" w:hAnsi="Titillium"/>
        </w:rPr>
      </w:pPr>
      <w:r>
        <w:rPr>
          <w:rFonts w:ascii="Titillium" w:hAnsi="Titillium"/>
        </w:rPr>
        <w:t>Jeżeli wniosek o wyjaśnienie treści specyfikacji warunków zamówienia wpłynął po upływie terminu składania wniosku, o którym mowa w ust. 1, Zamawiający nie ma obowiązku udzielić wyjaśnień.</w:t>
      </w:r>
    </w:p>
    <w:p>
      <w:pPr>
        <w:pStyle w:val="Standard"/>
        <w:numPr>
          <w:ilvl w:val="0"/>
          <w:numId w:val="30"/>
        </w:numPr>
        <w:tabs>
          <w:tab w:val="clear" w:pos="720"/>
          <w:tab w:val="left" w:pos="1135" w:leader="none"/>
        </w:tabs>
        <w:spacing w:lineRule="auto" w:line="276"/>
        <w:ind w:hanging="567" w:left="567"/>
        <w:jc w:val="both"/>
        <w:rPr>
          <w:rFonts w:ascii="Titillium" w:hAnsi="Titillium"/>
        </w:rPr>
      </w:pPr>
      <w:r>
        <w:rPr>
          <w:rFonts w:ascii="Titillium" w:hAnsi="Titillium"/>
        </w:rPr>
        <w:t>Przedłużenie terminu składania ofert nie wpływa na bieg terminu składania wniosku, o którym mowa w ust. 1.</w:t>
      </w:r>
    </w:p>
    <w:p>
      <w:pPr>
        <w:pStyle w:val="Standard"/>
        <w:numPr>
          <w:ilvl w:val="0"/>
          <w:numId w:val="30"/>
        </w:numPr>
        <w:tabs>
          <w:tab w:val="clear" w:pos="720"/>
          <w:tab w:val="left" w:pos="1135" w:leader="none"/>
        </w:tabs>
        <w:spacing w:lineRule="auto" w:line="276"/>
        <w:ind w:hanging="567" w:left="567"/>
        <w:jc w:val="both"/>
        <w:rPr>
          <w:rFonts w:ascii="Titillium" w:hAnsi="Titillium"/>
        </w:rPr>
      </w:pPr>
      <w:r>
        <w:rPr>
          <w:rFonts w:ascii="Titillium" w:hAnsi="Titillium"/>
        </w:rPr>
        <w:t>Treść zapytań wraz z wyjaśnieniami Zamawiający udostępnia, bez ujawniania źródła zapytania, na stronie internetowej prowadzonego postępowania https://platformazakupowa.pl/pn/rydultowy</w:t>
      </w:r>
      <w:r>
        <w:rPr>
          <w:rFonts w:ascii="Titillium" w:hAnsi="Titillium"/>
          <w:color w:val="000000"/>
        </w:rPr>
        <w:t xml:space="preserve">                    w zakładce Komunikaty publiczne.</w:t>
      </w:r>
      <w:r>
        <w:rPr>
          <w:rFonts w:eastAsia="Times-Roman, 'Times New Roman'" w:ascii="Titillium" w:hAnsi="Titillium"/>
          <w:bCs/>
        </w:rPr>
        <w:tab/>
      </w:r>
    </w:p>
    <w:p>
      <w:pPr>
        <w:pStyle w:val="Standard"/>
        <w:tabs>
          <w:tab w:val="left" w:pos="720" w:leader="none"/>
        </w:tabs>
        <w:spacing w:lineRule="auto" w:line="276"/>
        <w:ind w:hanging="360" w:left="360"/>
        <w:jc w:val="both"/>
        <w:rPr>
          <w:rFonts w:ascii="Titillium" w:hAnsi="Titillium"/>
        </w:rPr>
      </w:pPr>
      <w:r>
        <w:rPr>
          <w:rFonts w:ascii="Titillium" w:hAnsi="Titillium"/>
        </w:rPr>
      </w:r>
    </w:p>
    <w:p>
      <w:pPr>
        <w:pStyle w:val="Heading1"/>
        <w:numPr>
          <w:ilvl w:val="0"/>
          <w:numId w:val="46"/>
        </w:numPr>
        <w:jc w:val="both"/>
        <w:rPr>
          <w:rFonts w:ascii="Titillium" w:hAnsi="Titillium"/>
        </w:rPr>
      </w:pPr>
      <w:r>
        <w:rPr>
          <w:rFonts w:ascii="Titillium" w:hAnsi="Titillium"/>
        </w:rPr>
        <w:t>Wymagania dotyczące wadium</w:t>
      </w:r>
    </w:p>
    <w:p>
      <w:pPr>
        <w:pStyle w:val="Textbodyindent"/>
        <w:numPr>
          <w:ilvl w:val="0"/>
          <w:numId w:val="2"/>
        </w:numPr>
        <w:tabs>
          <w:tab w:val="clear" w:pos="720"/>
          <w:tab w:val="left" w:pos="1135" w:leader="none"/>
        </w:tabs>
        <w:spacing w:lineRule="auto" w:line="276" w:before="0" w:after="0"/>
        <w:ind w:hanging="567" w:left="567"/>
        <w:jc w:val="both"/>
        <w:rPr>
          <w:rFonts w:ascii="Titillium" w:hAnsi="Titillium"/>
        </w:rPr>
      </w:pPr>
      <w:r>
        <w:rPr>
          <w:rFonts w:ascii="Titillium" w:hAnsi="Titillium"/>
        </w:rPr>
        <w:t xml:space="preserve">Wykonawca zobowiązany jest wnieść wadium w wysokości 5000,00 zł (słownie złotych: pięć tysięcy 00/100) </w:t>
      </w:r>
      <w:r>
        <w:rPr>
          <w:rFonts w:ascii="Titillium" w:hAnsi="Titillium"/>
          <w:b/>
          <w:bCs/>
        </w:rPr>
        <w:t>wyłącznie dla zadania nr 1.</w:t>
      </w:r>
      <w:r>
        <w:rPr>
          <w:rFonts w:ascii="Titillium" w:hAnsi="Titillium"/>
        </w:rPr>
        <w:t xml:space="preserve"> Dla zadania nr 2 Zamawiający </w:t>
      </w:r>
      <w:r>
        <w:rPr>
          <w:rFonts w:ascii="Titillium" w:hAnsi="Titillium"/>
          <w:u w:val="single"/>
        </w:rPr>
        <w:t>nie wymaga</w:t>
      </w:r>
      <w:r>
        <w:rPr>
          <w:rFonts w:ascii="Titillium" w:hAnsi="Titillium"/>
        </w:rPr>
        <w:t xml:space="preserve"> wniesienia wadium.</w:t>
      </w:r>
    </w:p>
    <w:p>
      <w:pPr>
        <w:pStyle w:val="Textbodyindent"/>
        <w:numPr>
          <w:ilvl w:val="0"/>
          <w:numId w:val="2"/>
        </w:numPr>
        <w:tabs>
          <w:tab w:val="clear" w:pos="720"/>
          <w:tab w:val="left" w:pos="1135" w:leader="none"/>
        </w:tabs>
        <w:spacing w:lineRule="auto" w:line="276" w:before="0" w:after="0"/>
        <w:ind w:hanging="567" w:left="567"/>
        <w:jc w:val="both"/>
        <w:rPr>
          <w:rFonts w:ascii="Titillium" w:hAnsi="Titillium"/>
        </w:rPr>
      </w:pPr>
      <w:r>
        <w:rPr>
          <w:rFonts w:ascii="Titillium" w:hAnsi="Titillium"/>
        </w:rPr>
        <w:t>Wadium wnosi się przed upływem terminu składania ofert i utrzymuje nieprzerwanie do dnia upływu terminu związania ofertą, z wyjątkiem przypadków, o których mowa w art. 98 ust. 1 pkt 2 i</w:t>
      </w:r>
      <w:r>
        <w:rPr>
          <w:rFonts w:cs="Calibri" w:ascii="Titillium" w:hAnsi="Titillium"/>
        </w:rPr>
        <w:t> </w:t>
      </w:r>
      <w:r>
        <w:rPr>
          <w:rFonts w:ascii="Titillium" w:hAnsi="Titillium"/>
        </w:rPr>
        <w:t>3 oraz ust. 2 ustawy Pzp.</w:t>
      </w:r>
    </w:p>
    <w:p>
      <w:pPr>
        <w:pStyle w:val="Textbodyindent"/>
        <w:numPr>
          <w:ilvl w:val="0"/>
          <w:numId w:val="2"/>
        </w:numPr>
        <w:tabs>
          <w:tab w:val="clear" w:pos="720"/>
          <w:tab w:val="left" w:pos="1135" w:leader="none"/>
        </w:tabs>
        <w:spacing w:lineRule="auto" w:line="276" w:before="0" w:after="0"/>
        <w:ind w:hanging="567" w:left="567"/>
        <w:jc w:val="both"/>
        <w:rPr>
          <w:rFonts w:ascii="Titillium" w:hAnsi="Titillium"/>
        </w:rPr>
      </w:pPr>
      <w:r>
        <w:rPr>
          <w:rFonts w:ascii="Titillium" w:hAnsi="Titillium"/>
        </w:rPr>
        <w:t>Wadium może być wniesione wg wyboru Wykonawcy w jednej lub w kilku formach:</w:t>
      </w:r>
    </w:p>
    <w:p>
      <w:pPr>
        <w:pStyle w:val="Textbodyindent"/>
        <w:numPr>
          <w:ilvl w:val="0"/>
          <w:numId w:val="31"/>
        </w:numPr>
        <w:tabs>
          <w:tab w:val="clear" w:pos="720"/>
          <w:tab w:val="left" w:pos="1135" w:leader="none"/>
        </w:tabs>
        <w:spacing w:lineRule="auto" w:line="276" w:before="0" w:after="0"/>
        <w:ind w:hanging="567" w:left="1134"/>
        <w:jc w:val="both"/>
        <w:rPr>
          <w:rFonts w:ascii="Titillium" w:hAnsi="Titillium"/>
        </w:rPr>
      </w:pPr>
      <w:r>
        <w:rPr>
          <w:rFonts w:ascii="Titillium" w:hAnsi="Titillium"/>
        </w:rPr>
        <w:t>pieniądzu,</w:t>
      </w:r>
    </w:p>
    <w:p>
      <w:pPr>
        <w:pStyle w:val="Textbodyindent"/>
        <w:numPr>
          <w:ilvl w:val="0"/>
          <w:numId w:val="31"/>
        </w:numPr>
        <w:tabs>
          <w:tab w:val="clear" w:pos="720"/>
          <w:tab w:val="left" w:pos="1135" w:leader="none"/>
        </w:tabs>
        <w:spacing w:lineRule="auto" w:line="276" w:before="0" w:after="0"/>
        <w:ind w:hanging="567" w:left="1134"/>
        <w:jc w:val="both"/>
        <w:rPr>
          <w:rFonts w:ascii="Titillium" w:hAnsi="Titillium"/>
        </w:rPr>
      </w:pPr>
      <w:r>
        <w:rPr>
          <w:rFonts w:ascii="Titillium" w:hAnsi="Titillium"/>
        </w:rPr>
        <w:t>gwarancjach bankowych,</w:t>
      </w:r>
    </w:p>
    <w:p>
      <w:pPr>
        <w:pStyle w:val="Textbodyindent"/>
        <w:numPr>
          <w:ilvl w:val="0"/>
          <w:numId w:val="31"/>
        </w:numPr>
        <w:tabs>
          <w:tab w:val="clear" w:pos="720"/>
          <w:tab w:val="left" w:pos="1135" w:leader="none"/>
        </w:tabs>
        <w:spacing w:lineRule="auto" w:line="276" w:before="0" w:after="0"/>
        <w:ind w:hanging="567" w:left="1134"/>
        <w:jc w:val="both"/>
        <w:rPr>
          <w:rFonts w:ascii="Titillium" w:hAnsi="Titillium"/>
        </w:rPr>
      </w:pPr>
      <w:r>
        <w:rPr>
          <w:rFonts w:ascii="Titillium" w:hAnsi="Titillium"/>
        </w:rPr>
        <w:t>gwarancjach ubezpieczeniowych,</w:t>
      </w:r>
    </w:p>
    <w:p>
      <w:pPr>
        <w:pStyle w:val="Textbodyindent"/>
        <w:numPr>
          <w:ilvl w:val="0"/>
          <w:numId w:val="31"/>
        </w:numPr>
        <w:tabs>
          <w:tab w:val="clear" w:pos="720"/>
          <w:tab w:val="left" w:pos="1135" w:leader="none"/>
        </w:tabs>
        <w:spacing w:lineRule="auto" w:line="276" w:before="0" w:after="0"/>
        <w:ind w:hanging="567" w:left="1134"/>
        <w:jc w:val="both"/>
        <w:rPr>
          <w:rFonts w:ascii="Titillium" w:hAnsi="Titillium"/>
        </w:rPr>
      </w:pPr>
      <w:r>
        <w:rPr>
          <w:rFonts w:ascii="Titillium" w:hAnsi="Titillium"/>
        </w:rPr>
        <w:t>poręczeniach udzielanych przez podmioty, o których mowa w art. 6b ust. 5 pkt 2 ustawy            z dnia 9 listopada 2000 r. o utworzeniu Polskiej Agencji Rozwoju Przedsiębiorczości (Dz. U.             z 2019 r. poz.310, 836 i 1572).</w:t>
      </w:r>
    </w:p>
    <w:p>
      <w:pPr>
        <w:pStyle w:val="Textbodyindent"/>
        <w:numPr>
          <w:ilvl w:val="0"/>
          <w:numId w:val="2"/>
        </w:numPr>
        <w:tabs>
          <w:tab w:val="clear" w:pos="720"/>
          <w:tab w:val="left" w:pos="1135" w:leader="none"/>
        </w:tabs>
        <w:spacing w:lineRule="auto" w:line="276" w:before="0" w:after="0"/>
        <w:ind w:hanging="567" w:left="567"/>
        <w:jc w:val="both"/>
        <w:rPr>
          <w:rFonts w:ascii="Titillium" w:hAnsi="Titillium"/>
        </w:rPr>
      </w:pPr>
      <w:r>
        <w:rPr>
          <w:rFonts w:ascii="Titillium" w:hAnsi="Titillium"/>
        </w:rPr>
        <w:t xml:space="preserve">Wadium wniesione w formie pieniężnej należy </w:t>
      </w:r>
      <w:r>
        <w:rPr>
          <w:rFonts w:ascii="Titillium" w:hAnsi="Titillium"/>
          <w:u w:val="single"/>
        </w:rPr>
        <w:t>wpłacić PRZELEWEM</w:t>
      </w:r>
      <w:r>
        <w:rPr>
          <w:rFonts w:ascii="Titillium" w:hAnsi="Titillium"/>
        </w:rPr>
        <w:t xml:space="preserve"> na rachunek bankowy Zamawiającego:</w:t>
      </w:r>
    </w:p>
    <w:p>
      <w:pPr>
        <w:pStyle w:val="Standard"/>
        <w:jc w:val="center"/>
        <w:rPr>
          <w:rFonts w:ascii="Titillium" w:hAnsi="Titillium"/>
        </w:rPr>
      </w:pPr>
      <w:r>
        <w:rPr>
          <w:rFonts w:ascii="Titillium" w:hAnsi="Titillium"/>
          <w:b/>
          <w:bCs/>
        </w:rPr>
        <w:t>URZĄD MIASTA RYDUŁTOWY WADIA</w:t>
      </w:r>
    </w:p>
    <w:p>
      <w:pPr>
        <w:pStyle w:val="Standard"/>
        <w:jc w:val="center"/>
        <w:rPr>
          <w:rFonts w:ascii="Titillium" w:hAnsi="Titillium"/>
        </w:rPr>
      </w:pPr>
      <w:r>
        <w:rPr>
          <w:rFonts w:ascii="Titillium" w:hAnsi="Titillium"/>
          <w:b/>
          <w:bCs/>
        </w:rPr>
        <w:t xml:space="preserve"> </w:t>
      </w:r>
      <w:r>
        <w:rPr>
          <w:rFonts w:ascii="Titillium" w:hAnsi="Titillium"/>
          <w:b/>
          <w:bCs/>
        </w:rPr>
        <w:t>40 8436 0003 0000 0026 9601 0013</w:t>
      </w:r>
    </w:p>
    <w:p>
      <w:pPr>
        <w:pStyle w:val="Standard"/>
        <w:numPr>
          <w:ilvl w:val="0"/>
          <w:numId w:val="2"/>
        </w:numPr>
        <w:tabs>
          <w:tab w:val="clear" w:pos="720"/>
          <w:tab w:val="left" w:pos="1135" w:leader="none"/>
        </w:tabs>
        <w:spacing w:lineRule="auto" w:line="276"/>
        <w:ind w:hanging="567" w:left="567"/>
        <w:jc w:val="both"/>
        <w:rPr>
          <w:rFonts w:ascii="Titillium" w:hAnsi="Titillium"/>
        </w:rPr>
      </w:pPr>
      <w:r>
        <w:rPr>
          <w:rFonts w:ascii="Titillium" w:hAnsi="Titillium"/>
        </w:rPr>
        <w:t xml:space="preserve">Jeżeli wadium zostanie wniesione w pieniądzu, Wykonawca dołącza do oferty potwierdzenie dokonania przelewu (plik). Na poleceniu przelewu należy wpisać: </w:t>
      </w:r>
      <w:r>
        <w:rPr>
          <w:rFonts w:ascii="Titillium" w:hAnsi="Titillium"/>
          <w:b/>
          <w:bCs/>
        </w:rPr>
        <w:t xml:space="preserve">„Wadium - </w:t>
      </w:r>
      <w:r>
        <w:rPr>
          <w:rFonts w:ascii="Titillium" w:hAnsi="Titillium"/>
          <w:b/>
          <w:bCs/>
          <w:color w:val="000000"/>
        </w:rPr>
        <w:t xml:space="preserve">Modernizacja ul. </w:t>
      </w:r>
      <w:r>
        <w:rPr>
          <w:rFonts w:cs="Verdana" w:ascii="Titillium" w:hAnsi="Titillium"/>
          <w:b/>
          <w:bCs/>
          <w:color w:val="000000"/>
        </w:rPr>
        <w:t>Niewiadomskiej- zadanie nr 1”.</w:t>
      </w:r>
    </w:p>
    <w:p>
      <w:pPr>
        <w:pStyle w:val="Standard"/>
        <w:numPr>
          <w:ilvl w:val="0"/>
          <w:numId w:val="2"/>
        </w:numPr>
        <w:tabs>
          <w:tab w:val="clear" w:pos="720"/>
          <w:tab w:val="left" w:pos="1135" w:leader="none"/>
        </w:tabs>
        <w:spacing w:lineRule="auto" w:line="276"/>
        <w:ind w:hanging="567" w:left="567"/>
        <w:jc w:val="both"/>
        <w:rPr>
          <w:rFonts w:ascii="Titillium" w:hAnsi="Titillium"/>
        </w:rPr>
      </w:pPr>
      <w:r>
        <w:rPr>
          <w:rFonts w:ascii="Titillium" w:hAnsi="Titillium"/>
          <w:u w:val="single"/>
        </w:rPr>
        <w:t>Jeżeli wadium jest wnoszone w formie gwarancji lub poręczenia, o których mowa w ust. 3 pkt 2-4, Wykonawca przekazuje Zamawiającemu oryginał gwarancji lub poręczenia, w postaci elektronicznej przy pomocy platformy zakupowej wraz z ofertą.</w:t>
      </w:r>
    </w:p>
    <w:p>
      <w:pPr>
        <w:pStyle w:val="Standard"/>
        <w:numPr>
          <w:ilvl w:val="0"/>
          <w:numId w:val="2"/>
        </w:numPr>
        <w:tabs>
          <w:tab w:val="clear" w:pos="720"/>
          <w:tab w:val="left" w:pos="1135" w:leader="none"/>
        </w:tabs>
        <w:spacing w:lineRule="auto" w:line="276"/>
        <w:ind w:hanging="567" w:left="567"/>
        <w:jc w:val="both"/>
        <w:rPr>
          <w:rFonts w:ascii="Titillium" w:hAnsi="Titillium"/>
        </w:rPr>
      </w:pPr>
      <w:r>
        <w:rPr>
          <w:rFonts w:ascii="Titillium" w:hAnsi="Titillium"/>
          <w:color w:val="000000"/>
        </w:rPr>
        <w:t>W przypadku składania przez Wykonawcę wadium w formie gwarancji lub poręczenia, dokument powinien być sporządzony zgodnie z</w:t>
      </w:r>
      <w:r>
        <w:rPr>
          <w:rFonts w:cs="Calibri" w:ascii="Titillium" w:hAnsi="Titillium"/>
          <w:color w:val="000000"/>
        </w:rPr>
        <w:t> </w:t>
      </w:r>
      <w:r>
        <w:rPr>
          <w:rFonts w:ascii="Titillium" w:hAnsi="Titillium"/>
          <w:color w:val="000000"/>
        </w:rPr>
        <w:t>obowi</w:t>
      </w:r>
      <w:r>
        <w:rPr>
          <w:rFonts w:cs="Titillium" w:ascii="Titillium" w:hAnsi="Titillium"/>
          <w:color w:val="000000"/>
        </w:rPr>
        <w:t>ą</w:t>
      </w:r>
      <w:r>
        <w:rPr>
          <w:rFonts w:ascii="Titillium" w:hAnsi="Titillium"/>
          <w:color w:val="000000"/>
        </w:rPr>
        <w:t>zuj</w:t>
      </w:r>
      <w:r>
        <w:rPr>
          <w:rFonts w:cs="Titillium" w:ascii="Titillium" w:hAnsi="Titillium"/>
          <w:color w:val="000000"/>
        </w:rPr>
        <w:t>ą</w:t>
      </w:r>
      <w:r>
        <w:rPr>
          <w:rFonts w:ascii="Titillium" w:hAnsi="Titillium"/>
          <w:color w:val="000000"/>
        </w:rPr>
        <w:t>cym prawem i winien zawiera</w:t>
      </w:r>
      <w:r>
        <w:rPr>
          <w:rFonts w:cs="Titillium" w:ascii="Titillium" w:hAnsi="Titillium"/>
          <w:color w:val="000000"/>
        </w:rPr>
        <w:t>ć</w:t>
      </w:r>
      <w:r>
        <w:rPr>
          <w:rFonts w:ascii="Titillium" w:hAnsi="Titillium"/>
          <w:color w:val="000000"/>
        </w:rPr>
        <w:t xml:space="preserve"> nast</w:t>
      </w:r>
      <w:r>
        <w:rPr>
          <w:rFonts w:cs="Titillium" w:ascii="Titillium" w:hAnsi="Titillium"/>
          <w:color w:val="000000"/>
        </w:rPr>
        <w:t>ę</w:t>
      </w:r>
      <w:r>
        <w:rPr>
          <w:rFonts w:ascii="Titillium" w:hAnsi="Titillium"/>
          <w:color w:val="000000"/>
        </w:rPr>
        <w:t>puj</w:t>
      </w:r>
      <w:r>
        <w:rPr>
          <w:rFonts w:cs="Titillium" w:ascii="Titillium" w:hAnsi="Titillium"/>
          <w:color w:val="000000"/>
        </w:rPr>
        <w:t>ą</w:t>
      </w:r>
      <w:r>
        <w:rPr>
          <w:rFonts w:ascii="Titillium" w:hAnsi="Titillium"/>
          <w:color w:val="000000"/>
        </w:rPr>
        <w:t>ce elementy:</w:t>
      </w:r>
    </w:p>
    <w:p>
      <w:pPr>
        <w:pStyle w:val="Standard"/>
        <w:numPr>
          <w:ilvl w:val="2"/>
          <w:numId w:val="156"/>
        </w:numPr>
        <w:tabs>
          <w:tab w:val="clear" w:pos="720"/>
          <w:tab w:val="left" w:pos="2270" w:leader="none"/>
        </w:tabs>
        <w:spacing w:lineRule="auto" w:line="276"/>
        <w:ind w:hanging="567" w:left="1134"/>
        <w:jc w:val="both"/>
        <w:rPr>
          <w:rFonts w:ascii="Titillium" w:hAnsi="Titillium"/>
        </w:rPr>
      </w:pPr>
      <w:r>
        <w:rPr>
          <w:rFonts w:ascii="Titillium" w:hAnsi="Titillium"/>
        </w:rPr>
        <w:t>nazwę dającego zlecenie (Wykonawcy), beneficjenta gwarancji/poręczenia (Zamawiającego), gwaranta/poręczyciela (instytucji udzielających gwarancji/poręczenia) oraz wskazanie ich siedzib,</w:t>
      </w:r>
    </w:p>
    <w:p>
      <w:pPr>
        <w:pStyle w:val="Standard"/>
        <w:numPr>
          <w:ilvl w:val="2"/>
          <w:numId w:val="2"/>
        </w:numPr>
        <w:tabs>
          <w:tab w:val="clear" w:pos="720"/>
          <w:tab w:val="left" w:pos="2270" w:leader="none"/>
        </w:tabs>
        <w:spacing w:lineRule="auto" w:line="276"/>
        <w:ind w:hanging="567" w:left="1134"/>
        <w:jc w:val="both"/>
        <w:rPr>
          <w:rFonts w:ascii="Titillium" w:hAnsi="Titillium"/>
        </w:rPr>
      </w:pPr>
      <w:r>
        <w:rPr>
          <w:rFonts w:ascii="Titillium" w:hAnsi="Titillium"/>
          <w:color w:val="000000"/>
        </w:rPr>
        <w:t>określenie wierzytelności, która ma być zabezpieczona gwarancją/poręczeniem,</w:t>
      </w:r>
    </w:p>
    <w:p>
      <w:pPr>
        <w:pStyle w:val="Standard"/>
        <w:numPr>
          <w:ilvl w:val="2"/>
          <w:numId w:val="2"/>
        </w:numPr>
        <w:tabs>
          <w:tab w:val="clear" w:pos="720"/>
          <w:tab w:val="left" w:pos="2270" w:leader="none"/>
        </w:tabs>
        <w:spacing w:lineRule="auto" w:line="276"/>
        <w:ind w:hanging="567" w:left="1134"/>
        <w:jc w:val="both"/>
        <w:rPr>
          <w:rFonts w:ascii="Titillium" w:hAnsi="Titillium"/>
        </w:rPr>
      </w:pPr>
      <w:r>
        <w:rPr>
          <w:rFonts w:ascii="Titillium" w:hAnsi="Titillium"/>
          <w:color w:val="000000"/>
        </w:rPr>
        <w:t>kwotę gwarancji/poręczenia,</w:t>
      </w:r>
    </w:p>
    <w:p>
      <w:pPr>
        <w:pStyle w:val="Standard"/>
        <w:numPr>
          <w:ilvl w:val="2"/>
          <w:numId w:val="2"/>
        </w:numPr>
        <w:tabs>
          <w:tab w:val="clear" w:pos="720"/>
          <w:tab w:val="left" w:pos="2270" w:leader="none"/>
        </w:tabs>
        <w:spacing w:lineRule="auto" w:line="276"/>
        <w:ind w:hanging="567" w:left="1134"/>
        <w:jc w:val="both"/>
        <w:rPr>
          <w:rFonts w:ascii="Titillium" w:hAnsi="Titillium"/>
        </w:rPr>
      </w:pPr>
      <w:r>
        <w:rPr>
          <w:rFonts w:ascii="Titillium" w:hAnsi="Titillium"/>
        </w:rPr>
        <w:t>termin ważności gwarancji/poręczenia,</w:t>
      </w:r>
    </w:p>
    <w:p>
      <w:pPr>
        <w:pStyle w:val="Standard"/>
        <w:numPr>
          <w:ilvl w:val="2"/>
          <w:numId w:val="2"/>
        </w:numPr>
        <w:tabs>
          <w:tab w:val="clear" w:pos="720"/>
          <w:tab w:val="left" w:pos="2270" w:leader="none"/>
        </w:tabs>
        <w:spacing w:lineRule="auto" w:line="276"/>
        <w:ind w:hanging="567" w:left="1134"/>
        <w:jc w:val="both"/>
        <w:rPr>
          <w:rFonts w:ascii="Titillium" w:hAnsi="Titillium"/>
        </w:rPr>
      </w:pPr>
      <w:r>
        <w:rPr>
          <w:rFonts w:ascii="Titillium" w:hAnsi="Titillium"/>
          <w:b/>
        </w:rPr>
        <w:t>nieodwołalne i bezwarunkowe</w:t>
      </w:r>
      <w:r>
        <w:rPr>
          <w:rFonts w:ascii="Titillium" w:hAnsi="Titillium"/>
        </w:rPr>
        <w:t xml:space="preserve"> zobowiązanie gwaranta/poręczyciela do: </w:t>
      </w:r>
      <w:r>
        <w:rPr>
          <w:rFonts w:ascii="Titillium" w:hAnsi="Titillium"/>
          <w:b/>
        </w:rPr>
        <w:t>zapłacenia kwoty gwarancji/poręczenia na pierwsze pisemne żądanie Zamawiającego,</w:t>
      </w:r>
      <w:r>
        <w:rPr>
          <w:rFonts w:ascii="Titillium" w:hAnsi="Titillium"/>
        </w:rPr>
        <w:t xml:space="preserve"> </w:t>
      </w:r>
      <w:r>
        <w:rPr>
          <w:rFonts w:ascii="Titillium" w:hAnsi="Titillium"/>
          <w:b/>
          <w:bCs/>
        </w:rPr>
        <w:t>w okolicznościach określonych w art. 98 ust. 6 ustawy Prawo zamówień publicznych,</w:t>
      </w:r>
    </w:p>
    <w:p>
      <w:pPr>
        <w:pStyle w:val="Standard"/>
        <w:numPr>
          <w:ilvl w:val="2"/>
          <w:numId w:val="2"/>
        </w:numPr>
        <w:tabs>
          <w:tab w:val="clear" w:pos="720"/>
          <w:tab w:val="left" w:pos="2270" w:leader="none"/>
        </w:tabs>
        <w:spacing w:lineRule="auto" w:line="276"/>
        <w:ind w:hanging="567" w:left="1134"/>
        <w:jc w:val="both"/>
        <w:rPr>
          <w:rFonts w:ascii="Titillium" w:hAnsi="Titillium"/>
        </w:rPr>
      </w:pPr>
      <w:r>
        <w:rPr>
          <w:rFonts w:ascii="Titillium" w:hAnsi="Titillium"/>
          <w:color w:val="000000"/>
        </w:rPr>
        <w:t>jednocześnie Zamawiający wymaga, aby okres ważności gwarancji/poręczenia nie był krótszy niż okres związania ofertą.</w:t>
      </w:r>
    </w:p>
    <w:p>
      <w:pPr>
        <w:pStyle w:val="Textbodyindent"/>
        <w:spacing w:lineRule="auto" w:line="276" w:before="0" w:after="0"/>
        <w:ind w:left="567"/>
        <w:jc w:val="both"/>
        <w:rPr>
          <w:rFonts w:ascii="Titillium" w:hAnsi="Titillium"/>
        </w:rPr>
      </w:pPr>
      <w:r>
        <w:rPr>
          <w:rFonts w:ascii="Titillium" w:hAnsi="Titillium"/>
        </w:rPr>
        <w:t xml:space="preserve">Gwarancja bankowa lub ubezpieczeniowa obligatoryjnie musi być wystawiona na </w:t>
      </w:r>
      <w:r>
        <w:rPr>
          <w:rFonts w:ascii="Titillium" w:hAnsi="Titillium"/>
          <w:b/>
          <w:bCs/>
        </w:rPr>
        <w:t>wszystkich członków konsorcjum</w:t>
      </w:r>
      <w:r>
        <w:rPr>
          <w:rFonts w:ascii="Titillium" w:hAnsi="Titillium"/>
          <w:b/>
          <w:bCs/>
          <w:color w:val="000000"/>
        </w:rPr>
        <w:t>.</w:t>
      </w:r>
      <w:r>
        <w:rPr>
          <w:rFonts w:ascii="Titillium" w:hAnsi="Titillium"/>
          <w:color w:val="000000"/>
        </w:rPr>
        <w:t xml:space="preserve"> Wadium w formie pieniężnej wnosi ustanowiony pełnomocnik, np. lider.</w:t>
      </w:r>
    </w:p>
    <w:p>
      <w:pPr>
        <w:pStyle w:val="Textbodyindent"/>
        <w:tabs>
          <w:tab w:val="clear" w:pos="720"/>
          <w:tab w:val="left" w:pos="546" w:leader="none"/>
        </w:tabs>
        <w:spacing w:lineRule="auto" w:line="276" w:before="0" w:after="0"/>
        <w:ind w:left="0"/>
        <w:jc w:val="both"/>
        <w:rPr>
          <w:rFonts w:ascii="Titillium" w:hAnsi="Titillium"/>
        </w:rPr>
      </w:pPr>
      <w:r>
        <w:rPr>
          <w:rFonts w:ascii="Titillium" w:hAnsi="Titillium"/>
          <w:color w:val="000000"/>
        </w:rPr>
        <w:t xml:space="preserve">8. </w:t>
        <w:tab/>
        <w:t xml:space="preserve">Zasady zwrotu  wadium z urzędu czy też na wniosek oraz zatrzymania wadium określa </w:t>
        <w:tab/>
        <w:t>szczegółowo ustawa Pzp.</w:t>
      </w:r>
    </w:p>
    <w:p>
      <w:pPr>
        <w:pStyle w:val="Textbodyindent"/>
        <w:tabs>
          <w:tab w:val="left" w:pos="720" w:leader="none"/>
          <w:tab w:val="left" w:pos="750" w:leader="none"/>
        </w:tabs>
        <w:spacing w:lineRule="auto" w:line="276" w:before="0" w:after="0"/>
        <w:ind w:hanging="320" w:left="340"/>
        <w:jc w:val="both"/>
        <w:rPr>
          <w:rFonts w:ascii="Titillium" w:hAnsi="Titillium"/>
        </w:rPr>
      </w:pPr>
      <w:r>
        <w:rPr>
          <w:rFonts w:ascii="Titillium" w:hAnsi="Titillium"/>
        </w:rPr>
      </w:r>
    </w:p>
    <w:p>
      <w:pPr>
        <w:pStyle w:val="Heading1"/>
        <w:numPr>
          <w:ilvl w:val="0"/>
          <w:numId w:val="46"/>
        </w:numPr>
        <w:jc w:val="both"/>
        <w:rPr>
          <w:rFonts w:ascii="Titillium" w:hAnsi="Titillium"/>
        </w:rPr>
      </w:pPr>
      <w:r>
        <w:rPr>
          <w:rFonts w:ascii="Titillium" w:hAnsi="Titillium"/>
        </w:rPr>
        <w:t>Termin związania ofertą</w:t>
      </w:r>
    </w:p>
    <w:p>
      <w:pPr>
        <w:pStyle w:val="BodyText21"/>
        <w:widowControl/>
        <w:tabs>
          <w:tab w:val="clear" w:pos="720"/>
          <w:tab w:val="left" w:pos="180" w:leader="none"/>
          <w:tab w:val="left" w:pos="360" w:leader="none"/>
          <w:tab w:val="left" w:pos="540" w:leader="none"/>
        </w:tabs>
        <w:spacing w:lineRule="auto" w:line="276"/>
        <w:rPr/>
      </w:pPr>
      <w:r>
        <w:rPr>
          <w:rFonts w:cs="Times New Roman" w:ascii="Titillium" w:hAnsi="Titillium"/>
          <w:sz w:val="20"/>
          <w:szCs w:val="20"/>
        </w:rPr>
        <w:t>Wykonawca jest związany ofertą do upływu terminu określonego datą w dokumentach zamówienia, jednak nie dłużej niż 30 dni od dnia upływu terminu składania ofert, tj. do dnia</w:t>
      </w:r>
      <w:r>
        <w:rPr>
          <w:rFonts w:cs="Times New Roman" w:ascii="Titillium" w:hAnsi="Titillium"/>
          <w:b/>
          <w:bCs/>
          <w:sz w:val="20"/>
          <w:szCs w:val="20"/>
        </w:rPr>
        <w:t xml:space="preserve"> 22.08.2024.r.,</w:t>
      </w:r>
      <w:r>
        <w:rPr>
          <w:rFonts w:cs="Times New Roman" w:ascii="Titillium" w:hAnsi="Titillium"/>
          <w:sz w:val="20"/>
          <w:szCs w:val="20"/>
        </w:rPr>
        <w:t xml:space="preserve"> przy czym pierwszym dniem </w:t>
      </w:r>
      <w:r>
        <w:rPr>
          <w:rStyle w:val="Emphasis"/>
          <w:rFonts w:cs="Times New Roman" w:ascii="Titillium" w:hAnsi="Titillium"/>
          <w:i w:val="false"/>
          <w:iCs w:val="false"/>
          <w:sz w:val="20"/>
          <w:szCs w:val="20"/>
        </w:rPr>
        <w:t>terminu związania</w:t>
      </w:r>
      <w:r>
        <w:rPr>
          <w:rFonts w:cs="Times New Roman" w:ascii="Titillium" w:hAnsi="Titillium"/>
          <w:sz w:val="20"/>
          <w:szCs w:val="20"/>
        </w:rPr>
        <w:t xml:space="preserve"> ofertą jest dzień, w którym upływa termin składania ofert.</w:t>
      </w:r>
    </w:p>
    <w:p>
      <w:pPr>
        <w:pStyle w:val="BodyText21"/>
        <w:widowControl/>
        <w:tabs>
          <w:tab w:val="left" w:pos="540" w:leader="none"/>
          <w:tab w:val="left" w:pos="720" w:leader="none"/>
          <w:tab w:val="left" w:pos="900" w:leader="none"/>
        </w:tabs>
        <w:spacing w:lineRule="auto" w:line="276"/>
        <w:ind w:hanging="360" w:left="360"/>
        <w:rPr>
          <w:rFonts w:ascii="Titillium" w:hAnsi="Titillium" w:cs="Times New Roman"/>
          <w:sz w:val="20"/>
          <w:szCs w:val="20"/>
        </w:rPr>
      </w:pPr>
      <w:r>
        <w:rPr>
          <w:rFonts w:cs="Times New Roman" w:ascii="Titillium" w:hAnsi="Titillium"/>
          <w:sz w:val="20"/>
          <w:szCs w:val="20"/>
        </w:rPr>
      </w:r>
    </w:p>
    <w:p>
      <w:pPr>
        <w:pStyle w:val="Heading1"/>
        <w:numPr>
          <w:ilvl w:val="0"/>
          <w:numId w:val="46"/>
        </w:numPr>
        <w:jc w:val="both"/>
        <w:rPr>
          <w:rFonts w:ascii="Titillium" w:hAnsi="Titillium"/>
        </w:rPr>
      </w:pPr>
      <w:r>
        <w:rPr>
          <w:rFonts w:ascii="Titillium" w:hAnsi="Titillium"/>
        </w:rPr>
        <w:t>Opis sposobu przygotowania ofert</w:t>
      </w:r>
    </w:p>
    <w:p>
      <w:pPr>
        <w:pStyle w:val="Standard"/>
        <w:numPr>
          <w:ilvl w:val="0"/>
          <w:numId w:val="32"/>
        </w:numPr>
        <w:tabs>
          <w:tab w:val="clear" w:pos="720"/>
          <w:tab w:val="left" w:pos="1135" w:leader="none"/>
          <w:tab w:val="left" w:pos="1287" w:leader="none"/>
        </w:tabs>
        <w:spacing w:lineRule="auto" w:line="276"/>
        <w:ind w:hanging="567" w:left="567"/>
        <w:jc w:val="both"/>
        <w:rPr>
          <w:rFonts w:ascii="Titillium" w:hAnsi="Titillium"/>
        </w:rPr>
      </w:pPr>
      <w:r>
        <w:rPr>
          <w:rFonts w:ascii="Titillium" w:hAnsi="Titillium"/>
        </w:rPr>
        <w:t xml:space="preserve">Wykonawca może złożyć tylko jedną ofertę. </w:t>
      </w:r>
      <w:r>
        <w:rPr>
          <w:rFonts w:ascii="Titillium" w:hAnsi="Titillium"/>
          <w:color w:val="000000"/>
        </w:rPr>
        <w:t>Wykonawca, który przedkłada lub partycypuje w więcej niż jednej ofercie spowoduje, że wszystkie oferty z udziałem tego Wykonawcy zostaną odrzucone.</w:t>
      </w:r>
    </w:p>
    <w:p>
      <w:pPr>
        <w:pStyle w:val="Standard"/>
        <w:numPr>
          <w:ilvl w:val="0"/>
          <w:numId w:val="32"/>
        </w:numPr>
        <w:tabs>
          <w:tab w:val="clear" w:pos="720"/>
          <w:tab w:val="left" w:pos="1135" w:leader="none"/>
          <w:tab w:val="left" w:pos="1287" w:leader="none"/>
        </w:tabs>
        <w:spacing w:lineRule="auto" w:line="276"/>
        <w:ind w:hanging="567" w:left="567"/>
        <w:jc w:val="both"/>
        <w:rPr>
          <w:rFonts w:ascii="Titillium" w:hAnsi="Titillium"/>
        </w:rPr>
      </w:pPr>
      <w:r>
        <w:rPr>
          <w:rFonts w:ascii="Titillium" w:hAnsi="Titillium"/>
          <w:bCs/>
          <w:color w:val="000000"/>
        </w:rPr>
        <w:t>Ofertę</w:t>
      </w:r>
      <w:r>
        <w:rPr>
          <w:rFonts w:ascii="Titillium" w:hAnsi="Titillium"/>
        </w:rPr>
        <w:t xml:space="preserve"> składa się, pod rygorem nieważności, w formie elektronicznej lub w postaci elektronicznej opatrzonej podpisem zaufanym lub podpisem osobistym.</w:t>
      </w:r>
    </w:p>
    <w:p>
      <w:pPr>
        <w:pStyle w:val="Standard"/>
        <w:numPr>
          <w:ilvl w:val="0"/>
          <w:numId w:val="32"/>
        </w:numPr>
        <w:tabs>
          <w:tab w:val="clear" w:pos="720"/>
          <w:tab w:val="left" w:pos="1135" w:leader="none"/>
          <w:tab w:val="left" w:pos="1287" w:leader="none"/>
        </w:tabs>
        <w:spacing w:lineRule="auto" w:line="276"/>
        <w:ind w:hanging="567" w:left="567"/>
        <w:jc w:val="both"/>
        <w:rPr>
          <w:rFonts w:ascii="Titillium" w:hAnsi="Titillium"/>
        </w:rPr>
      </w:pPr>
      <w:r>
        <w:rPr>
          <w:rFonts w:ascii="Titillium" w:hAnsi="Titillium"/>
        </w:rPr>
        <w:t>Kompletna oferta powinna zawierać:</w:t>
      </w:r>
    </w:p>
    <w:p>
      <w:pPr>
        <w:pStyle w:val="Standard"/>
        <w:numPr>
          <w:ilvl w:val="1"/>
          <w:numId w:val="32"/>
        </w:numPr>
        <w:tabs>
          <w:tab w:val="clear" w:pos="720"/>
          <w:tab w:val="left" w:pos="1702" w:leader="none"/>
          <w:tab w:val="left" w:pos="1854" w:leader="none"/>
        </w:tabs>
        <w:spacing w:lineRule="auto" w:line="276"/>
        <w:ind w:hanging="567" w:left="1134"/>
        <w:jc w:val="both"/>
        <w:rPr>
          <w:rFonts w:ascii="Titillium" w:hAnsi="Titillium"/>
        </w:rPr>
      </w:pPr>
      <w:r>
        <w:rPr>
          <w:rFonts w:ascii="Titillium" w:hAnsi="Titillium"/>
        </w:rPr>
        <w:t>formularz oferty – wg wzoru na załączniku nr 1a i/lub 1b,</w:t>
      </w:r>
    </w:p>
    <w:p>
      <w:pPr>
        <w:pStyle w:val="Standard"/>
        <w:numPr>
          <w:ilvl w:val="1"/>
          <w:numId w:val="32"/>
        </w:numPr>
        <w:tabs>
          <w:tab w:val="clear" w:pos="720"/>
          <w:tab w:val="left" w:pos="1702" w:leader="none"/>
          <w:tab w:val="left" w:pos="1854" w:leader="none"/>
        </w:tabs>
        <w:spacing w:lineRule="auto" w:line="276"/>
        <w:ind w:hanging="567" w:left="1134"/>
        <w:jc w:val="both"/>
        <w:rPr>
          <w:rFonts w:ascii="Titillium" w:hAnsi="Titillium"/>
        </w:rPr>
      </w:pPr>
      <w:r>
        <w:rPr>
          <w:rFonts w:ascii="Titillium" w:hAnsi="Titillium"/>
        </w:rPr>
        <w:t xml:space="preserve">oświadczenie </w:t>
      </w:r>
      <w:r>
        <w:rPr>
          <w:rFonts w:eastAsia="Times-Roman, 'Times New Roman'" w:ascii="Titillium" w:hAnsi="Titillium"/>
        </w:rPr>
        <w:t>o niepodleganiu wykluczeniu i spełnianiu warunków udziału w postępowaniu</w:t>
      </w:r>
      <w:r>
        <w:rPr>
          <w:rFonts w:ascii="Titillium" w:hAnsi="Titillium"/>
        </w:rPr>
        <w:t xml:space="preserve"> – wg </w:t>
        <w:tab/>
        <w:t>wzoru na załączniku nr 2 do SWZ,</w:t>
      </w:r>
    </w:p>
    <w:p>
      <w:pPr>
        <w:pStyle w:val="Standard"/>
        <w:numPr>
          <w:ilvl w:val="1"/>
          <w:numId w:val="32"/>
        </w:numPr>
        <w:tabs>
          <w:tab w:val="clear" w:pos="720"/>
          <w:tab w:val="left" w:pos="1702" w:leader="none"/>
          <w:tab w:val="left" w:pos="1854" w:leader="none"/>
        </w:tabs>
        <w:spacing w:lineRule="auto" w:line="276"/>
        <w:ind w:hanging="567" w:left="1134"/>
        <w:jc w:val="both"/>
        <w:rPr>
          <w:rFonts w:ascii="Titillium" w:hAnsi="Titillium"/>
        </w:rPr>
      </w:pPr>
      <w:r>
        <w:rPr>
          <w:rFonts w:ascii="Titillium" w:hAnsi="Titillium"/>
        </w:rPr>
        <w:t xml:space="preserve">oświadczenie </w:t>
      </w:r>
      <w:r>
        <w:rPr>
          <w:rFonts w:eastAsia="Times-Roman, 'Times New Roman'" w:ascii="Titillium" w:hAnsi="Titillium"/>
        </w:rPr>
        <w:t>o niepodleganiu wykluczeniu i spełnianiu warunków udziału w postępowaniu</w:t>
      </w:r>
      <w:r>
        <w:rPr>
          <w:rFonts w:ascii="Titillium" w:hAnsi="Titillium"/>
        </w:rPr>
        <w:t xml:space="preserve"> – wg </w:t>
        <w:tab/>
        <w:t>wzoru na załączniku nr 2a do SWZ złożone przez podmiot trzeci,</w:t>
      </w:r>
    </w:p>
    <w:p>
      <w:pPr>
        <w:pStyle w:val="Standard"/>
        <w:numPr>
          <w:ilvl w:val="1"/>
          <w:numId w:val="32"/>
        </w:numPr>
        <w:tabs>
          <w:tab w:val="clear" w:pos="720"/>
          <w:tab w:val="left" w:pos="1702" w:leader="none"/>
          <w:tab w:val="left" w:pos="1854" w:leader="none"/>
        </w:tabs>
        <w:spacing w:lineRule="auto" w:line="276"/>
        <w:ind w:hanging="567" w:left="1134"/>
        <w:jc w:val="both"/>
        <w:rPr>
          <w:rFonts w:ascii="Titillium" w:hAnsi="Titillium"/>
        </w:rPr>
      </w:pPr>
      <w:r>
        <w:rPr>
          <w:rFonts w:ascii="Titillium" w:hAnsi="Titillium"/>
        </w:rPr>
        <w:t>oświadczenie, z którego wynika, które usługi i roboty wykonają poszczególni Wykonawcy występujący wspólnie (uwaga dotyczy tylko konsorcjum/spółki cywilnej) wg wzoru na załączniku 5,</w:t>
      </w:r>
    </w:p>
    <w:p>
      <w:pPr>
        <w:pStyle w:val="Standard"/>
        <w:numPr>
          <w:ilvl w:val="1"/>
          <w:numId w:val="32"/>
        </w:numPr>
        <w:tabs>
          <w:tab w:val="clear" w:pos="720"/>
          <w:tab w:val="left" w:pos="1702" w:leader="none"/>
          <w:tab w:val="left" w:pos="1854" w:leader="none"/>
        </w:tabs>
        <w:spacing w:lineRule="auto" w:line="276"/>
        <w:ind w:hanging="567" w:left="1134"/>
        <w:jc w:val="both"/>
        <w:rPr>
          <w:rFonts w:ascii="Titillium" w:hAnsi="Titillium"/>
        </w:rPr>
      </w:pPr>
      <w:r>
        <w:rPr>
          <w:rFonts w:ascii="Titillium" w:hAnsi="Titillium"/>
        </w:rPr>
        <w:t>zobowiązania podmiotów trzecich do oddania Wykonawcy do dyspozycji niezbędnych zasobów na okres korzystania z nich przy wykonywaniu zamówienia</w:t>
      </w:r>
      <w:r>
        <w:rPr>
          <w:rFonts w:ascii="Titillium" w:hAnsi="Titillium"/>
          <w:b/>
        </w:rPr>
        <w:t xml:space="preserve"> – </w:t>
      </w:r>
      <w:r>
        <w:rPr>
          <w:rFonts w:ascii="Titillium" w:hAnsi="Titillium"/>
        </w:rPr>
        <w:t>dołączyć jeżeli Wykonawca zamierza spełnianie warunków udziału w postępowaniu dotyczących wykształcenia, kwalifikacji zawodowych, doświadczenia, sytuacji finansowej wykazać wykorzystując zasoby podmiotów trzecich (wzór własny),</w:t>
      </w:r>
    </w:p>
    <w:p>
      <w:pPr>
        <w:pStyle w:val="Standard"/>
        <w:numPr>
          <w:ilvl w:val="1"/>
          <w:numId w:val="32"/>
        </w:numPr>
        <w:tabs>
          <w:tab w:val="clear" w:pos="720"/>
          <w:tab w:val="left" w:pos="1702" w:leader="none"/>
          <w:tab w:val="left" w:pos="1854" w:leader="none"/>
        </w:tabs>
        <w:spacing w:lineRule="auto" w:line="276"/>
        <w:ind w:hanging="567" w:left="1134"/>
        <w:jc w:val="both"/>
        <w:rPr>
          <w:rFonts w:ascii="Titillium" w:hAnsi="Titillium"/>
        </w:rPr>
      </w:pPr>
      <w:r>
        <w:rPr>
          <w:rFonts w:ascii="Titillium" w:hAnsi="Titillium"/>
        </w:rPr>
        <w:t xml:space="preserve">pełnomocnictwo do reprezentowania Wykonawcy w postępowaniu, albo do reprezentowania w postępowaniu i zawarcia umowy, z którego wynika zakres, tj. określenie do jakich czynności uprawniony jest pełnomocnik – </w:t>
      </w:r>
      <w:r>
        <w:rPr>
          <w:rFonts w:ascii="Titillium" w:hAnsi="Titillium"/>
          <w:i/>
        </w:rPr>
        <w:t>dołączyć, o ile dotyczy,</w:t>
      </w:r>
    </w:p>
    <w:p>
      <w:pPr>
        <w:pStyle w:val="Standard"/>
        <w:numPr>
          <w:ilvl w:val="1"/>
          <w:numId w:val="32"/>
        </w:numPr>
        <w:tabs>
          <w:tab w:val="clear" w:pos="720"/>
          <w:tab w:val="left" w:pos="1702" w:leader="none"/>
          <w:tab w:val="left" w:pos="1854" w:leader="none"/>
        </w:tabs>
        <w:spacing w:lineRule="auto" w:line="276"/>
        <w:ind w:hanging="567" w:left="1134"/>
        <w:jc w:val="both"/>
        <w:rPr>
          <w:i w:val="false"/>
          <w:i w:val="false"/>
          <w:iCs w:val="false"/>
        </w:rPr>
      </w:pPr>
      <w:r>
        <w:rPr>
          <w:rFonts w:ascii="Titillium" w:hAnsi="Titillium"/>
          <w:i w:val="false"/>
          <w:iCs w:val="false"/>
        </w:rPr>
        <w:t>kosztorys ofertowy w formie uproszczonej –</w:t>
      </w:r>
      <w:r>
        <w:rPr>
          <w:rFonts w:ascii="Titillium" w:hAnsi="Titillium"/>
          <w:b/>
          <w:bCs/>
          <w:i w:val="false"/>
          <w:iCs w:val="false"/>
        </w:rPr>
        <w:t xml:space="preserve"> dla zadania nr 2,</w:t>
      </w:r>
    </w:p>
    <w:p>
      <w:pPr>
        <w:pStyle w:val="Standard"/>
        <w:numPr>
          <w:ilvl w:val="1"/>
          <w:numId w:val="32"/>
        </w:numPr>
        <w:tabs>
          <w:tab w:val="clear" w:pos="720"/>
          <w:tab w:val="left" w:pos="1702" w:leader="none"/>
          <w:tab w:val="left" w:pos="1854" w:leader="none"/>
        </w:tabs>
        <w:spacing w:lineRule="auto" w:line="276"/>
        <w:ind w:hanging="567" w:left="1134"/>
        <w:jc w:val="both"/>
        <w:rPr>
          <w:rFonts w:ascii="Titillium" w:hAnsi="Titillium"/>
        </w:rPr>
      </w:pPr>
      <w:r>
        <w:rPr>
          <w:rFonts w:ascii="Titillium" w:hAnsi="Titillium"/>
        </w:rPr>
        <w:t>dowód wniesienia wadium w formie niepieniężnej –</w:t>
      </w:r>
      <w:r>
        <w:rPr>
          <w:rFonts w:ascii="Titillium" w:hAnsi="Titillium"/>
          <w:b/>
          <w:bCs/>
        </w:rPr>
        <w:t xml:space="preserve"> dla zadania nr 1.</w:t>
      </w:r>
    </w:p>
    <w:p>
      <w:pPr>
        <w:pStyle w:val="Standard"/>
        <w:numPr>
          <w:ilvl w:val="0"/>
          <w:numId w:val="32"/>
        </w:numPr>
        <w:tabs>
          <w:tab w:val="clear" w:pos="720"/>
          <w:tab w:val="left" w:pos="1135" w:leader="none"/>
          <w:tab w:val="left" w:pos="1287" w:leader="none"/>
        </w:tabs>
        <w:spacing w:lineRule="auto" w:line="276"/>
        <w:ind w:hanging="567" w:left="567"/>
        <w:jc w:val="both"/>
        <w:rPr/>
      </w:pPr>
      <w:r>
        <w:rPr>
          <w:rFonts w:eastAsia="Calibri" w:cs="Calibri" w:ascii="Titillium" w:hAnsi="Titillium"/>
          <w:color w:val="000000"/>
        </w:rPr>
        <w:t xml:space="preserve">Oferta oraz przedmiotowe środki dowodowe (jeżeli były wymagane) składane elektronicznie muszą zostać podpisane </w:t>
      </w:r>
      <w:r>
        <w:rPr>
          <w:rFonts w:eastAsia="Calibri" w:cs="Calibri" w:ascii="Titillium" w:hAnsi="Titillium"/>
          <w:b/>
          <w:bCs/>
          <w:color w:val="000000"/>
        </w:rPr>
        <w:t>elektronicznym kwalifikowanym podpisem lub podpisem zaufanym lub podpisem osobistym.</w:t>
      </w:r>
      <w:r>
        <w:rPr>
          <w:rFonts w:eastAsia="Calibri" w:cs="Calibri" w:ascii="Titillium" w:hAnsi="Titillium"/>
          <w:color w:val="000000"/>
        </w:rPr>
        <w:t xml:space="preserve"> W procesie składania oferty, w tym przedmiotowych środków dowodowych na platformie, kwalifikowany podpis elektroniczny Wykonawca składa bezpośrednio na dokumencie, który następnie przesyła do systemu (opcja rekomendowana przez </w:t>
      </w:r>
      <w:hyperlink r:id="rId22">
        <w:r>
          <w:rPr>
            <w:rFonts w:eastAsia="Calibri" w:cs="Calibri" w:ascii="Titillium" w:hAnsi="Titillium"/>
            <w:color w:val="1155CC"/>
            <w:u w:val="single"/>
          </w:rPr>
          <w:t>platformazakupowa.pl</w:t>
        </w:r>
      </w:hyperlink>
      <w:r>
        <w:rPr>
          <w:rFonts w:eastAsia="Calibri" w:cs="Calibri" w:ascii="Titillium" w:hAnsi="Titillium"/>
          <w:color w:val="000000"/>
        </w:rPr>
        <w:t>).</w:t>
      </w:r>
    </w:p>
    <w:p>
      <w:pPr>
        <w:pStyle w:val="Standard"/>
        <w:numPr>
          <w:ilvl w:val="0"/>
          <w:numId w:val="32"/>
        </w:numPr>
        <w:tabs>
          <w:tab w:val="clear" w:pos="720"/>
          <w:tab w:val="left" w:pos="1135" w:leader="none"/>
          <w:tab w:val="left" w:pos="1287" w:leader="none"/>
        </w:tabs>
        <w:spacing w:lineRule="auto" w:line="276"/>
        <w:ind w:hanging="567" w:left="567"/>
        <w:jc w:val="both"/>
        <w:rPr>
          <w:rFonts w:ascii="Titillium" w:hAnsi="Titillium"/>
        </w:rPr>
      </w:pPr>
      <w:r>
        <w:rPr>
          <w:rFonts w:eastAsia="Calibri" w:cs="Calibri" w:ascii="Titillium" w:hAnsi="Titillium"/>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pPr>
        <w:pStyle w:val="Standard"/>
        <w:numPr>
          <w:ilvl w:val="0"/>
          <w:numId w:val="32"/>
        </w:numPr>
        <w:tabs>
          <w:tab w:val="clear" w:pos="720"/>
          <w:tab w:val="left" w:pos="1135" w:leader="none"/>
          <w:tab w:val="left" w:pos="1287" w:leader="none"/>
        </w:tabs>
        <w:spacing w:lineRule="auto" w:line="276"/>
        <w:ind w:hanging="567" w:left="567"/>
        <w:jc w:val="both"/>
        <w:rPr>
          <w:rFonts w:ascii="Titillium" w:hAnsi="Titillium"/>
        </w:rPr>
      </w:pPr>
      <w:r>
        <w:rPr>
          <w:rFonts w:eastAsia="Calibri" w:cs="Calibri" w:ascii="Titillium" w:hAnsi="Titillium"/>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pPr>
        <w:pStyle w:val="Standard"/>
        <w:numPr>
          <w:ilvl w:val="0"/>
          <w:numId w:val="32"/>
        </w:numPr>
        <w:tabs>
          <w:tab w:val="clear" w:pos="720"/>
          <w:tab w:val="left" w:pos="1135" w:leader="none"/>
          <w:tab w:val="left" w:pos="1287" w:leader="none"/>
        </w:tabs>
        <w:spacing w:lineRule="auto" w:line="276"/>
        <w:ind w:hanging="567" w:left="567"/>
        <w:jc w:val="both"/>
        <w:rPr>
          <w:rFonts w:ascii="Titillium" w:hAnsi="Titillium"/>
        </w:rPr>
      </w:pPr>
      <w:r>
        <w:rPr>
          <w:rFonts w:eastAsia="Calibri" w:cs="Calibri" w:ascii="Titillium" w:hAnsi="Titillium"/>
        </w:rPr>
        <w:t>W przypadku wykorzystania formatu podpisu XAdES zewnętrzny Zamawiający wymaga dołączenia odpowiedniej liczby plików tj. podpisywanych plików z danymi oraz plików podpisu w formacie XadES.</w:t>
      </w:r>
    </w:p>
    <w:p>
      <w:pPr>
        <w:pStyle w:val="Standard"/>
        <w:numPr>
          <w:ilvl w:val="0"/>
          <w:numId w:val="32"/>
        </w:numPr>
        <w:tabs>
          <w:tab w:val="clear" w:pos="720"/>
          <w:tab w:val="left" w:pos="1135" w:leader="none"/>
          <w:tab w:val="left" w:pos="1287" w:leader="none"/>
        </w:tabs>
        <w:spacing w:lineRule="auto" w:line="276"/>
        <w:ind w:hanging="567" w:left="567"/>
        <w:jc w:val="both"/>
        <w:rPr>
          <w:rFonts w:ascii="Titillium" w:hAnsi="Titillium"/>
        </w:rPr>
      </w:pPr>
      <w:r>
        <w:rPr>
          <w:rFonts w:eastAsia="Calibri" w:cs="Calibri" w:ascii="Titillium" w:hAnsi="Titillium"/>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Pr>
          <w:rFonts w:eastAsia="Calibri" w:cs="Calibri" w:ascii="Titillium" w:hAnsi="Titillium"/>
          <w:u w:val="single"/>
        </w:rPr>
        <w:t>Na platformie w formularzu składania oferty znajduje się miejsce wyznaczone do dołączenia części oferty stanowiącej tajemnicę przedsiębiorstwa.</w:t>
      </w:r>
    </w:p>
    <w:p>
      <w:pPr>
        <w:pStyle w:val="Standard"/>
        <w:numPr>
          <w:ilvl w:val="0"/>
          <w:numId w:val="32"/>
        </w:numPr>
        <w:tabs>
          <w:tab w:val="clear" w:pos="720"/>
          <w:tab w:val="left" w:pos="1135" w:leader="none"/>
          <w:tab w:val="left" w:pos="1287" w:leader="none"/>
        </w:tabs>
        <w:spacing w:lineRule="auto" w:line="276"/>
        <w:ind w:hanging="567" w:left="567"/>
        <w:jc w:val="both"/>
        <w:rPr/>
      </w:pPr>
      <w:r>
        <w:rPr>
          <w:rFonts w:eastAsia="Calibri" w:cs="Calibri" w:ascii="Titillium" w:hAnsi="Titillium"/>
        </w:rPr>
        <w:t xml:space="preserve">Wykonawca, za pośrednictwem </w:t>
      </w:r>
      <w:hyperlink r:id="rId23">
        <w:r>
          <w:rPr>
            <w:rFonts w:eastAsia="Calibri" w:cs="Calibri" w:ascii="Titillium" w:hAnsi="Titillium"/>
            <w:color w:val="1155CC"/>
            <w:u w:val="single"/>
          </w:rPr>
          <w:t>platformazakupowa.pl</w:t>
        </w:r>
      </w:hyperlink>
      <w:r>
        <w:rPr>
          <w:rFonts w:eastAsia="Calibri" w:cs="Calibri" w:ascii="Titillium" w:hAnsi="Titillium"/>
        </w:rPr>
        <w:t xml:space="preserve"> może przed upływem terminu do składania ofert wycofać ofertę. Sposób dokonywania wycofania oferty zamieszczono w instrukcji zamieszczonej na stronie internetowej pod adresem: </w:t>
      </w:r>
      <w:hyperlink r:id="rId24">
        <w:r>
          <w:rPr>
            <w:rFonts w:eastAsia="Calibri" w:cs="Calibri" w:ascii="Titillium" w:hAnsi="Titillium"/>
          </w:rPr>
          <w:t>https://platformazakupowa.pl/strona/46-instrukcje</w:t>
        </w:r>
      </w:hyperlink>
    </w:p>
    <w:p>
      <w:pPr>
        <w:pStyle w:val="Standard"/>
        <w:numPr>
          <w:ilvl w:val="0"/>
          <w:numId w:val="32"/>
        </w:numPr>
        <w:tabs>
          <w:tab w:val="clear" w:pos="720"/>
          <w:tab w:val="left" w:pos="1135" w:leader="none"/>
          <w:tab w:val="left" w:pos="1287" w:leader="none"/>
        </w:tabs>
        <w:spacing w:lineRule="auto" w:line="276"/>
        <w:ind w:hanging="567" w:left="567"/>
        <w:jc w:val="both"/>
        <w:rPr>
          <w:rFonts w:ascii="Titillium" w:hAnsi="Titillium"/>
        </w:rPr>
      </w:pPr>
      <w:r>
        <w:rPr>
          <w:rFonts w:eastAsia="Calibri" w:cs="Calibri" w:ascii="Titillium" w:hAnsi="Titillium"/>
        </w:rPr>
        <w:t>Dokumenty i oświadczenia składane przez Wykonawcę powinny być w języku polskim, chyba że w SWZ dopuszczono inaczej. W przypadku za</w:t>
      </w:r>
      <w:r>
        <w:rPr>
          <w:rFonts w:eastAsia="Calibri" w:cs="Titillium" w:ascii="Titillium" w:hAnsi="Titillium"/>
        </w:rPr>
        <w:t>łą</w:t>
      </w:r>
      <w:r>
        <w:rPr>
          <w:rFonts w:eastAsia="Calibri" w:cs="Calibri" w:ascii="Titillium" w:hAnsi="Titillium"/>
        </w:rPr>
        <w:t>czenia dokument</w:t>
      </w:r>
      <w:r>
        <w:rPr>
          <w:rFonts w:eastAsia="Calibri" w:cs="Titillium" w:ascii="Titillium" w:hAnsi="Titillium"/>
        </w:rPr>
        <w:t>ó</w:t>
      </w:r>
      <w:r>
        <w:rPr>
          <w:rFonts w:eastAsia="Calibri" w:cs="Calibri" w:ascii="Titillium" w:hAnsi="Titillium"/>
        </w:rPr>
        <w:t>w sporz</w:t>
      </w:r>
      <w:r>
        <w:rPr>
          <w:rFonts w:eastAsia="Calibri" w:cs="Titillium" w:ascii="Titillium" w:hAnsi="Titillium"/>
        </w:rPr>
        <w:t>ą</w:t>
      </w:r>
      <w:r>
        <w:rPr>
          <w:rFonts w:eastAsia="Calibri" w:cs="Calibri" w:ascii="Titillium" w:hAnsi="Titillium"/>
        </w:rPr>
        <w:t>dzonych w innym j</w:t>
      </w:r>
      <w:r>
        <w:rPr>
          <w:rFonts w:eastAsia="Calibri" w:cs="Titillium" w:ascii="Titillium" w:hAnsi="Titillium"/>
        </w:rPr>
        <w:t>ę</w:t>
      </w:r>
      <w:r>
        <w:rPr>
          <w:rFonts w:eastAsia="Calibri" w:cs="Calibri" w:ascii="Titillium" w:hAnsi="Titillium"/>
        </w:rPr>
        <w:t>zyku ni</w:t>
      </w:r>
      <w:r>
        <w:rPr>
          <w:rFonts w:eastAsia="Calibri" w:cs="Titillium" w:ascii="Titillium" w:hAnsi="Titillium"/>
        </w:rPr>
        <w:t>ż</w:t>
      </w:r>
      <w:r>
        <w:rPr>
          <w:rFonts w:eastAsia="Calibri" w:cs="Calibri" w:ascii="Titillium" w:hAnsi="Titillium"/>
        </w:rPr>
        <w:t xml:space="preserve"> dopuszczony, Wykonawca zobowiązany jest załączyć tłumaczenie na język polski.</w:t>
      </w:r>
    </w:p>
    <w:p>
      <w:pPr>
        <w:pStyle w:val="Standard"/>
        <w:numPr>
          <w:ilvl w:val="0"/>
          <w:numId w:val="32"/>
        </w:numPr>
        <w:tabs>
          <w:tab w:val="clear" w:pos="720"/>
          <w:tab w:val="left" w:pos="1135" w:leader="none"/>
          <w:tab w:val="left" w:pos="1287" w:leader="none"/>
        </w:tabs>
        <w:spacing w:lineRule="auto" w:line="276"/>
        <w:ind w:hanging="567" w:left="567"/>
        <w:jc w:val="both"/>
        <w:rPr>
          <w:rFonts w:ascii="Titillium" w:hAnsi="Titillium"/>
        </w:rPr>
      </w:pPr>
      <w:r>
        <w:rPr>
          <w:rFonts w:eastAsia="Calibri" w:cs="Calibri" w:ascii="Titillium" w:hAnsi="Titillium"/>
        </w:rPr>
        <w:t>Zgodnie z definicją dokumentu elektronicznego z art. 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pPr>
        <w:pStyle w:val="Standard"/>
        <w:numPr>
          <w:ilvl w:val="0"/>
          <w:numId w:val="32"/>
        </w:numPr>
        <w:tabs>
          <w:tab w:val="clear" w:pos="720"/>
          <w:tab w:val="left" w:pos="1135" w:leader="none"/>
          <w:tab w:val="left" w:pos="1287" w:leader="none"/>
        </w:tabs>
        <w:spacing w:lineRule="auto" w:line="276"/>
        <w:ind w:hanging="567" w:left="567"/>
        <w:jc w:val="both"/>
        <w:rPr>
          <w:rFonts w:ascii="Titillium" w:hAnsi="Titillium"/>
        </w:rPr>
      </w:pPr>
      <w:r>
        <w:rPr>
          <w:rFonts w:eastAsia="Calibri" w:cs="Calibri" w:ascii="Titillium" w:hAnsi="Titillium"/>
          <w:b/>
          <w:color w:val="000000"/>
        </w:rPr>
        <w:t>Maksymalny rozmiar jednego pliku przesyłanego za pośrednictwem dedykowanych formularzy do: złożenia, wycofania oferty wynosi 150 MB, natomiast przy komunikacji wielkość pliku to maksymalnie 500 MB.</w:t>
      </w:r>
    </w:p>
    <w:p>
      <w:pPr>
        <w:pStyle w:val="Standard"/>
        <w:tabs>
          <w:tab w:val="clear" w:pos="720"/>
          <w:tab w:val="left" w:pos="786" w:leader="none"/>
          <w:tab w:val="left" w:pos="852" w:leader="none"/>
          <w:tab w:val="left" w:pos="1146" w:leader="none"/>
        </w:tabs>
        <w:spacing w:lineRule="auto" w:line="276"/>
        <w:jc w:val="both"/>
        <w:rPr>
          <w:rFonts w:ascii="Titillium" w:hAnsi="Titillium"/>
          <w:color w:val="000000"/>
        </w:rPr>
      </w:pPr>
      <w:r>
        <w:rPr>
          <w:rFonts w:ascii="Titillium" w:hAnsi="Titillium"/>
          <w:color w:val="000000"/>
        </w:rPr>
      </w:r>
    </w:p>
    <w:p>
      <w:pPr>
        <w:pStyle w:val="Standard"/>
        <w:tabs>
          <w:tab w:val="clear" w:pos="720"/>
          <w:tab w:val="left" w:pos="786" w:leader="none"/>
          <w:tab w:val="left" w:pos="852" w:leader="none"/>
          <w:tab w:val="left" w:pos="1146" w:leader="none"/>
        </w:tabs>
        <w:spacing w:lineRule="auto" w:line="276"/>
        <w:ind w:hanging="426" w:left="426"/>
        <w:jc w:val="center"/>
        <w:rPr>
          <w:rFonts w:ascii="Titillium" w:hAnsi="Titillium"/>
        </w:rPr>
      </w:pPr>
      <w:r>
        <w:rPr>
          <w:rFonts w:ascii="Titillium" w:hAnsi="Titillium"/>
          <w:color w:val="000000"/>
          <w:shd w:fill="FFFF00" w:val="clear"/>
        </w:rPr>
        <w:t>ZALECENIA</w:t>
      </w:r>
    </w:p>
    <w:p>
      <w:pPr>
        <w:pStyle w:val="Standard"/>
        <w:spacing w:lineRule="auto" w:line="276"/>
        <w:jc w:val="both"/>
        <w:rPr>
          <w:rFonts w:ascii="Titillium" w:hAnsi="Titillium"/>
        </w:rPr>
      </w:pPr>
      <w:r>
        <w:rPr>
          <w:rFonts w:eastAsia="Calibri" w:cs="Calibri" w:ascii="Titillium" w:hAnsi="Titillium"/>
          <w:i/>
          <w:iCs/>
        </w:rPr>
        <w:t>Formaty plików wykorzystywanych przez Wykonawców powinny być zgodne z rozporządzeniem RADY MINISTRÓW z dnia 21 maja 2024 r. w sprawie Krajowych Ram Interoperacyjności, minimalnych wymagań dla rejestrów publicznych i wymiany informacji w postaci elektronicznej oraz minimalnych wymagań dla systemów teleinformatycznych”.</w:t>
      </w:r>
    </w:p>
    <w:p>
      <w:pPr>
        <w:pStyle w:val="Standard"/>
        <w:numPr>
          <w:ilvl w:val="0"/>
          <w:numId w:val="157"/>
        </w:numPr>
        <w:spacing w:lineRule="auto" w:line="276"/>
        <w:ind w:hanging="567" w:left="1134"/>
        <w:jc w:val="both"/>
        <w:rPr>
          <w:rFonts w:ascii="Titillium" w:hAnsi="Titillium"/>
        </w:rPr>
      </w:pPr>
      <w:r>
        <w:rPr>
          <w:rFonts w:eastAsia="Calibri" w:cs="Calibri" w:ascii="Titillium" w:hAnsi="Titillium"/>
          <w:i/>
          <w:iCs/>
        </w:rPr>
        <w:t xml:space="preserve">Zamawiający rekomenduje wykorzystanie formatów: .pdf .doc .xls .jpg (.jpeg) </w:t>
      </w:r>
      <w:r>
        <w:rPr>
          <w:rFonts w:eastAsia="Calibri" w:cs="Calibri" w:ascii="Titillium" w:hAnsi="Titillium"/>
          <w:b/>
          <w:i/>
          <w:iCs/>
        </w:rPr>
        <w:t>ze szczególnym wskazaniem na .pdf</w:t>
      </w:r>
    </w:p>
    <w:p>
      <w:pPr>
        <w:pStyle w:val="Standard"/>
        <w:numPr>
          <w:ilvl w:val="0"/>
          <w:numId w:val="158"/>
        </w:numPr>
        <w:spacing w:lineRule="auto" w:line="276"/>
        <w:ind w:hanging="567" w:left="1134"/>
        <w:jc w:val="both"/>
        <w:rPr>
          <w:rFonts w:ascii="Titillium" w:hAnsi="Titillium"/>
        </w:rPr>
      </w:pPr>
      <w:r>
        <w:rPr>
          <w:rFonts w:eastAsia="Calibri" w:cs="Calibri" w:ascii="Titillium" w:hAnsi="Titillium"/>
          <w:i/>
          <w:iCs/>
        </w:rPr>
        <w:t>W celu ewentualnej kompresji danych Zamawiający rekomenduje wykorzystanie jednego z formatów:</w:t>
      </w:r>
    </w:p>
    <w:p>
      <w:pPr>
        <w:pStyle w:val="Standard"/>
        <w:numPr>
          <w:ilvl w:val="1"/>
          <w:numId w:val="159"/>
        </w:numPr>
        <w:tabs>
          <w:tab w:val="clear" w:pos="720"/>
          <w:tab w:val="left" w:pos="3394" w:leader="none"/>
        </w:tabs>
        <w:spacing w:lineRule="auto" w:line="276"/>
        <w:ind w:hanging="567" w:left="1701"/>
        <w:jc w:val="both"/>
        <w:rPr>
          <w:rFonts w:ascii="Titillium" w:hAnsi="Titillium"/>
        </w:rPr>
      </w:pPr>
      <w:r>
        <w:rPr>
          <w:rFonts w:eastAsia="Calibri" w:cs="Calibri" w:ascii="Titillium" w:hAnsi="Titillium"/>
          <w:i/>
          <w:iCs/>
        </w:rPr>
        <w:t>.zip</w:t>
      </w:r>
    </w:p>
    <w:p>
      <w:pPr>
        <w:pStyle w:val="Standard"/>
        <w:numPr>
          <w:ilvl w:val="1"/>
          <w:numId w:val="160"/>
        </w:numPr>
        <w:tabs>
          <w:tab w:val="clear" w:pos="720"/>
          <w:tab w:val="left" w:pos="3394" w:leader="none"/>
        </w:tabs>
        <w:spacing w:lineRule="auto" w:line="276"/>
        <w:ind w:hanging="567" w:left="1701"/>
        <w:jc w:val="both"/>
        <w:rPr>
          <w:rFonts w:ascii="Titillium" w:hAnsi="Titillium"/>
        </w:rPr>
      </w:pPr>
      <w:r>
        <w:rPr>
          <w:rFonts w:eastAsia="Calibri" w:cs="Calibri" w:ascii="Titillium" w:hAnsi="Titillium"/>
          <w:i/>
          <w:iCs/>
        </w:rPr>
        <w:t>.7Z</w:t>
      </w:r>
    </w:p>
    <w:p>
      <w:pPr>
        <w:pStyle w:val="Standard"/>
        <w:numPr>
          <w:ilvl w:val="0"/>
          <w:numId w:val="161"/>
        </w:numPr>
        <w:spacing w:lineRule="auto" w:line="276"/>
        <w:ind w:hanging="567" w:left="1134"/>
        <w:jc w:val="both"/>
        <w:rPr>
          <w:rFonts w:ascii="Titillium" w:hAnsi="Titillium"/>
        </w:rPr>
      </w:pPr>
      <w:r>
        <w:rPr>
          <w:rFonts w:eastAsia="Calibri" w:cs="Calibri" w:ascii="Titillium" w:hAnsi="Titillium"/>
          <w:i/>
          <w:iCs/>
        </w:rPr>
        <w:t xml:space="preserve">Wśród formatów powszechnych a </w:t>
      </w:r>
      <w:r>
        <w:rPr>
          <w:rFonts w:eastAsia="Calibri" w:cs="Calibri" w:ascii="Titillium" w:hAnsi="Titillium"/>
          <w:b/>
          <w:i/>
          <w:iCs/>
        </w:rPr>
        <w:t>nie występujących</w:t>
      </w:r>
      <w:r>
        <w:rPr>
          <w:rFonts w:eastAsia="Calibri" w:cs="Calibri" w:ascii="Titillium" w:hAnsi="Titillium"/>
          <w:i/>
          <w:iCs/>
        </w:rPr>
        <w:t xml:space="preserve"> w rozporządzeniu występują: .rar .gif .bmp .numbers .pages. </w:t>
      </w:r>
      <w:r>
        <w:rPr>
          <w:rFonts w:eastAsia="Calibri" w:cs="Calibri" w:ascii="Titillium" w:hAnsi="Titillium"/>
          <w:b/>
          <w:i/>
          <w:iCs/>
        </w:rPr>
        <w:t>Dokumenty złożone w takich plikach zostaną uznane za złożone nieskutecznie.</w:t>
      </w:r>
    </w:p>
    <w:p>
      <w:pPr>
        <w:pStyle w:val="Standard"/>
        <w:numPr>
          <w:ilvl w:val="0"/>
          <w:numId w:val="162"/>
        </w:numPr>
        <w:spacing w:lineRule="auto" w:line="276"/>
        <w:ind w:hanging="567" w:left="1134"/>
        <w:jc w:val="both"/>
        <w:rPr>
          <w:rFonts w:ascii="Titillium" w:hAnsi="Titillium"/>
        </w:rPr>
      </w:pPr>
      <w:r>
        <w:rPr>
          <w:rFonts w:eastAsia="Calibri" w:cs="Calibri" w:ascii="Titillium" w:hAnsi="Titillium"/>
          <w:i/>
          <w:iCs/>
        </w:rPr>
        <w:t>Zamawiający zwraca uwagę na ograniczenia wielkości plików podpisywanych profilem zaufanym, który wynosi max 10MB, oraz na ograniczenie wielkości plików podpisywanych w aplikacji eDoApp służącej do składania podpisu osobistego, który wynosi max 5MB.</w:t>
      </w:r>
    </w:p>
    <w:p>
      <w:pPr>
        <w:pStyle w:val="Standard"/>
        <w:numPr>
          <w:ilvl w:val="0"/>
          <w:numId w:val="163"/>
        </w:numPr>
        <w:spacing w:lineRule="auto" w:line="276"/>
        <w:ind w:hanging="567" w:left="1134"/>
        <w:jc w:val="both"/>
        <w:rPr>
          <w:rFonts w:ascii="Titillium" w:hAnsi="Titillium"/>
        </w:rPr>
      </w:pPr>
      <w:r>
        <w:rPr>
          <w:rFonts w:eastAsia="Calibri" w:cs="Calibri" w:ascii="Titillium" w:hAnsi="Titillium"/>
          <w:i/>
          <w:iCs/>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pPr>
        <w:pStyle w:val="Standard"/>
        <w:numPr>
          <w:ilvl w:val="0"/>
          <w:numId w:val="164"/>
        </w:numPr>
        <w:spacing w:lineRule="auto" w:line="276"/>
        <w:ind w:hanging="567" w:left="1134"/>
        <w:jc w:val="both"/>
        <w:rPr>
          <w:rFonts w:ascii="Titillium" w:hAnsi="Titillium"/>
        </w:rPr>
      </w:pPr>
      <w:r>
        <w:rPr>
          <w:rFonts w:eastAsia="Calibri" w:cs="Calibri" w:ascii="Titillium" w:hAnsi="Titillium"/>
          <w:i/>
          <w:iCs/>
        </w:rPr>
        <w:t>Pliki w innych formatach niż PDF zaleca się opatrzyć zewnętrznym podpisem XAdES. Wykonawca powinien pamiętać, aby plik z podpisem przekazywać łącznie z dokumentem podpisywanym.</w:t>
      </w:r>
    </w:p>
    <w:p>
      <w:pPr>
        <w:pStyle w:val="Standard"/>
        <w:numPr>
          <w:ilvl w:val="0"/>
          <w:numId w:val="165"/>
        </w:numPr>
        <w:spacing w:lineRule="auto" w:line="276"/>
        <w:ind w:hanging="567" w:left="1134"/>
        <w:jc w:val="both"/>
        <w:rPr>
          <w:rFonts w:ascii="Titillium" w:hAnsi="Titillium"/>
        </w:rPr>
      </w:pPr>
      <w:r>
        <w:rPr>
          <w:rFonts w:eastAsia="Calibri" w:cs="Calibri" w:ascii="Titillium" w:hAnsi="Titillium"/>
          <w:i/>
          <w:iCs/>
        </w:rPr>
        <w:t>Zamawiający zaleca aby w przypadku podpisywania pliku przez kilka osób, stosować podpisy tego samego rodzaju. Podpisywanie różnymi rodzajami podpisów np. osobistym i kwalifikowanym może doprowadzić do problemów w weryfikacji plików.</w:t>
      </w:r>
    </w:p>
    <w:p>
      <w:pPr>
        <w:pStyle w:val="Standard"/>
        <w:numPr>
          <w:ilvl w:val="0"/>
          <w:numId w:val="166"/>
        </w:numPr>
        <w:spacing w:lineRule="auto" w:line="276"/>
        <w:ind w:hanging="567" w:left="1134"/>
        <w:jc w:val="both"/>
        <w:rPr>
          <w:rFonts w:ascii="Titillium" w:hAnsi="Titillium"/>
        </w:rPr>
      </w:pPr>
      <w:r>
        <w:rPr>
          <w:rFonts w:eastAsia="Calibri" w:cs="Calibri" w:ascii="Titillium" w:hAnsi="Titillium"/>
          <w:i/>
          <w:iCs/>
        </w:rPr>
        <w:t>Zamawiający zaleca, aby Wykonawca z odpowiednim wyprzedzeniem przetestował możliwość prawidłowego wykorzystania wybranej metody podpisania plików oferty.</w:t>
      </w:r>
    </w:p>
    <w:p>
      <w:pPr>
        <w:pStyle w:val="Standard"/>
        <w:numPr>
          <w:ilvl w:val="0"/>
          <w:numId w:val="167"/>
        </w:numPr>
        <w:spacing w:lineRule="auto" w:line="276"/>
        <w:ind w:hanging="567" w:left="1134"/>
        <w:jc w:val="both"/>
        <w:rPr>
          <w:rFonts w:ascii="Titillium" w:hAnsi="Titillium"/>
        </w:rPr>
      </w:pPr>
      <w:r>
        <w:rPr>
          <w:rFonts w:eastAsia="Calibri" w:cs="Calibri" w:ascii="Titillium" w:hAnsi="Titillium"/>
          <w:i/>
          <w:iCs/>
        </w:rPr>
        <w:t>Zaleca się, aby komunikacja z Wykonawcami odbywała się tylko na Platformie za pośrednictwem formularza “Wyślij wiadomość do zamawiającego”, nie za pośrednictwem adresu email.</w:t>
      </w:r>
    </w:p>
    <w:p>
      <w:pPr>
        <w:pStyle w:val="Standard"/>
        <w:numPr>
          <w:ilvl w:val="0"/>
          <w:numId w:val="168"/>
        </w:numPr>
        <w:spacing w:lineRule="auto" w:line="276"/>
        <w:ind w:hanging="567" w:left="1134"/>
        <w:jc w:val="both"/>
        <w:rPr>
          <w:rFonts w:ascii="Titillium" w:hAnsi="Titillium"/>
        </w:rPr>
      </w:pPr>
      <w:r>
        <w:rPr>
          <w:rFonts w:eastAsia="Calibri" w:cs="Calibri" w:ascii="Titillium" w:hAnsi="Titillium"/>
          <w:i/>
          <w:iCs/>
        </w:rPr>
        <w:t>Osobą składającą ofertę powinna być osobą kontaktową podawaną w dokumentacji.</w:t>
      </w:r>
    </w:p>
    <w:p>
      <w:pPr>
        <w:pStyle w:val="Standard"/>
        <w:numPr>
          <w:ilvl w:val="0"/>
          <w:numId w:val="169"/>
        </w:numPr>
        <w:spacing w:lineRule="auto" w:line="276"/>
        <w:ind w:hanging="567" w:left="1134"/>
        <w:jc w:val="both"/>
        <w:rPr>
          <w:rFonts w:ascii="Titillium" w:hAnsi="Titillium"/>
        </w:rPr>
      </w:pPr>
      <w:r>
        <w:rPr>
          <w:rFonts w:eastAsia="Calibri" w:cs="Calibri" w:ascii="Titillium" w:hAnsi="Titillium"/>
          <w:i/>
          <w:iCs/>
        </w:rPr>
        <w:t>Ofertę należy przygotować z należytą starannością dla podmiotu ubiegającego się o udzielenie zamówienia publicznego i zachowaniem odpowiedniego odstępu czasu do zakończenia przyjmowania ofert. Sugeruje się złożenie oferty na 24 godziny przed terminem składania ofert</w:t>
      </w:r>
    </w:p>
    <w:p>
      <w:pPr>
        <w:pStyle w:val="Standard"/>
        <w:numPr>
          <w:ilvl w:val="0"/>
          <w:numId w:val="170"/>
        </w:numPr>
        <w:spacing w:lineRule="auto" w:line="276"/>
        <w:ind w:hanging="567" w:left="1134"/>
        <w:jc w:val="both"/>
        <w:rPr>
          <w:rFonts w:ascii="Titillium" w:hAnsi="Titillium"/>
        </w:rPr>
      </w:pPr>
      <w:r>
        <w:rPr>
          <w:rFonts w:eastAsia="Calibri" w:cs="Calibri" w:ascii="Titillium" w:hAnsi="Titillium"/>
          <w:i/>
          <w:iCs/>
        </w:rPr>
        <w:t xml:space="preserve">Podczas podpisywania plików zaleca się stosowanie algorytmu skrótu SHA2 zamiast SHA1.  </w:t>
      </w:r>
    </w:p>
    <w:p>
      <w:pPr>
        <w:pStyle w:val="Standard"/>
        <w:numPr>
          <w:ilvl w:val="0"/>
          <w:numId w:val="171"/>
        </w:numPr>
        <w:spacing w:lineRule="auto" w:line="276"/>
        <w:ind w:hanging="567" w:left="1134"/>
        <w:jc w:val="both"/>
        <w:rPr>
          <w:rFonts w:ascii="Titillium" w:hAnsi="Titillium"/>
        </w:rPr>
      </w:pPr>
      <w:r>
        <w:rPr>
          <w:rFonts w:eastAsia="Calibri" w:cs="Calibri" w:ascii="Titillium" w:hAnsi="Titillium"/>
          <w:i/>
          <w:iCs/>
        </w:rPr>
        <w:t>Jeśli Wykonawca pakuje dokumenty np. w plik ZIP zalecamy wcześniejsze podpisanie każdego ze skompresowanych plików.</w:t>
      </w:r>
    </w:p>
    <w:p>
      <w:pPr>
        <w:pStyle w:val="Standard"/>
        <w:numPr>
          <w:ilvl w:val="0"/>
          <w:numId w:val="172"/>
        </w:numPr>
        <w:spacing w:lineRule="auto" w:line="276"/>
        <w:ind w:hanging="567" w:left="1134"/>
        <w:jc w:val="both"/>
        <w:rPr>
          <w:rFonts w:ascii="Titillium" w:hAnsi="Titillium"/>
        </w:rPr>
      </w:pPr>
      <w:r>
        <w:rPr>
          <w:rFonts w:eastAsia="Calibri" w:cs="Calibri" w:ascii="Titillium" w:hAnsi="Titillium"/>
          <w:i/>
          <w:iCs/>
        </w:rPr>
        <w:t>Zamawiający rekomenduje wykorzystanie podpisu z kwalifikowanym znacznikiem czasu.</w:t>
      </w:r>
    </w:p>
    <w:p>
      <w:pPr>
        <w:pStyle w:val="Standard"/>
        <w:numPr>
          <w:ilvl w:val="0"/>
          <w:numId w:val="173"/>
        </w:numPr>
        <w:tabs>
          <w:tab w:val="clear" w:pos="720"/>
          <w:tab w:val="left" w:pos="1494" w:leader="none"/>
          <w:tab w:val="left" w:pos="1560" w:leader="none"/>
          <w:tab w:val="left" w:pos="1854" w:leader="none"/>
        </w:tabs>
        <w:spacing w:lineRule="auto" w:line="276"/>
        <w:ind w:hanging="567" w:left="1134"/>
        <w:jc w:val="both"/>
        <w:rPr>
          <w:rFonts w:ascii="Titillium" w:hAnsi="Titillium"/>
        </w:rPr>
      </w:pPr>
      <w:r>
        <w:rPr>
          <w:rFonts w:eastAsia="Calibri" w:cs="Calibri" w:ascii="Titillium" w:hAnsi="Titillium"/>
          <w:i/>
          <w:iCs/>
          <w:color w:val="000000"/>
        </w:rPr>
        <w:t xml:space="preserve">Zamawiający zaleca aby </w:t>
      </w:r>
      <w:r>
        <w:rPr>
          <w:rFonts w:eastAsia="Calibri" w:cs="Calibri" w:ascii="Titillium" w:hAnsi="Titillium"/>
          <w:i/>
          <w:iCs/>
          <w:color w:val="000000"/>
          <w:u w:val="single"/>
        </w:rPr>
        <w:t>nie</w:t>
      </w:r>
      <w:r>
        <w:rPr>
          <w:rFonts w:eastAsia="Calibri" w:cs="Calibri" w:ascii="Titillium" w:hAnsi="Titillium"/>
          <w:i/>
          <w:iCs/>
          <w:color w:val="000000"/>
        </w:rPr>
        <w:t xml:space="preserve"> wprowadzać jakichkolwiek zmian w plikach po podpisaniu ich podpisem kwalifikowanym. Może to skutkować naruszeniem integralności plików co równoważne będzie z koniecznością odrzucenia oferty w postępowaniu.</w:t>
      </w:r>
    </w:p>
    <w:p>
      <w:pPr>
        <w:pStyle w:val="Standard"/>
        <w:tabs>
          <w:tab w:val="clear" w:pos="720"/>
          <w:tab w:val="left" w:pos="1080" w:leader="none"/>
          <w:tab w:val="left" w:pos="1146" w:leader="none"/>
          <w:tab w:val="left" w:pos="1440" w:leader="none"/>
        </w:tabs>
        <w:spacing w:lineRule="auto" w:line="276"/>
        <w:ind w:hanging="360" w:left="720"/>
        <w:jc w:val="both"/>
        <w:rPr>
          <w:rFonts w:ascii="Titillium" w:hAnsi="Titillium" w:eastAsia="Calibri" w:cs="Calibri"/>
          <w:i/>
          <w:i/>
          <w:iCs/>
          <w:color w:val="000000"/>
        </w:rPr>
      </w:pPr>
      <w:r>
        <w:rPr>
          <w:rFonts w:eastAsia="Calibri" w:cs="Calibri" w:ascii="Titillium" w:hAnsi="Titillium"/>
          <w:i/>
          <w:iCs/>
          <w:color w:val="000000"/>
        </w:rPr>
      </w:r>
    </w:p>
    <w:p>
      <w:pPr>
        <w:pStyle w:val="Heading1"/>
        <w:numPr>
          <w:ilvl w:val="0"/>
          <w:numId w:val="46"/>
        </w:numPr>
        <w:jc w:val="both"/>
        <w:rPr>
          <w:rFonts w:ascii="Titillium" w:hAnsi="Titillium"/>
        </w:rPr>
      </w:pPr>
      <w:r>
        <w:rPr>
          <w:rFonts w:eastAsia="Times New Roman" w:cs="Times New Roman" w:ascii="Titillium" w:hAnsi="Titillium"/>
        </w:rPr>
        <w:t>S</w:t>
      </w:r>
      <w:r>
        <w:rPr>
          <w:rFonts w:ascii="Titillium" w:hAnsi="Titillium"/>
        </w:rPr>
        <w:t>posób oraz termin składania ofert</w:t>
      </w:r>
    </w:p>
    <w:p>
      <w:pPr>
        <w:pStyle w:val="Textbody"/>
        <w:numPr>
          <w:ilvl w:val="0"/>
          <w:numId w:val="174"/>
        </w:numPr>
        <w:tabs>
          <w:tab w:val="clear" w:pos="720"/>
          <w:tab w:val="left" w:pos="1135" w:leader="none"/>
        </w:tabs>
        <w:spacing w:lineRule="auto" w:line="276"/>
        <w:ind w:hanging="567" w:left="567"/>
        <w:jc w:val="both"/>
        <w:rPr/>
      </w:pPr>
      <w:r>
        <w:rPr>
          <w:rFonts w:ascii="Titillium" w:hAnsi="Titillium"/>
          <w:sz w:val="20"/>
        </w:rPr>
        <w:t xml:space="preserve">Ofertę </w:t>
      </w:r>
      <w:r>
        <w:rPr>
          <w:rFonts w:eastAsia="Calibri" w:cs="Calibri" w:ascii="Titillium" w:hAnsi="Titillium"/>
          <w:sz w:val="20"/>
        </w:rPr>
        <w:t xml:space="preserve">wraz z wymaganymi dokumentami należy umieścić na </w:t>
      </w:r>
      <w:hyperlink r:id="rId25">
        <w:r>
          <w:rPr>
            <w:rFonts w:eastAsia="Calibri" w:cs="Calibri" w:ascii="Titillium" w:hAnsi="Titillium"/>
            <w:color w:val="1155CC"/>
            <w:sz w:val="20"/>
            <w:u w:val="single"/>
          </w:rPr>
          <w:t>platformazakupowa.pl</w:t>
        </w:r>
      </w:hyperlink>
      <w:r>
        <w:rPr>
          <w:rFonts w:eastAsia="Calibri" w:cs="Calibri" w:ascii="Titillium" w:hAnsi="Titillium"/>
          <w:sz w:val="20"/>
        </w:rPr>
        <w:t xml:space="preserve"> pod adresem</w:t>
      </w:r>
      <w:r>
        <w:rPr>
          <w:rFonts w:eastAsia="Calibri" w:cs="Calibri" w:ascii="Titillium" w:hAnsi="Titillium"/>
          <w:color w:val="000000"/>
          <w:sz w:val="20"/>
        </w:rPr>
        <w:t xml:space="preserve">                   https://platformazakupowa.pl/pn/rydultowy</w:t>
      </w:r>
      <w:r>
        <w:rPr>
          <w:rFonts w:eastAsia="Calibri" w:cs="Calibri" w:ascii="Titillium" w:hAnsi="Titillium"/>
          <w:sz w:val="20"/>
        </w:rPr>
        <w:t xml:space="preserve"> w myśl ustawy Pzp na stronie internetowej prowadzonego postępowania  do dnia</w:t>
      </w:r>
      <w:r>
        <w:rPr>
          <w:rFonts w:eastAsia="Calibri" w:cs="Calibri" w:ascii="Titillium" w:hAnsi="Titillium"/>
          <w:b/>
          <w:bCs/>
          <w:sz w:val="20"/>
        </w:rPr>
        <w:t xml:space="preserve">  24.07.2024</w:t>
      </w:r>
      <w:r>
        <w:rPr>
          <w:rFonts w:ascii="Titillium" w:hAnsi="Titillium"/>
          <w:b/>
          <w:sz w:val="20"/>
        </w:rPr>
        <w:t xml:space="preserve"> r. do godz. 10:00.</w:t>
      </w:r>
    </w:p>
    <w:p>
      <w:pPr>
        <w:pStyle w:val="Textbody"/>
        <w:numPr>
          <w:ilvl w:val="0"/>
          <w:numId w:val="175"/>
        </w:numPr>
        <w:tabs>
          <w:tab w:val="clear" w:pos="720"/>
          <w:tab w:val="left" w:pos="1135" w:leader="none"/>
        </w:tabs>
        <w:spacing w:lineRule="auto" w:line="276"/>
        <w:ind w:hanging="567" w:left="567"/>
        <w:jc w:val="both"/>
        <w:rPr>
          <w:rFonts w:ascii="Titillium" w:hAnsi="Titillium"/>
        </w:rPr>
      </w:pPr>
      <w:r>
        <w:rPr>
          <w:rFonts w:eastAsia="Calibri" w:cs="Calibri" w:ascii="Titillium" w:hAnsi="Titillium"/>
          <w:sz w:val="20"/>
        </w:rPr>
        <w:t>Do oferty należy dołączyć wszystkie wymagane w SWZ dokumenty.</w:t>
      </w:r>
    </w:p>
    <w:p>
      <w:pPr>
        <w:pStyle w:val="Textbody"/>
        <w:numPr>
          <w:ilvl w:val="0"/>
          <w:numId w:val="176"/>
        </w:numPr>
        <w:tabs>
          <w:tab w:val="clear" w:pos="720"/>
          <w:tab w:val="left" w:pos="1135" w:leader="none"/>
        </w:tabs>
        <w:spacing w:lineRule="auto" w:line="276"/>
        <w:ind w:hanging="567" w:left="567"/>
        <w:jc w:val="both"/>
        <w:rPr>
          <w:rFonts w:ascii="Titillium" w:hAnsi="Titillium"/>
        </w:rPr>
      </w:pPr>
      <w:r>
        <w:rPr>
          <w:rFonts w:eastAsia="Calibri" w:cs="Calibri" w:ascii="Titillium" w:hAnsi="Titillium"/>
          <w:sz w:val="20"/>
        </w:rPr>
        <w:t>Po wypełnieniu Formularza składania oferty lub wniosku i dołączenia  wszystkich wymaganych załączników należy kliknąć przycisk „Przejdź do podsumowania”.</w:t>
      </w:r>
    </w:p>
    <w:p>
      <w:pPr>
        <w:pStyle w:val="Textbody"/>
        <w:numPr>
          <w:ilvl w:val="0"/>
          <w:numId w:val="177"/>
        </w:numPr>
        <w:tabs>
          <w:tab w:val="clear" w:pos="720"/>
          <w:tab w:val="left" w:pos="1135" w:leader="none"/>
        </w:tabs>
        <w:spacing w:lineRule="auto" w:line="276"/>
        <w:ind w:hanging="567" w:left="567"/>
        <w:jc w:val="both"/>
        <w:rPr/>
      </w:pPr>
      <w:r>
        <w:rPr>
          <w:rFonts w:eastAsia="Calibri" w:cs="Calibri" w:ascii="Titillium" w:hAnsi="Titillium"/>
          <w:sz w:val="20"/>
        </w:rPr>
        <w:t xml:space="preserve">Oferta składana elektronicznie musi zostać podpisana elektronicznym podpisem kwalifikowanym, podpisem zaufanym lub podpisem osobistym. W procesie składania oferty za pośrednictwem </w:t>
      </w:r>
      <w:hyperlink r:id="rId26">
        <w:r>
          <w:rPr>
            <w:rFonts w:eastAsia="Calibri" w:cs="Calibri" w:ascii="Titillium" w:hAnsi="Titillium"/>
            <w:color w:val="1155CC"/>
            <w:sz w:val="20"/>
            <w:u w:val="single"/>
          </w:rPr>
          <w:t>platformazakupowa.pl</w:t>
        </w:r>
      </w:hyperlink>
      <w:r>
        <w:rPr>
          <w:rFonts w:eastAsia="Calibri" w:cs="Calibri" w:ascii="Titillium" w:hAnsi="Titillium"/>
          <w:sz w:val="20"/>
        </w:rPr>
        <w:t xml:space="preserve">, Wykonawca powinien złożyć podpis bezpośrednio na dokumentach przesłanych za pośrednictwem </w:t>
      </w:r>
      <w:hyperlink r:id="rId27">
        <w:r>
          <w:rPr>
            <w:rFonts w:eastAsia="Calibri" w:cs="Calibri" w:ascii="Titillium" w:hAnsi="Titillium"/>
            <w:color w:val="1155CC"/>
            <w:sz w:val="20"/>
            <w:u w:val="single"/>
          </w:rPr>
          <w:t>platformazakupowa.pl</w:t>
        </w:r>
      </w:hyperlink>
      <w:r>
        <w:rPr>
          <w:rFonts w:eastAsia="Calibri" w:cs="Calibri" w:ascii="Titillium" w:hAnsi="Titillium"/>
          <w:sz w:val="20"/>
        </w:rPr>
        <w:t>. Zalecamy stosowanie podpisu na każdym załączonym pliku osobno, w szczególności wskazanych w art. 63 ust 1 oraz ust.2 Pzp, gdzie zaznaczono, iż oferty, wnioski o dopuszczenie do udziału w postępowaniu oraz oświadczenie,                            o którym mowa w art. 125 ust.1 ustawy Pzp sporządza się, pod rygorem nieważności, w postaci lub formie elektronicznej i opatruje się odpowiednio w odniesieniu do wartości postępowania kwalifikowanym podpisem elektronicznym, podpisem zaufanym lub podpisem osobistym.</w:t>
      </w:r>
    </w:p>
    <w:p>
      <w:pPr>
        <w:pStyle w:val="Textbody"/>
        <w:numPr>
          <w:ilvl w:val="0"/>
          <w:numId w:val="178"/>
        </w:numPr>
        <w:tabs>
          <w:tab w:val="clear" w:pos="720"/>
          <w:tab w:val="left" w:pos="1135" w:leader="none"/>
        </w:tabs>
        <w:spacing w:lineRule="auto" w:line="276"/>
        <w:ind w:hanging="567" w:left="567"/>
        <w:jc w:val="both"/>
        <w:rPr>
          <w:rFonts w:ascii="Titillium" w:hAnsi="Titillium"/>
        </w:rPr>
      </w:pPr>
      <w:r>
        <w:rPr>
          <w:rFonts w:eastAsia="Calibri" w:cs="Calibri" w:ascii="Titillium" w:hAnsi="Titillium"/>
          <w:sz w:val="20"/>
        </w:rPr>
        <w:t>Za datę złożenia oferty przyjmuje się datę jej przekazania w systemie (platformie) w drugim kroku składania oferty poprzez kliknięcie przycisku “Złóż ofertę” i wyświetlenie się komunikatu, że oferta została zaszyfrowana i złożona.</w:t>
      </w:r>
    </w:p>
    <w:p>
      <w:pPr>
        <w:pStyle w:val="Textbody"/>
        <w:numPr>
          <w:ilvl w:val="0"/>
          <w:numId w:val="179"/>
        </w:numPr>
        <w:tabs>
          <w:tab w:val="clear" w:pos="720"/>
          <w:tab w:val="left" w:pos="1135" w:leader="none"/>
        </w:tabs>
        <w:spacing w:lineRule="auto" w:line="276"/>
        <w:ind w:hanging="567" w:left="567"/>
        <w:jc w:val="both"/>
        <w:rPr/>
      </w:pPr>
      <w:r>
        <w:rPr>
          <w:rFonts w:eastAsia="Calibri" w:cs="Calibri" w:ascii="Titillium" w:hAnsi="Titillium"/>
          <w:sz w:val="20"/>
        </w:rPr>
        <w:t xml:space="preserve">Szczegółowa instrukcja dla Wykonawców dotycząca złożenia i wycofania oferty znajduje się na stronie internetowej pod adresem: </w:t>
      </w:r>
      <w:hyperlink r:id="rId28">
        <w:r>
          <w:rPr>
            <w:rFonts w:eastAsia="Calibri" w:cs="Calibri" w:ascii="Titillium" w:hAnsi="Titillium"/>
            <w:sz w:val="20"/>
          </w:rPr>
          <w:t>https://platformazakupowa.pl/strona/46-instrukcje</w:t>
        </w:r>
      </w:hyperlink>
    </w:p>
    <w:p>
      <w:pPr>
        <w:pStyle w:val="Textbody"/>
        <w:numPr>
          <w:ilvl w:val="0"/>
          <w:numId w:val="180"/>
        </w:numPr>
        <w:tabs>
          <w:tab w:val="clear" w:pos="720"/>
          <w:tab w:val="left" w:pos="1135" w:leader="none"/>
        </w:tabs>
        <w:spacing w:lineRule="auto" w:line="276"/>
        <w:ind w:hanging="567" w:left="567"/>
        <w:jc w:val="both"/>
        <w:rPr/>
      </w:pPr>
      <w:r>
        <w:rPr>
          <w:rFonts w:ascii="Titillium" w:hAnsi="Titillium"/>
          <w:sz w:val="20"/>
        </w:rPr>
        <w:t xml:space="preserve">Do upływu terminu </w:t>
      </w:r>
      <w:r>
        <w:rPr>
          <w:rStyle w:val="Emphasis"/>
          <w:rFonts w:ascii="Titillium" w:hAnsi="Titillium"/>
          <w:i w:val="false"/>
          <w:iCs w:val="false"/>
          <w:sz w:val="20"/>
        </w:rPr>
        <w:t>składania</w:t>
      </w:r>
      <w:r>
        <w:rPr>
          <w:rFonts w:ascii="Titillium" w:hAnsi="Titillium"/>
          <w:sz w:val="20"/>
        </w:rPr>
        <w:t xml:space="preserve"> ofert Wykonawca może wycofać ofertę z wykorzystaniem funkcji na platformie zakupowej.</w:t>
      </w:r>
    </w:p>
    <w:p>
      <w:pPr>
        <w:pStyle w:val="Textbody"/>
        <w:numPr>
          <w:ilvl w:val="0"/>
          <w:numId w:val="181"/>
        </w:numPr>
        <w:tabs>
          <w:tab w:val="clear" w:pos="720"/>
          <w:tab w:val="left" w:pos="1135" w:leader="none"/>
        </w:tabs>
        <w:spacing w:lineRule="auto" w:line="276"/>
        <w:ind w:hanging="567" w:left="567"/>
        <w:jc w:val="both"/>
        <w:rPr>
          <w:rFonts w:ascii="Titillium" w:hAnsi="Titillium"/>
        </w:rPr>
      </w:pPr>
      <w:r>
        <w:rPr>
          <w:rFonts w:ascii="Titillium" w:hAnsi="Titillium"/>
          <w:sz w:val="20"/>
        </w:rPr>
        <w:t>W przypadku złożenia oferty po terminie Zamawiający odrzuca taką ofertę na mocy przepisu art. 226 ust. 1 pkt 1 ustawy Pzp.</w:t>
      </w:r>
    </w:p>
    <w:p>
      <w:pPr>
        <w:pStyle w:val="Textbody"/>
        <w:tabs>
          <w:tab w:val="clear" w:pos="720"/>
          <w:tab w:val="left" w:pos="1135" w:leader="none"/>
        </w:tabs>
        <w:spacing w:lineRule="auto" w:line="276"/>
        <w:ind w:left="567"/>
        <w:jc w:val="both"/>
        <w:rPr>
          <w:rFonts w:ascii="Titillium" w:hAnsi="Titillium"/>
        </w:rPr>
      </w:pPr>
      <w:r>
        <w:rPr>
          <w:rFonts w:ascii="Titillium" w:hAnsi="Titillium"/>
        </w:rPr>
      </w:r>
    </w:p>
    <w:p>
      <w:pPr>
        <w:pStyle w:val="Heading1"/>
        <w:numPr>
          <w:ilvl w:val="0"/>
          <w:numId w:val="46"/>
        </w:numPr>
        <w:jc w:val="both"/>
        <w:rPr>
          <w:rFonts w:ascii="Titillium" w:hAnsi="Titillium"/>
        </w:rPr>
      </w:pPr>
      <w:bookmarkStart w:id="6" w:name="__RefHeading__39_402201284"/>
      <w:bookmarkEnd w:id="6"/>
      <w:r>
        <w:rPr>
          <w:rFonts w:ascii="Titillium" w:hAnsi="Titillium"/>
        </w:rPr>
        <w:t>Termin otwarcia ofert</w:t>
      </w:r>
    </w:p>
    <w:p>
      <w:pPr>
        <w:pStyle w:val="Standard"/>
        <w:numPr>
          <w:ilvl w:val="0"/>
          <w:numId w:val="182"/>
        </w:numPr>
        <w:tabs>
          <w:tab w:val="clear" w:pos="720"/>
          <w:tab w:val="left" w:pos="1135" w:leader="none"/>
        </w:tabs>
        <w:spacing w:lineRule="auto" w:line="276"/>
        <w:ind w:hanging="567" w:left="567"/>
        <w:jc w:val="both"/>
        <w:rPr>
          <w:rFonts w:ascii="Titillium" w:hAnsi="Titillium"/>
        </w:rPr>
      </w:pPr>
      <w:r>
        <w:rPr>
          <w:rFonts w:ascii="Titillium" w:hAnsi="Titillium"/>
        </w:rPr>
        <w:t xml:space="preserve">Otwarcie ofert nastąpi </w:t>
      </w:r>
      <w:r>
        <w:rPr>
          <w:rFonts w:ascii="Titillium" w:hAnsi="Titillium"/>
          <w:b/>
        </w:rPr>
        <w:t>dnia 24.07.2024 r. o godzinie 10:15</w:t>
      </w:r>
      <w:r>
        <w:rPr>
          <w:rFonts w:ascii="Titillium" w:hAnsi="Titillium"/>
          <w:b/>
          <w:color w:val="000000"/>
        </w:rPr>
        <w:t xml:space="preserve"> w UM Rydułtowy</w:t>
      </w:r>
      <w:r>
        <w:rPr>
          <w:rFonts w:ascii="Titillium" w:hAnsi="Titillium"/>
          <w:color w:val="000000"/>
        </w:rPr>
        <w:t xml:space="preserve">. </w:t>
      </w:r>
      <w:r>
        <w:rPr>
          <w:rFonts w:ascii="Titillium" w:hAnsi="Titillium"/>
        </w:rPr>
        <w:t>Otwarcie polegać będzie na odszyfrowaniu ofert a następnie odczytaniu odpowiednich informacji.</w:t>
      </w:r>
    </w:p>
    <w:p>
      <w:pPr>
        <w:pStyle w:val="Standard"/>
        <w:numPr>
          <w:ilvl w:val="0"/>
          <w:numId w:val="183"/>
        </w:numPr>
        <w:tabs>
          <w:tab w:val="clear" w:pos="720"/>
          <w:tab w:val="left" w:pos="1135" w:leader="none"/>
        </w:tabs>
        <w:spacing w:lineRule="auto" w:line="276"/>
        <w:ind w:hanging="567" w:left="567"/>
        <w:jc w:val="both"/>
        <w:rPr>
          <w:rFonts w:ascii="Titillium" w:hAnsi="Titillium"/>
        </w:rPr>
      </w:pPr>
      <w:r>
        <w:rPr>
          <w:rFonts w:ascii="Titillium" w:hAnsi="Titillium"/>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pPr>
        <w:pStyle w:val="Standard"/>
        <w:numPr>
          <w:ilvl w:val="0"/>
          <w:numId w:val="184"/>
        </w:numPr>
        <w:tabs>
          <w:tab w:val="clear" w:pos="720"/>
          <w:tab w:val="left" w:pos="1135" w:leader="none"/>
        </w:tabs>
        <w:spacing w:lineRule="auto" w:line="276"/>
        <w:ind w:hanging="567" w:left="567"/>
        <w:jc w:val="both"/>
        <w:rPr>
          <w:rFonts w:ascii="Titillium" w:hAnsi="Titillium"/>
        </w:rPr>
      </w:pPr>
      <w:r>
        <w:rPr>
          <w:rFonts w:ascii="Titillium" w:hAnsi="Titillium"/>
        </w:rPr>
        <w:t>Zamawiający informuje o zmianie terminu otwarcia ofert na stronie internetowej prowadzonego postępowania.</w:t>
      </w:r>
    </w:p>
    <w:p>
      <w:pPr>
        <w:pStyle w:val="Standard"/>
        <w:numPr>
          <w:ilvl w:val="0"/>
          <w:numId w:val="185"/>
        </w:numPr>
        <w:tabs>
          <w:tab w:val="clear" w:pos="720"/>
          <w:tab w:val="left" w:pos="1135" w:leader="none"/>
        </w:tabs>
        <w:spacing w:lineRule="auto" w:line="276"/>
        <w:ind w:hanging="567" w:left="567"/>
        <w:jc w:val="both"/>
        <w:rPr>
          <w:rFonts w:ascii="Titillium" w:hAnsi="Titillium"/>
        </w:rPr>
      </w:pPr>
      <w:r>
        <w:rPr>
          <w:rFonts w:ascii="Titillium" w:hAnsi="Titillium"/>
        </w:rPr>
        <w:t>Zamawiający, najpóźniej przed otwarciem ofert, udostępnia na stronie internetowej prowadzonego postępowania informację o kwocie, jaką zamierza przeznaczyć na sfinansowanie zamówienia.</w:t>
      </w:r>
    </w:p>
    <w:p>
      <w:pPr>
        <w:pStyle w:val="Standard"/>
        <w:numPr>
          <w:ilvl w:val="0"/>
          <w:numId w:val="186"/>
        </w:numPr>
        <w:tabs>
          <w:tab w:val="clear" w:pos="720"/>
          <w:tab w:val="left" w:pos="1135" w:leader="none"/>
        </w:tabs>
        <w:spacing w:lineRule="auto" w:line="276"/>
        <w:ind w:hanging="567" w:left="567"/>
        <w:jc w:val="both"/>
        <w:rPr>
          <w:rFonts w:ascii="Titillium" w:hAnsi="Titillium"/>
        </w:rPr>
      </w:pPr>
      <w:r>
        <w:rPr>
          <w:rFonts w:ascii="Titillium" w:hAnsi="Titillium"/>
        </w:rPr>
        <w:t>Niezwłocznie po otwarciu ofert Zamawiający udostępnia na stronie prowadzonego postępowania platforma, informację o:</w:t>
      </w:r>
    </w:p>
    <w:p>
      <w:pPr>
        <w:pStyle w:val="Standard"/>
        <w:numPr>
          <w:ilvl w:val="0"/>
          <w:numId w:val="33"/>
        </w:numPr>
        <w:tabs>
          <w:tab w:val="clear" w:pos="720"/>
          <w:tab w:val="left" w:pos="2270" w:leader="none"/>
        </w:tabs>
        <w:spacing w:lineRule="auto" w:line="276"/>
        <w:ind w:hanging="567" w:left="1134"/>
        <w:jc w:val="both"/>
        <w:rPr>
          <w:rFonts w:ascii="Titillium" w:hAnsi="Titillium"/>
        </w:rPr>
      </w:pPr>
      <w:r>
        <w:rPr>
          <w:rFonts w:ascii="Titillium" w:hAnsi="Titillium"/>
        </w:rPr>
        <w:t>nazwach albo imionach i nazwiskach oraz siedzibach lub miejscach prowadzonej działalności gospodarczej albo miejscach zamieszkania Wykonawców, których oferty zostały otwarte;</w:t>
      </w:r>
    </w:p>
    <w:p>
      <w:pPr>
        <w:pStyle w:val="Standard"/>
        <w:numPr>
          <w:ilvl w:val="0"/>
          <w:numId w:val="33"/>
        </w:numPr>
        <w:tabs>
          <w:tab w:val="clear" w:pos="720"/>
          <w:tab w:val="left" w:pos="2270" w:leader="none"/>
        </w:tabs>
        <w:spacing w:lineRule="auto" w:line="276"/>
        <w:ind w:hanging="567" w:left="1134"/>
        <w:jc w:val="both"/>
        <w:rPr>
          <w:rFonts w:ascii="Titillium" w:hAnsi="Titillium"/>
        </w:rPr>
      </w:pPr>
      <w:r>
        <w:rPr>
          <w:rFonts w:ascii="Titillium" w:hAnsi="Titillium"/>
        </w:rPr>
        <w:t>cenach lub kosztach zawartych w ofertach.</w:t>
      </w:r>
    </w:p>
    <w:p>
      <w:pPr>
        <w:pStyle w:val="Standard"/>
        <w:tabs>
          <w:tab w:val="clear" w:pos="720"/>
          <w:tab w:val="left" w:pos="1040" w:leader="none"/>
        </w:tabs>
        <w:spacing w:lineRule="auto" w:line="276"/>
        <w:ind w:hanging="340" w:left="680"/>
        <w:jc w:val="both"/>
        <w:rPr>
          <w:rFonts w:ascii="Titillium" w:hAnsi="Titillium"/>
        </w:rPr>
      </w:pPr>
      <w:r>
        <w:rPr>
          <w:rFonts w:ascii="Titillium" w:hAnsi="Titillium"/>
        </w:rPr>
      </w:r>
    </w:p>
    <w:p>
      <w:pPr>
        <w:pStyle w:val="Heading1"/>
        <w:numPr>
          <w:ilvl w:val="0"/>
          <w:numId w:val="46"/>
        </w:numPr>
        <w:jc w:val="both"/>
        <w:rPr>
          <w:rFonts w:ascii="Titillium" w:hAnsi="Titillium"/>
        </w:rPr>
      </w:pPr>
      <w:r>
        <w:rPr>
          <w:rFonts w:ascii="Titillium" w:hAnsi="Titillium"/>
        </w:rPr>
        <w:t>Udostępnianie dokumentacji postępowania</w:t>
      </w:r>
    </w:p>
    <w:p>
      <w:pPr>
        <w:pStyle w:val="Standard"/>
        <w:numPr>
          <w:ilvl w:val="0"/>
          <w:numId w:val="34"/>
        </w:numPr>
        <w:tabs>
          <w:tab w:val="clear" w:pos="720"/>
          <w:tab w:val="left" w:pos="1124" w:leader="none"/>
          <w:tab w:val="left" w:pos="1135" w:leader="none"/>
        </w:tabs>
        <w:spacing w:lineRule="auto" w:line="276"/>
        <w:ind w:hanging="567" w:left="567"/>
        <w:jc w:val="both"/>
        <w:rPr>
          <w:rFonts w:ascii="Titillium" w:hAnsi="Titillium"/>
        </w:rPr>
      </w:pPr>
      <w:r>
        <w:rPr>
          <w:rFonts w:ascii="Titillium" w:hAnsi="Titillium"/>
        </w:rPr>
        <w:t>Protokół postępowania jest jawny i udostępniany na wniosek.</w:t>
      </w:r>
    </w:p>
    <w:p>
      <w:pPr>
        <w:pStyle w:val="Standard"/>
        <w:numPr>
          <w:ilvl w:val="0"/>
          <w:numId w:val="34"/>
        </w:numPr>
        <w:tabs>
          <w:tab w:val="clear" w:pos="720"/>
          <w:tab w:val="left" w:pos="1124" w:leader="none"/>
          <w:tab w:val="left" w:pos="1135" w:leader="none"/>
        </w:tabs>
        <w:spacing w:lineRule="auto" w:line="276"/>
        <w:ind w:hanging="567" w:left="567"/>
        <w:jc w:val="both"/>
        <w:rPr>
          <w:rFonts w:ascii="Titillium" w:hAnsi="Titillium"/>
        </w:rPr>
      </w:pPr>
      <w:r>
        <w:rPr>
          <w:rFonts w:ascii="Titillium" w:hAnsi="Titillium"/>
        </w:rPr>
        <w:t>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z</w:t>
      </w:r>
      <w:r>
        <w:rPr>
          <w:rFonts w:cs="Calibri" w:ascii="Titillium" w:hAnsi="Titillium"/>
        </w:rPr>
        <w:t> </w:t>
      </w:r>
      <w:r>
        <w:rPr>
          <w:rFonts w:ascii="Titillium" w:hAnsi="Titillium"/>
        </w:rPr>
        <w:t>uwzgl</w:t>
      </w:r>
      <w:r>
        <w:rPr>
          <w:rFonts w:cs="Titillium" w:ascii="Titillium" w:hAnsi="Titillium"/>
        </w:rPr>
        <w:t>ę</w:t>
      </w:r>
      <w:r>
        <w:rPr>
          <w:rFonts w:ascii="Titillium" w:hAnsi="Titillium"/>
        </w:rPr>
        <w:t>dnieniem art. 166 ust. 3 lub art. 291 ust. 2 ustawy Pzp zdanie drugie.</w:t>
      </w:r>
    </w:p>
    <w:p>
      <w:pPr>
        <w:pStyle w:val="Standard"/>
        <w:numPr>
          <w:ilvl w:val="0"/>
          <w:numId w:val="34"/>
        </w:numPr>
        <w:tabs>
          <w:tab w:val="clear" w:pos="720"/>
          <w:tab w:val="left" w:pos="1124" w:leader="none"/>
          <w:tab w:val="left" w:pos="1135" w:leader="none"/>
        </w:tabs>
        <w:spacing w:lineRule="auto" w:line="276"/>
        <w:ind w:hanging="567" w:left="567"/>
        <w:jc w:val="both"/>
        <w:rPr>
          <w:rFonts w:ascii="Titillium" w:hAnsi="Titillium"/>
        </w:rPr>
      </w:pPr>
      <w:r>
        <w:rPr>
          <w:rFonts w:ascii="Titillium" w:hAnsi="Titillium"/>
        </w:rPr>
        <w:t>Protokół postępowania lub załączniki do protokołu postępowania udostępnia się w oryginale lub kopii.</w:t>
      </w:r>
    </w:p>
    <w:p>
      <w:pPr>
        <w:pStyle w:val="Standard"/>
        <w:numPr>
          <w:ilvl w:val="0"/>
          <w:numId w:val="34"/>
        </w:numPr>
        <w:tabs>
          <w:tab w:val="clear" w:pos="720"/>
          <w:tab w:val="left" w:pos="1124" w:leader="none"/>
          <w:tab w:val="left" w:pos="1135" w:leader="none"/>
        </w:tabs>
        <w:spacing w:lineRule="auto" w:line="276"/>
        <w:ind w:hanging="567" w:left="567"/>
        <w:jc w:val="both"/>
        <w:rPr>
          <w:rFonts w:ascii="Titillium" w:hAnsi="Titillium"/>
        </w:rPr>
      </w:pPr>
      <w:r>
        <w:rPr>
          <w:rFonts w:ascii="Titillium" w:hAnsi="Titillium"/>
        </w:rPr>
        <w:t>Udostępnianie protokołu postępowania lub załączników do protokołu postępowania następuje przy użyciu środków komunikacji elektronicznej. Udostępnienie odbywa się z poszanowaniem zasad określonych w art.74 ust. 3 i 4 ustawy Pzp mając na uwadze przepisy rozporządzenia RODO.</w:t>
      </w:r>
    </w:p>
    <w:p>
      <w:pPr>
        <w:pStyle w:val="Standard"/>
        <w:numPr>
          <w:ilvl w:val="0"/>
          <w:numId w:val="34"/>
        </w:numPr>
        <w:tabs>
          <w:tab w:val="clear" w:pos="720"/>
          <w:tab w:val="left" w:pos="1124" w:leader="none"/>
          <w:tab w:val="left" w:pos="1135" w:leader="none"/>
        </w:tabs>
        <w:spacing w:lineRule="auto" w:line="276"/>
        <w:ind w:hanging="567" w:left="567"/>
        <w:jc w:val="both"/>
        <w:rPr>
          <w:rFonts w:ascii="Titillium" w:hAnsi="Titillium"/>
        </w:rPr>
      </w:pPr>
      <w:r>
        <w:rPr>
          <w:rFonts w:ascii="Titillium" w:hAnsi="Titillium"/>
        </w:rPr>
        <w:t>Udostępnienie protokołu poprzez wgląd w siedzibie Zamawiającego lub z wykorzystaniem operatora publicznego może nastąpić wyłącznie w przypadkach określonych w § 5 ust. 3 rozporządzenia Ministra Rozwoju, Pracy i Technologii z dnia 18 grudnia 2020 r. w sprawie protokołów postępowania oraz dokumentacji postępowania o udzielenie zamówienia publicznego (Dz. U. poz. 2434).</w:t>
      </w:r>
    </w:p>
    <w:p>
      <w:pPr>
        <w:pStyle w:val="Standard"/>
        <w:numPr>
          <w:ilvl w:val="0"/>
          <w:numId w:val="0"/>
        </w:numPr>
        <w:tabs>
          <w:tab w:val="clear" w:pos="720"/>
          <w:tab w:val="left" w:pos="1124" w:leader="none"/>
          <w:tab w:val="left" w:pos="1135" w:leader="none"/>
        </w:tabs>
        <w:spacing w:lineRule="auto" w:line="276"/>
        <w:ind w:hanging="0" w:left="567"/>
        <w:jc w:val="both"/>
        <w:rPr>
          <w:rFonts w:ascii="Titillium" w:hAnsi="Titillium"/>
        </w:rPr>
      </w:pPr>
      <w:r>
        <w:rPr>
          <w:rFonts w:ascii="Titillium" w:hAnsi="Titillium"/>
        </w:rPr>
      </w:r>
    </w:p>
    <w:p>
      <w:pPr>
        <w:pStyle w:val="Heading1"/>
        <w:numPr>
          <w:ilvl w:val="0"/>
          <w:numId w:val="46"/>
        </w:numPr>
        <w:jc w:val="both"/>
        <w:rPr>
          <w:rFonts w:ascii="Titillium" w:hAnsi="Titillium"/>
        </w:rPr>
      </w:pPr>
      <w:r>
        <w:rPr>
          <w:rFonts w:ascii="Titillium" w:hAnsi="Titillium"/>
        </w:rPr>
        <w:t>Sposób obliczenia ceny</w:t>
      </w:r>
    </w:p>
    <w:p>
      <w:pPr>
        <w:pStyle w:val="Standard"/>
        <w:jc w:val="both"/>
        <w:rPr>
          <w:rFonts w:ascii="Titillium" w:hAnsi="Titillium"/>
        </w:rPr>
      </w:pPr>
      <w:r>
        <w:rPr>
          <w:rFonts w:ascii="Titillium" w:hAnsi="Titillium"/>
        </w:rPr>
      </w:r>
    </w:p>
    <w:p>
      <w:pPr>
        <w:pStyle w:val="Standard"/>
        <w:widowControl w:val="false"/>
        <w:numPr>
          <w:ilvl w:val="0"/>
          <w:numId w:val="0"/>
        </w:numPr>
        <w:tabs>
          <w:tab w:val="clear" w:pos="720"/>
          <w:tab w:val="left" w:pos="1135" w:leader="none"/>
        </w:tabs>
        <w:spacing w:lineRule="auto" w:line="276"/>
        <w:ind w:hanging="0" w:left="567"/>
        <w:jc w:val="both"/>
        <w:rPr>
          <w:rFonts w:ascii="Titillium" w:hAnsi="Titillium"/>
        </w:rPr>
      </w:pPr>
      <w:r>
        <w:rPr>
          <w:rFonts w:ascii="Titillium" w:hAnsi="Titillium"/>
          <w:b/>
          <w:bCs/>
        </w:rPr>
        <w:t>Dla zadania nr 1</w:t>
      </w:r>
      <w:r>
        <w:rPr>
          <w:rFonts w:ascii="Titillium" w:hAnsi="Titillium"/>
        </w:rPr>
        <w:t>:</w:t>
      </w:r>
      <w:r>
        <w:rPr>
          <w:rFonts w:ascii="Titillium" w:hAnsi="Titillium"/>
          <w:b/>
          <w:bCs/>
        </w:rPr>
        <w:t xml:space="preserve"> Modernizacja ul. Niewiadomskiej </w:t>
      </w:r>
    </w:p>
    <w:p>
      <w:pPr>
        <w:pStyle w:val="Standard"/>
        <w:widowControl w:val="false"/>
        <w:numPr>
          <w:ilvl w:val="0"/>
          <w:numId w:val="48"/>
        </w:numPr>
        <w:tabs>
          <w:tab w:val="clear" w:pos="720"/>
          <w:tab w:val="left" w:pos="1135" w:leader="none"/>
        </w:tabs>
        <w:spacing w:lineRule="auto" w:line="276"/>
        <w:ind w:hanging="567" w:left="567"/>
        <w:jc w:val="both"/>
        <w:rPr>
          <w:rFonts w:ascii="Titillium" w:hAnsi="Titillium"/>
        </w:rPr>
      </w:pPr>
      <w:r>
        <w:rPr>
          <w:rFonts w:ascii="Titillium" w:hAnsi="Titillium"/>
        </w:rPr>
        <w:t>Cenę należy podać w</w:t>
      </w:r>
      <w:r>
        <w:rPr>
          <w:rFonts w:ascii="Titillium" w:hAnsi="Titillium"/>
          <w:b/>
          <w:bCs/>
        </w:rPr>
        <w:t xml:space="preserve"> formie ryczałtu</w:t>
      </w:r>
      <w:r>
        <w:rPr>
          <w:rFonts w:ascii="Titillium" w:hAnsi="Titillium"/>
        </w:rPr>
        <w:t xml:space="preserve"> zgodnie z przepisami kodeksu cywilnego oraz rozbiciem finansowym na prace projektowe wraz z procedurą administracyjną uzyskania stosownych zezwoleń na realizację inwestycji, wartość nadzoru autorskiego (przewiduje się 5 nadzorów) oraz wartość robót budowlano – montażowych, z zastrzeżeniem że</w:t>
      </w:r>
      <w:r>
        <w:rPr>
          <w:rFonts w:ascii="Titillium" w:hAnsi="Titillium"/>
          <w:lang w:eastAsia="pl-PL"/>
        </w:rPr>
        <w:t>:</w:t>
      </w:r>
    </w:p>
    <w:p>
      <w:pPr>
        <w:pStyle w:val="Standard"/>
        <w:widowControl w:val="false"/>
        <w:numPr>
          <w:ilvl w:val="1"/>
          <w:numId w:val="187"/>
        </w:numPr>
        <w:tabs>
          <w:tab w:val="clear" w:pos="720"/>
          <w:tab w:val="left" w:pos="2270" w:leader="none"/>
        </w:tabs>
        <w:spacing w:lineRule="auto" w:line="276"/>
        <w:ind w:hanging="567" w:left="1134"/>
        <w:jc w:val="both"/>
        <w:rPr/>
      </w:pPr>
      <w:r>
        <w:rPr>
          <w:rStyle w:val="StrongEmphasis"/>
          <w:rFonts w:eastAsia="Times-Roman, 'Times New Roman'" w:cs="Arial" w:ascii="Titillium" w:hAnsi="Titillium"/>
          <w:b w:val="false"/>
          <w:bCs w:val="false"/>
          <w:u w:val="single"/>
          <w:lang w:eastAsia="pl-PL"/>
        </w:rPr>
        <w:t>maksymalna wartość dokumentacji projektowej nie może przekraczać 3,5% wartości robót budowlanych,</w:t>
      </w:r>
    </w:p>
    <w:p>
      <w:pPr>
        <w:pStyle w:val="Standard"/>
        <w:widowControl w:val="false"/>
        <w:numPr>
          <w:ilvl w:val="1"/>
          <w:numId w:val="188"/>
        </w:numPr>
        <w:tabs>
          <w:tab w:val="clear" w:pos="720"/>
          <w:tab w:val="left" w:pos="2270" w:leader="none"/>
        </w:tabs>
        <w:spacing w:lineRule="auto" w:line="276"/>
        <w:ind w:hanging="567" w:left="1134"/>
        <w:jc w:val="both"/>
        <w:rPr/>
      </w:pPr>
      <w:r>
        <w:rPr>
          <w:rStyle w:val="StrongEmphasis"/>
          <w:rFonts w:eastAsia="Times-Roman, 'Times New Roman'" w:cs="Arial" w:ascii="Titillium" w:hAnsi="Titillium"/>
          <w:b w:val="false"/>
          <w:bCs w:val="false"/>
          <w:u w:val="single"/>
          <w:lang w:eastAsia="pl-PL"/>
        </w:rPr>
        <w:t>maksymalna wartość nadzoru autorskiego nie może przekraczać 15% wartości dokumentacji projektowej.</w:t>
      </w:r>
    </w:p>
    <w:p>
      <w:pPr>
        <w:pStyle w:val="Standard"/>
        <w:widowControl w:val="false"/>
        <w:tabs>
          <w:tab w:val="clear" w:pos="720"/>
          <w:tab w:val="left" w:pos="851" w:leader="none"/>
        </w:tabs>
        <w:spacing w:lineRule="auto" w:line="276"/>
        <w:ind w:left="567"/>
        <w:jc w:val="both"/>
        <w:rPr>
          <w:rFonts w:ascii="Titillium" w:hAnsi="Titillium"/>
        </w:rPr>
      </w:pPr>
      <w:r>
        <w:rPr>
          <w:rFonts w:ascii="Titillium" w:hAnsi="Titillium"/>
          <w:b/>
          <w:bCs/>
          <w:lang w:eastAsia="pl-PL"/>
        </w:rPr>
        <w:t>Nie zastosowanie się do powyższych wymogów spowoduje odrzucenie oferty.</w:t>
      </w:r>
    </w:p>
    <w:p>
      <w:pPr>
        <w:pStyle w:val="Standard"/>
        <w:widowControl w:val="false"/>
        <w:numPr>
          <w:ilvl w:val="0"/>
          <w:numId w:val="189"/>
        </w:numPr>
        <w:tabs>
          <w:tab w:val="clear" w:pos="720"/>
          <w:tab w:val="left" w:pos="1135" w:leader="none"/>
        </w:tabs>
        <w:spacing w:lineRule="auto" w:line="276"/>
        <w:ind w:hanging="567" w:left="567"/>
        <w:jc w:val="both"/>
        <w:rPr>
          <w:rFonts w:ascii="Titillium" w:hAnsi="Titillium"/>
        </w:rPr>
      </w:pPr>
      <w:r>
        <w:rPr>
          <w:rFonts w:ascii="Titillium" w:hAnsi="Titillium"/>
        </w:rPr>
        <w:t>Przepis art. 632 § 1 k.c. stanowi: jeżeli strony umówiły się o wynagrodzenie ryczałtowe, przyjmujący zamówienie (Wykonawca) nie może żądać podwyższenia wynagrodzenia, chociażby w czasie zawarcia umowy nie można było przewidzieć rozmiaru lub kształtu prac. Zgodnie z art. 632 § 2 k.c. jeżeli jednak wskutek zmiany stosunków, której nie można było przewidzieć, wykonanie dzieła groziłoby przyjmującemu zamówienie rażącą stratą, sąd może podwyższyć ryczałt lub rozwiązać umowę.</w:t>
      </w:r>
    </w:p>
    <w:p>
      <w:pPr>
        <w:pStyle w:val="Standard"/>
        <w:widowControl w:val="false"/>
        <w:numPr>
          <w:ilvl w:val="0"/>
          <w:numId w:val="190"/>
        </w:numPr>
        <w:tabs>
          <w:tab w:val="clear" w:pos="720"/>
          <w:tab w:val="left" w:pos="1135" w:leader="none"/>
        </w:tabs>
        <w:spacing w:lineRule="auto" w:line="276"/>
        <w:ind w:hanging="567" w:left="567"/>
        <w:jc w:val="both"/>
        <w:rPr>
          <w:rFonts w:ascii="Titillium" w:hAnsi="Titillium"/>
        </w:rPr>
      </w:pPr>
      <w:r>
        <w:rPr>
          <w:rFonts w:ascii="Titillium" w:hAnsi="Titillium"/>
        </w:rPr>
        <w:t>Niedoszacowanie, pominięcie oraz brak rozpoznania przedmiotu umowy nie może być podstawą do żądania zmiany wynagrodzenia ryczałtowego, o którym mowa w ust. 2.</w:t>
      </w:r>
    </w:p>
    <w:p>
      <w:pPr>
        <w:pStyle w:val="Standard"/>
        <w:widowControl w:val="false"/>
        <w:numPr>
          <w:ilvl w:val="0"/>
          <w:numId w:val="191"/>
        </w:numPr>
        <w:tabs>
          <w:tab w:val="clear" w:pos="720"/>
          <w:tab w:val="left" w:pos="1135" w:leader="none"/>
        </w:tabs>
        <w:spacing w:lineRule="auto" w:line="276"/>
        <w:ind w:hanging="567" w:left="567"/>
        <w:jc w:val="both"/>
        <w:rPr>
          <w:rFonts w:ascii="Titillium" w:hAnsi="Titillium"/>
        </w:rPr>
      </w:pPr>
      <w:r>
        <w:rPr>
          <w:rFonts w:ascii="Titillium" w:hAnsi="Titillium"/>
        </w:rPr>
        <w:t>Cena musi uwzględniać zakres prac opisanych w programie funkcjonalno – użytkowym oraz zawartych w opisie przedmiotu zamówienia (rozdział I SWZ) i w projekcie umowy oraz obejmuje:</w:t>
      </w:r>
    </w:p>
    <w:p>
      <w:pPr>
        <w:pStyle w:val="Standard"/>
        <w:tabs>
          <w:tab w:val="clear" w:pos="720"/>
          <w:tab w:val="left" w:pos="1135" w:leader="none"/>
        </w:tabs>
        <w:spacing w:lineRule="auto" w:line="276"/>
        <w:ind w:hanging="567" w:left="1134"/>
        <w:rPr>
          <w:rFonts w:ascii="Titillium" w:hAnsi="Titillium"/>
        </w:rPr>
      </w:pPr>
      <w:r>
        <w:rPr>
          <w:rFonts w:ascii="Titillium" w:hAnsi="Titillium"/>
        </w:rPr>
        <w:t>1)</w:t>
        <w:tab/>
        <w:t>koszty budowy dojazdowych dróg technologicznych,</w:t>
      </w:r>
    </w:p>
    <w:p>
      <w:pPr>
        <w:pStyle w:val="Standard"/>
        <w:tabs>
          <w:tab w:val="clear" w:pos="720"/>
          <w:tab w:val="left" w:pos="1135" w:leader="none"/>
        </w:tabs>
        <w:spacing w:lineRule="auto" w:line="276"/>
        <w:ind w:hanging="567" w:left="1134"/>
        <w:rPr>
          <w:rFonts w:ascii="Titillium" w:hAnsi="Titillium"/>
        </w:rPr>
      </w:pPr>
      <w:r>
        <w:rPr>
          <w:rFonts w:ascii="Titillium" w:hAnsi="Titillium"/>
        </w:rPr>
        <w:t>2)</w:t>
        <w:tab/>
        <w:t>koszty wywozu nadmiaru gruntu,</w:t>
      </w:r>
    </w:p>
    <w:p>
      <w:pPr>
        <w:pStyle w:val="Standard"/>
        <w:tabs>
          <w:tab w:val="clear" w:pos="720"/>
          <w:tab w:val="left" w:pos="1135" w:leader="none"/>
        </w:tabs>
        <w:spacing w:lineRule="auto" w:line="276"/>
        <w:ind w:hanging="567" w:left="1134"/>
        <w:rPr>
          <w:rFonts w:ascii="Titillium" w:hAnsi="Titillium"/>
        </w:rPr>
      </w:pPr>
      <w:r>
        <w:rPr>
          <w:rFonts w:ascii="Titillium" w:hAnsi="Titillium"/>
        </w:rPr>
        <w:t>3)</w:t>
        <w:tab/>
        <w:t>koszty  wymiany gruntu,</w:t>
      </w:r>
    </w:p>
    <w:p>
      <w:pPr>
        <w:pStyle w:val="Standard"/>
        <w:tabs>
          <w:tab w:val="clear" w:pos="720"/>
          <w:tab w:val="left" w:pos="1135" w:leader="none"/>
        </w:tabs>
        <w:spacing w:lineRule="auto" w:line="276"/>
        <w:ind w:hanging="567" w:left="1134"/>
        <w:rPr>
          <w:rFonts w:ascii="Titillium" w:hAnsi="Titillium"/>
        </w:rPr>
      </w:pPr>
      <w:r>
        <w:rPr>
          <w:rFonts w:ascii="Titillium" w:hAnsi="Titillium"/>
        </w:rPr>
        <w:t>4)</w:t>
        <w:tab/>
        <w:t>koszty  zagęszczenia gruntów,</w:t>
      </w:r>
    </w:p>
    <w:p>
      <w:pPr>
        <w:pStyle w:val="Standard"/>
        <w:tabs>
          <w:tab w:val="clear" w:pos="720"/>
          <w:tab w:val="left" w:pos="1135" w:leader="none"/>
        </w:tabs>
        <w:spacing w:lineRule="auto" w:line="276"/>
        <w:ind w:hanging="567" w:left="1134"/>
        <w:rPr>
          <w:rFonts w:ascii="Titillium" w:hAnsi="Titillium"/>
        </w:rPr>
      </w:pPr>
      <w:r>
        <w:rPr>
          <w:rFonts w:ascii="Titillium" w:hAnsi="Titillium"/>
        </w:rPr>
        <w:t>5)</w:t>
        <w:tab/>
        <w:t>koszty przekopów kontrolnych,</w:t>
      </w:r>
    </w:p>
    <w:p>
      <w:pPr>
        <w:pStyle w:val="Standard"/>
        <w:tabs>
          <w:tab w:val="clear" w:pos="720"/>
          <w:tab w:val="left" w:pos="1135" w:leader="none"/>
        </w:tabs>
        <w:spacing w:lineRule="auto" w:line="276"/>
        <w:ind w:hanging="567" w:left="1134"/>
        <w:rPr>
          <w:rFonts w:ascii="Titillium" w:hAnsi="Titillium"/>
        </w:rPr>
      </w:pPr>
      <w:r>
        <w:rPr>
          <w:rFonts w:ascii="Titillium" w:hAnsi="Titillium"/>
        </w:rPr>
        <w:t>6)</w:t>
        <w:tab/>
        <w:t>założenie rur ochronnych na istniejących sieciach w przypadku nie zachowania normatywnych odległości,</w:t>
      </w:r>
    </w:p>
    <w:p>
      <w:pPr>
        <w:pStyle w:val="Standard"/>
        <w:widowControl w:val="false"/>
        <w:tabs>
          <w:tab w:val="clear" w:pos="720"/>
          <w:tab w:val="left" w:pos="1135" w:leader="none"/>
        </w:tabs>
        <w:spacing w:lineRule="auto" w:line="276"/>
        <w:ind w:hanging="567" w:left="1134"/>
        <w:jc w:val="both"/>
        <w:rPr>
          <w:rFonts w:ascii="Titillium" w:hAnsi="Titillium"/>
        </w:rPr>
      </w:pPr>
      <w:r>
        <w:rPr>
          <w:rFonts w:ascii="Titillium" w:hAnsi="Titillium"/>
        </w:rPr>
        <w:t>7)</w:t>
        <w:tab/>
        <w:t>opracowanie projektów uzupełniających i powykonawczych oraz ich uzupełnień, o ile takie wystąpią.</w:t>
      </w:r>
    </w:p>
    <w:p>
      <w:pPr>
        <w:pStyle w:val="Standard"/>
        <w:widowControl w:val="false"/>
        <w:numPr>
          <w:ilvl w:val="0"/>
          <w:numId w:val="192"/>
        </w:numPr>
        <w:tabs>
          <w:tab w:val="clear" w:pos="720"/>
          <w:tab w:val="left" w:pos="1135" w:leader="none"/>
        </w:tabs>
        <w:spacing w:lineRule="auto" w:line="276"/>
        <w:ind w:hanging="567" w:left="567"/>
        <w:jc w:val="both"/>
        <w:rPr>
          <w:rFonts w:ascii="Titillium" w:hAnsi="Titillium"/>
        </w:rPr>
      </w:pPr>
      <w:r>
        <w:rPr>
          <w:rFonts w:ascii="Titillium" w:hAnsi="Titillium"/>
        </w:rPr>
        <w:t>Oferta cenowa musi zawierać podział na: wykonanie dokumentacji projektowej dla zadania określonego w programie funkcjonalno-użytkowym, pełnienie nadzoru autorskiego w czasie realizacji inwestycji (przewiduje się</w:t>
      </w:r>
      <w:r>
        <w:rPr>
          <w:rFonts w:ascii="Titillium" w:hAnsi="Titillium"/>
          <w:strike w:val="false"/>
          <w:dstrike w:val="false"/>
        </w:rPr>
        <w:t xml:space="preserve"> 5 </w:t>
      </w:r>
      <w:r>
        <w:rPr>
          <w:rFonts w:ascii="Titillium" w:hAnsi="Titillium"/>
        </w:rPr>
        <w:t>nadzorów) wykonanie robót budowlanych dla zadania określonego w  programie funkcjonalno-użytkowym.</w:t>
      </w:r>
    </w:p>
    <w:p>
      <w:pPr>
        <w:pStyle w:val="Standard"/>
        <w:widowControl w:val="false"/>
        <w:numPr>
          <w:ilvl w:val="0"/>
          <w:numId w:val="0"/>
        </w:numPr>
        <w:tabs>
          <w:tab w:val="clear" w:pos="720"/>
          <w:tab w:val="left" w:pos="1135" w:leader="none"/>
        </w:tabs>
        <w:spacing w:lineRule="auto" w:line="276"/>
        <w:ind w:hanging="0" w:left="567"/>
        <w:jc w:val="both"/>
        <w:rPr>
          <w:rFonts w:ascii="Titillium" w:hAnsi="Titillium"/>
        </w:rPr>
      </w:pPr>
      <w:r>
        <w:rPr>
          <w:rFonts w:ascii="Titillium" w:hAnsi="Titillium"/>
        </w:rPr>
      </w:r>
    </w:p>
    <w:p>
      <w:pPr>
        <w:pStyle w:val="Standard"/>
        <w:widowControl w:val="false"/>
        <w:numPr>
          <w:ilvl w:val="0"/>
          <w:numId w:val="0"/>
        </w:numPr>
        <w:tabs>
          <w:tab w:val="clear" w:pos="720"/>
          <w:tab w:val="left" w:pos="1135" w:leader="none"/>
        </w:tabs>
        <w:spacing w:lineRule="auto" w:line="276"/>
        <w:ind w:hanging="0" w:left="567"/>
        <w:jc w:val="both"/>
        <w:rPr>
          <w:rFonts w:ascii="Titillium" w:hAnsi="Titillium"/>
          <w:b/>
          <w:bCs/>
        </w:rPr>
      </w:pPr>
      <w:r>
        <w:rPr>
          <w:rFonts w:ascii="Titillium" w:hAnsi="Titillium"/>
          <w:b/>
          <w:bCs/>
        </w:rPr>
        <w:t>Dla zadania nr 2: Modernizacja ul. Osiedle na Wzgórzu</w:t>
      </w:r>
    </w:p>
    <w:p>
      <w:pPr>
        <w:pStyle w:val="Standard"/>
        <w:widowControl w:val="false"/>
        <w:numPr>
          <w:ilvl w:val="0"/>
          <w:numId w:val="0"/>
        </w:numPr>
        <w:tabs>
          <w:tab w:val="clear" w:pos="720"/>
          <w:tab w:val="left" w:pos="1135" w:leader="none"/>
        </w:tabs>
        <w:spacing w:lineRule="auto" w:line="276"/>
        <w:ind w:hanging="0" w:left="567"/>
        <w:jc w:val="both"/>
        <w:rPr>
          <w:rFonts w:ascii="Titillium" w:hAnsi="Titillium"/>
          <w:b/>
          <w:bCs/>
        </w:rPr>
      </w:pPr>
      <w:r>
        <w:rPr>
          <w:rFonts w:ascii="Titillium" w:hAnsi="Titillium"/>
          <w:b/>
          <w:bCs/>
        </w:rPr>
      </w:r>
    </w:p>
    <w:p>
      <w:pPr>
        <w:pStyle w:val="HTML-wstpniesformatowany"/>
        <w:widowControl/>
        <w:numPr>
          <w:ilvl w:val="0"/>
          <w:numId w:val="193"/>
        </w:numPr>
        <w:tabs>
          <w:tab w:val="clear" w:pos="916"/>
          <w:tab w:val="clear" w:pos="1832"/>
          <w:tab w:val="left" w:pos="570"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before="0" w:after="0"/>
        <w:ind w:hanging="567" w:left="567" w:right="0"/>
        <w:jc w:val="both"/>
        <w:textAlignment w:val="baseline"/>
        <w:rPr>
          <w:b w:val="false"/>
          <w:bCs w:val="false"/>
        </w:rPr>
      </w:pPr>
      <w:r>
        <w:rPr>
          <w:rFonts w:cs="Times New Roman" w:ascii="Titillium" w:hAnsi="Titillium"/>
          <w:b w:val="false"/>
          <w:bCs w:val="false"/>
          <w:sz w:val="20"/>
          <w:szCs w:val="20"/>
          <w:lang w:val="pl-PL"/>
        </w:rPr>
        <w:t>Cena ofertowa powinna wynikać z kosztorysu ofertowego obliczonego na podstawie dokumentacji projektow</w:t>
      </w:r>
      <w:r>
        <w:rPr>
          <w:rFonts w:eastAsia="Times New Roman" w:cs="Times New Roman" w:ascii="Titillium" w:hAnsi="Titillium"/>
          <w:b w:val="false"/>
          <w:bCs w:val="false"/>
          <w:color w:val="000000"/>
          <w:sz w:val="20"/>
          <w:szCs w:val="20"/>
          <w:lang w:val="pl-PL" w:eastAsia="zh-CN" w:bidi="ar-SA"/>
        </w:rPr>
        <w:t>ej</w:t>
      </w:r>
      <w:r>
        <w:rPr>
          <w:rFonts w:cs="Times New Roman" w:ascii="Titillium" w:hAnsi="Titillium"/>
          <w:b w:val="false"/>
          <w:bCs w:val="false"/>
          <w:sz w:val="20"/>
          <w:szCs w:val="20"/>
          <w:lang w:val="pl-PL"/>
        </w:rPr>
        <w:t>, wymagań zawartych w specyfikacji technicznej wykonania i odbioru robót budowlanych oraz przedmiaru robót, kalkulacji własnej i postanowień specyfikacji warunków zamówienia oraz projektu umowy.  Przyjęty model wynagrodzenia – kosztorysowe.</w:t>
      </w:r>
    </w:p>
    <w:p>
      <w:pPr>
        <w:pStyle w:val="HTML-wstpniesformatowany"/>
        <w:widowControl/>
        <w:numPr>
          <w:ilvl w:val="0"/>
          <w:numId w:val="194"/>
        </w:numPr>
        <w:tabs>
          <w:tab w:val="clear" w:pos="916"/>
          <w:tab w:val="clear" w:pos="1832"/>
          <w:tab w:val="left" w:pos="570"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before="0" w:after="0"/>
        <w:ind w:hanging="567" w:left="567" w:right="0"/>
        <w:jc w:val="both"/>
        <w:textAlignment w:val="baseline"/>
        <w:rPr>
          <w:b w:val="false"/>
          <w:bCs w:val="false"/>
        </w:rPr>
      </w:pPr>
      <w:r>
        <w:rPr>
          <w:rFonts w:cs="Times New Roman" w:ascii="Titillium" w:hAnsi="Titillium"/>
          <w:b w:val="false"/>
          <w:bCs w:val="false"/>
          <w:sz w:val="20"/>
          <w:szCs w:val="20"/>
          <w:lang w:val="pl-PL"/>
        </w:rPr>
        <w:t xml:space="preserve">W cenie oferty należy również ująć  (nie tworząc dodatkowych pozycji w kosztorysie ofertowym) koszty wszelkich robót przygotowawczych oraz koszty wynikające z realizacji obowiązków,                         o których </w:t>
      </w:r>
      <w:r>
        <w:rPr>
          <w:rFonts w:cs="Times New Roman" w:ascii="Titillium" w:hAnsi="Titillium"/>
          <w:b w:val="false"/>
          <w:bCs w:val="false"/>
          <w:color w:val="000000"/>
          <w:sz w:val="20"/>
          <w:szCs w:val="20"/>
          <w:shd w:fill="auto" w:val="clear"/>
          <w:lang w:val="pl-PL"/>
        </w:rPr>
        <w:t>mowa rozdziale I u</w:t>
      </w:r>
      <w:r>
        <w:rPr>
          <w:rFonts w:cs="Times New Roman" w:ascii="Titillium" w:hAnsi="Titillium"/>
          <w:b w:val="false"/>
          <w:bCs w:val="false"/>
          <w:strike w:val="false"/>
          <w:dstrike w:val="false"/>
          <w:color w:val="000000"/>
          <w:sz w:val="20"/>
          <w:szCs w:val="20"/>
          <w:shd w:fill="auto" w:val="clear"/>
          <w:lang w:val="pl-PL"/>
        </w:rPr>
        <w:t>st. 11</w:t>
      </w:r>
      <w:r>
        <w:rPr>
          <w:rFonts w:eastAsia="Times New Roman" w:cs="Times New Roman" w:ascii="Titillium" w:hAnsi="Titillium"/>
          <w:b w:val="false"/>
          <w:bCs w:val="false"/>
          <w:strike w:val="false"/>
          <w:dstrike w:val="false"/>
          <w:color w:val="000000"/>
          <w:sz w:val="20"/>
          <w:szCs w:val="20"/>
          <w:shd w:fill="auto" w:val="clear"/>
          <w:lang w:val="pl-PL" w:eastAsia="zh-CN" w:bidi="ar-SA"/>
        </w:rPr>
        <w:t xml:space="preserve"> </w:t>
      </w:r>
      <w:r>
        <w:rPr>
          <w:rFonts w:cs="Times New Roman" w:ascii="Titillium" w:hAnsi="Titillium"/>
          <w:b w:val="false"/>
          <w:bCs w:val="false"/>
          <w:strike w:val="false"/>
          <w:dstrike w:val="false"/>
          <w:color w:val="000000"/>
          <w:sz w:val="20"/>
          <w:szCs w:val="20"/>
          <w:shd w:fill="auto" w:val="clear"/>
          <w:lang w:val="pl-PL"/>
        </w:rPr>
        <w:t xml:space="preserve">SWZ. </w:t>
      </w:r>
    </w:p>
    <w:p>
      <w:pPr>
        <w:pStyle w:val="HTML-wstpniesformatowany"/>
        <w:widowControl/>
        <w:numPr>
          <w:ilvl w:val="0"/>
          <w:numId w:val="195"/>
        </w:numPr>
        <w:tabs>
          <w:tab w:val="clear" w:pos="916"/>
          <w:tab w:val="clear" w:pos="1832"/>
          <w:tab w:val="left" w:pos="570"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before="0" w:after="0"/>
        <w:ind w:hanging="567" w:left="567" w:right="0"/>
        <w:jc w:val="both"/>
        <w:textAlignment w:val="baseline"/>
        <w:rPr>
          <w:b w:val="false"/>
          <w:bCs w:val="false"/>
        </w:rPr>
      </w:pPr>
      <w:r>
        <w:rPr>
          <w:rFonts w:ascii="Titillium" w:hAnsi="Titillium"/>
          <w:b w:val="false"/>
          <w:bCs w:val="false"/>
          <w:color w:val="000000"/>
          <w:sz w:val="20"/>
          <w:szCs w:val="20"/>
          <w:shd w:fill="auto" w:val="clear"/>
          <w:lang w:val="pl-PL"/>
        </w:rPr>
        <w:t xml:space="preserve">Cena musi być wyrażona w złotych polskich, cyframi i słownie z dokładnością do dwóch miejsc po przecinku. </w:t>
      </w:r>
    </w:p>
    <w:p>
      <w:pPr>
        <w:pStyle w:val="Tekstpodstawowy2"/>
        <w:numPr>
          <w:ilvl w:val="0"/>
          <w:numId w:val="0"/>
        </w:numPr>
        <w:tabs>
          <w:tab w:val="clear" w:pos="685"/>
          <w:tab w:val="clear" w:pos="4876"/>
          <w:tab w:val="clear" w:pos="5470"/>
          <w:tab w:val="left" w:pos="319"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hanging="0" w:left="0"/>
        <w:jc w:val="both"/>
        <w:rPr>
          <w:rFonts w:ascii="Titillium" w:hAnsi="Titillium"/>
          <w:b/>
          <w:bCs/>
          <w:iCs/>
          <w:sz w:val="20"/>
          <w:szCs w:val="20"/>
          <w:lang w:val="pl-PL"/>
        </w:rPr>
      </w:pPr>
      <w:r>
        <w:rPr>
          <w:rFonts w:ascii="Titillium" w:hAnsi="Titillium"/>
          <w:b/>
          <w:bCs/>
          <w:iCs/>
          <w:sz w:val="20"/>
          <w:szCs w:val="20"/>
          <w:lang w:val="pl-PL"/>
        </w:rPr>
      </w:r>
    </w:p>
    <w:p>
      <w:pPr>
        <w:pStyle w:val="Tekstpodstawowy2"/>
        <w:numPr>
          <w:ilvl w:val="0"/>
          <w:numId w:val="0"/>
        </w:numPr>
        <w:tabs>
          <w:tab w:val="clear" w:pos="685"/>
          <w:tab w:val="clear" w:pos="4876"/>
          <w:tab w:val="clear" w:pos="5470"/>
          <w:tab w:val="left" w:pos="319"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hanging="0" w:left="0"/>
        <w:jc w:val="both"/>
        <w:rPr>
          <w:rFonts w:ascii="Titillium" w:hAnsi="Titillium"/>
          <w:b/>
          <w:bCs/>
          <w:iCs/>
          <w:sz w:val="20"/>
          <w:szCs w:val="20"/>
          <w:lang w:val="pl-PL"/>
        </w:rPr>
      </w:pPr>
      <w:r>
        <w:rPr>
          <w:rFonts w:ascii="Titillium" w:hAnsi="Titillium"/>
          <w:b/>
          <w:bCs/>
          <w:iCs/>
          <w:sz w:val="20"/>
          <w:szCs w:val="20"/>
          <w:lang w:val="pl-PL"/>
        </w:rPr>
      </w:r>
    </w:p>
    <w:p>
      <w:pPr>
        <w:pStyle w:val="Tekstpodstawowy2"/>
        <w:numPr>
          <w:ilvl w:val="0"/>
          <w:numId w:val="0"/>
        </w:numPr>
        <w:tabs>
          <w:tab w:val="clear" w:pos="685"/>
          <w:tab w:val="clear" w:pos="4876"/>
          <w:tab w:val="clear" w:pos="5470"/>
          <w:tab w:val="left" w:pos="319"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hanging="0" w:left="0"/>
        <w:jc w:val="both"/>
        <w:rPr>
          <w:rFonts w:ascii="Titillium" w:hAnsi="Titillium"/>
          <w:b/>
          <w:bCs/>
          <w:iCs/>
          <w:sz w:val="20"/>
          <w:szCs w:val="20"/>
          <w:lang w:val="pl-PL"/>
        </w:rPr>
      </w:pPr>
      <w:r>
        <w:rPr>
          <w:rFonts w:ascii="Titillium" w:hAnsi="Titillium"/>
          <w:b/>
          <w:bCs/>
          <w:iCs/>
          <w:sz w:val="20"/>
          <w:szCs w:val="20"/>
          <w:lang w:val="pl-PL"/>
        </w:rPr>
        <w:t>SPOSÓB OPRACOWANIA KOSZTORYSU OFERTOWEGO dla zadania nr 2</w:t>
      </w:r>
    </w:p>
    <w:p>
      <w:pPr>
        <w:pStyle w:val="Tekstpodstawowy2"/>
        <w:numPr>
          <w:ilvl w:val="0"/>
          <w:numId w:val="0"/>
        </w:numPr>
        <w:tabs>
          <w:tab w:val="clear" w:pos="685"/>
          <w:tab w:val="clear" w:pos="4876"/>
          <w:tab w:val="clear" w:pos="5470"/>
          <w:tab w:val="left" w:pos="319"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hanging="0" w:left="0"/>
        <w:jc w:val="both"/>
        <w:rPr>
          <w:rFonts w:ascii="Titillium" w:hAnsi="Titillium"/>
          <w:b/>
          <w:bCs/>
          <w:iCs/>
          <w:sz w:val="20"/>
          <w:szCs w:val="20"/>
          <w:lang w:val="pl-PL"/>
        </w:rPr>
      </w:pPr>
      <w:r>
        <w:rPr>
          <w:rFonts w:ascii="Titillium" w:hAnsi="Titillium"/>
          <w:b/>
          <w:bCs/>
          <w:iCs/>
          <w:sz w:val="20"/>
          <w:szCs w:val="20"/>
          <w:lang w:val="pl-PL"/>
        </w:rPr>
      </w:r>
    </w:p>
    <w:p>
      <w:pPr>
        <w:pStyle w:val="HTML-wstpniesformatowany"/>
        <w:widowControl/>
        <w:numPr>
          <w:ilvl w:val="0"/>
          <w:numId w:val="196"/>
        </w:numPr>
        <w:tabs>
          <w:tab w:val="clear" w:pos="916"/>
          <w:tab w:val="clear" w:pos="1832"/>
          <w:tab w:val="left" w:pos="570"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before="0" w:after="0"/>
        <w:ind w:hanging="567" w:left="567" w:right="0"/>
        <w:jc w:val="both"/>
        <w:textAlignment w:val="baseline"/>
        <w:rPr>
          <w:rFonts w:ascii="Titillium" w:hAnsi="Titillium"/>
          <w:b w:val="false"/>
          <w:bCs w:val="false"/>
          <w:iCs/>
          <w:sz w:val="20"/>
          <w:szCs w:val="20"/>
          <w:lang w:val="pl-PL"/>
        </w:rPr>
      </w:pPr>
      <w:r>
        <w:rPr>
          <w:rFonts w:ascii="Titillium" w:hAnsi="Titillium"/>
          <w:b w:val="false"/>
          <w:bCs w:val="false"/>
          <w:iCs/>
          <w:sz w:val="20"/>
          <w:szCs w:val="20"/>
          <w:lang w:val="pl-PL"/>
        </w:rPr>
        <w:t xml:space="preserve">Należy opracować kosztorys metodą uproszczoną zgodnie z podziałem zawartym w przedmiarze robót  i dołączyć do oferty. </w:t>
      </w:r>
    </w:p>
    <w:p>
      <w:pPr>
        <w:pStyle w:val="HTML-wstpniesformatowany"/>
        <w:widowControl/>
        <w:numPr>
          <w:ilvl w:val="0"/>
          <w:numId w:val="197"/>
        </w:numPr>
        <w:tabs>
          <w:tab w:val="clear" w:pos="916"/>
          <w:tab w:val="clear" w:pos="1832"/>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before="0" w:after="0"/>
        <w:ind w:hanging="567" w:left="567" w:right="0"/>
        <w:jc w:val="both"/>
        <w:textAlignment w:val="baseline"/>
        <w:rPr>
          <w:rFonts w:ascii="Titillium" w:hAnsi="Titillium"/>
          <w:sz w:val="20"/>
          <w:szCs w:val="20"/>
          <w:lang w:val="pl-PL"/>
        </w:rPr>
      </w:pPr>
      <w:r>
        <w:rPr>
          <w:rFonts w:ascii="Titillium" w:hAnsi="Titillium"/>
          <w:b w:val="false"/>
          <w:bCs w:val="false"/>
          <w:iCs/>
          <w:sz w:val="20"/>
          <w:szCs w:val="20"/>
          <w:lang w:val="pl-PL"/>
        </w:rPr>
        <w:t xml:space="preserve">Wszelkie błędy dostrzeżone w przedmiarach i dokumentacji projektowej Wykonawca winien zgłosić Zamawiającemu przed terminem składania ofert w trybie </w:t>
      </w:r>
      <w:r>
        <w:rPr>
          <w:rFonts w:ascii="Titillium" w:hAnsi="Titillium"/>
          <w:b w:val="false"/>
          <w:bCs w:val="false"/>
          <w:iCs/>
          <w:strike w:val="false"/>
          <w:dstrike w:val="false"/>
          <w:sz w:val="20"/>
          <w:szCs w:val="20"/>
          <w:lang w:val="pl-PL"/>
        </w:rPr>
        <w:t xml:space="preserve">art. </w:t>
      </w:r>
      <w:r>
        <w:rPr>
          <w:rFonts w:eastAsia="Times New Roman" w:cs="Courier New" w:ascii="Titillium" w:hAnsi="Titillium"/>
          <w:b w:val="false"/>
          <w:bCs w:val="false"/>
          <w:iCs/>
          <w:strike w:val="false"/>
          <w:dstrike w:val="false"/>
          <w:color w:val="000000"/>
          <w:sz w:val="20"/>
          <w:szCs w:val="20"/>
          <w:lang w:val="pl-PL" w:eastAsia="zh-CN" w:bidi="ar-SA"/>
        </w:rPr>
        <w:t>284</w:t>
      </w:r>
      <w:r>
        <w:rPr>
          <w:rFonts w:ascii="Titillium" w:hAnsi="Titillium"/>
          <w:b w:val="false"/>
          <w:bCs w:val="false"/>
          <w:iCs/>
          <w:sz w:val="20"/>
          <w:szCs w:val="20"/>
          <w:lang w:val="pl-PL"/>
        </w:rPr>
        <w:t xml:space="preserve"> ustawy (zapytania). </w:t>
      </w:r>
    </w:p>
    <w:p>
      <w:pPr>
        <w:pStyle w:val="HTML-wstpniesformatowany"/>
        <w:widowControl/>
        <w:numPr>
          <w:ilvl w:val="0"/>
          <w:numId w:val="198"/>
        </w:numPr>
        <w:tabs>
          <w:tab w:val="clear" w:pos="916"/>
          <w:tab w:val="clear" w:pos="1832"/>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before="0" w:after="0"/>
        <w:ind w:hanging="567" w:left="567" w:right="0"/>
        <w:jc w:val="both"/>
        <w:textAlignment w:val="baseline"/>
        <w:rPr>
          <w:rFonts w:ascii="Titillium" w:hAnsi="Titillium"/>
          <w:sz w:val="20"/>
          <w:szCs w:val="20"/>
          <w:lang w:val="pl-PL"/>
        </w:rPr>
      </w:pPr>
      <w:r>
        <w:rPr>
          <w:rFonts w:ascii="Titillium" w:hAnsi="Titillium"/>
          <w:b w:val="false"/>
          <w:bCs w:val="false"/>
          <w:iCs/>
          <w:sz w:val="20"/>
          <w:szCs w:val="20"/>
          <w:shd w:fill="FFFF00" w:val="clear"/>
          <w:lang w:val="pl-PL"/>
        </w:rPr>
        <w:t>W przypadku uszczegółowień i/lub zmian do pozycji przedmiaru, wprowadzonych przez Zamawiającego  w wyniku zapytań Wykonawców, należy wszystkie modyfikacje uwzględnić                      w cenie, jak również w opisanych w przedmiarze pozycjach</w:t>
      </w:r>
      <w:r>
        <w:rPr>
          <w:rFonts w:ascii="Titillium" w:hAnsi="Titillium"/>
          <w:b w:val="false"/>
          <w:bCs w:val="false"/>
          <w:iCs/>
          <w:sz w:val="20"/>
          <w:szCs w:val="20"/>
          <w:lang w:val="pl-PL"/>
        </w:rPr>
        <w:t xml:space="preserve">. </w:t>
      </w:r>
    </w:p>
    <w:p>
      <w:pPr>
        <w:pStyle w:val="HTML-wstpniesformatowany"/>
        <w:widowControl/>
        <w:numPr>
          <w:ilvl w:val="0"/>
          <w:numId w:val="199"/>
        </w:numPr>
        <w:tabs>
          <w:tab w:val="clear" w:pos="916"/>
          <w:tab w:val="clear" w:pos="1832"/>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before="0" w:after="0"/>
        <w:ind w:hanging="567" w:left="567" w:right="0"/>
        <w:jc w:val="both"/>
        <w:textAlignment w:val="baseline"/>
        <w:rPr>
          <w:rFonts w:ascii="Titillium" w:hAnsi="Titillium"/>
          <w:sz w:val="20"/>
          <w:szCs w:val="20"/>
          <w:lang w:val="pl-PL"/>
        </w:rPr>
      </w:pPr>
      <w:r>
        <w:rPr>
          <w:rFonts w:ascii="Titillium" w:hAnsi="Titillium"/>
          <w:b w:val="false"/>
          <w:bCs w:val="false"/>
          <w:iCs/>
          <w:sz w:val="20"/>
          <w:szCs w:val="20"/>
          <w:lang w:val="pl-PL"/>
        </w:rPr>
        <w:t xml:space="preserve">Wykonawca określi ceny na wszystkie elementy zamówienia wymienione w kosztorysie wg następujących zasad: </w:t>
      </w:r>
    </w:p>
    <w:p>
      <w:pPr>
        <w:pStyle w:val="Normal"/>
        <w:widowControl/>
        <w:numPr>
          <w:ilvl w:val="0"/>
          <w:numId w:val="0"/>
        </w:numPr>
        <w:suppressAutoHyphens w:val="true"/>
        <w:bidi w:val="0"/>
        <w:ind w:hanging="0" w:left="0"/>
        <w:rPr>
          <w:rFonts w:ascii="Titillium" w:hAnsi="Titillium"/>
          <w:sz w:val="20"/>
          <w:szCs w:val="20"/>
          <w:lang w:val="pl-PL"/>
        </w:rPr>
      </w:pPr>
      <w:r>
        <w:rPr>
          <w:rFonts w:ascii="Titillium" w:hAnsi="Titillium"/>
          <w:sz w:val="20"/>
          <w:szCs w:val="20"/>
          <w:lang w:val="pl-PL"/>
        </w:rPr>
      </w:r>
    </w:p>
    <w:p>
      <w:pPr>
        <w:pStyle w:val="Tekstpodstawowy2"/>
        <w:widowControl/>
        <w:numPr>
          <w:ilvl w:val="4"/>
          <w:numId w:val="200"/>
        </w:numPr>
        <w:tabs>
          <w:tab w:val="clear" w:pos="685"/>
          <w:tab w:val="clear" w:pos="4876"/>
          <w:tab w:val="clear" w:pos="5470"/>
          <w:tab w:val="left" w:pos="684" w:leader="none"/>
          <w:tab w:val="left" w:pos="733" w:leader="none"/>
          <w:tab w:val="left" w:pos="938" w:leader="none"/>
        </w:tabs>
        <w:suppressAutoHyphens w:val="true"/>
        <w:bidi w:val="0"/>
        <w:spacing w:lineRule="auto" w:line="240" w:before="0" w:after="0"/>
        <w:ind w:hanging="680" w:left="737" w:right="0"/>
        <w:jc w:val="both"/>
        <w:rPr>
          <w:rFonts w:ascii="Titillium" w:hAnsi="Titillium"/>
          <w:sz w:val="20"/>
          <w:szCs w:val="20"/>
          <w:lang w:val="pl-PL"/>
        </w:rPr>
      </w:pPr>
      <w:r>
        <w:rPr>
          <w:rFonts w:ascii="Titillium" w:hAnsi="Titillium"/>
          <w:b w:val="false"/>
          <w:bCs w:val="false"/>
          <w:sz w:val="20"/>
          <w:szCs w:val="20"/>
          <w:lang w:val="pl-PL"/>
        </w:rPr>
        <w:t xml:space="preserve">metoda kalkulacji – metoda uproszczona – zobowiązuje się Wykonawców do opracowania kosztorysu w formie uproszczonej, </w:t>
      </w:r>
    </w:p>
    <w:p>
      <w:pPr>
        <w:pStyle w:val="Tekstpodstawowy2"/>
        <w:widowControl/>
        <w:numPr>
          <w:ilvl w:val="4"/>
          <w:numId w:val="201"/>
        </w:numPr>
        <w:tabs>
          <w:tab w:val="clear" w:pos="685"/>
          <w:tab w:val="clear" w:pos="4876"/>
          <w:tab w:val="clear" w:pos="5470"/>
          <w:tab w:val="left" w:pos="684" w:leader="none"/>
          <w:tab w:val="left" w:pos="733" w:leader="none"/>
          <w:tab w:val="left" w:pos="938" w:leader="none"/>
        </w:tabs>
        <w:suppressAutoHyphens w:val="true"/>
        <w:bidi w:val="0"/>
        <w:spacing w:lineRule="auto" w:line="240" w:before="0" w:after="0"/>
        <w:ind w:hanging="680" w:left="737" w:right="0"/>
        <w:jc w:val="both"/>
        <w:rPr>
          <w:rFonts w:ascii="Titillium" w:hAnsi="Titillium"/>
          <w:sz w:val="20"/>
          <w:szCs w:val="20"/>
          <w:lang w:val="pl-PL"/>
        </w:rPr>
      </w:pPr>
      <w:r>
        <w:rPr>
          <w:rFonts w:ascii="Titillium" w:hAnsi="Titillium"/>
          <w:b w:val="false"/>
          <w:bCs w:val="false"/>
          <w:sz w:val="20"/>
          <w:szCs w:val="20"/>
          <w:lang w:val="pl-PL"/>
        </w:rPr>
        <w:t>kalkulacja uproszczona polega na obliczeniu ceny kosztorysowej jako sumy iloczynów ustalonych jednostek przedmiarowych i ich cen jednostkowych, z uwzględnieniem podatku od towarów                    i usług (VAT) – według formuły: C</w:t>
      </w:r>
      <w:r>
        <w:rPr>
          <w:rFonts w:ascii="Titillium" w:hAnsi="Titillium"/>
          <w:b w:val="false"/>
          <w:bCs w:val="false"/>
          <w:sz w:val="20"/>
          <w:szCs w:val="20"/>
          <w:vertAlign w:val="subscript"/>
          <w:lang w:val="pl-PL"/>
        </w:rPr>
        <w:t xml:space="preserve">k </w:t>
      </w:r>
      <w:r>
        <w:rPr>
          <w:rFonts w:ascii="Titillium" w:hAnsi="Titillium"/>
          <w:b w:val="false"/>
          <w:bCs w:val="false"/>
          <w:sz w:val="20"/>
          <w:szCs w:val="20"/>
          <w:lang w:val="pl-PL"/>
        </w:rPr>
        <w:t>= Σ L * C</w:t>
      </w:r>
      <w:r>
        <w:rPr>
          <w:rFonts w:ascii="Titillium" w:hAnsi="Titillium"/>
          <w:b w:val="false"/>
          <w:bCs w:val="false"/>
          <w:sz w:val="20"/>
          <w:szCs w:val="20"/>
          <w:vertAlign w:val="subscript"/>
          <w:lang w:val="pl-PL"/>
        </w:rPr>
        <w:t xml:space="preserve">j </w:t>
      </w:r>
      <w:r>
        <w:rPr>
          <w:rFonts w:ascii="Titillium" w:hAnsi="Titillium"/>
          <w:b w:val="false"/>
          <w:bCs w:val="false"/>
          <w:sz w:val="20"/>
          <w:szCs w:val="20"/>
          <w:lang w:val="pl-PL"/>
        </w:rPr>
        <w:t>+ P</w:t>
      </w:r>
      <w:r>
        <w:rPr>
          <w:rFonts w:ascii="Titillium" w:hAnsi="Titillium"/>
          <w:b w:val="false"/>
          <w:bCs w:val="false"/>
          <w:sz w:val="20"/>
          <w:szCs w:val="20"/>
          <w:vertAlign w:val="subscript"/>
          <w:lang w:val="pl-PL"/>
        </w:rPr>
        <w:t>v</w:t>
      </w:r>
      <w:r>
        <w:rPr>
          <w:rFonts w:ascii="Titillium" w:hAnsi="Titillium"/>
          <w:b w:val="false"/>
          <w:bCs w:val="false"/>
          <w:sz w:val="20"/>
          <w:szCs w:val="20"/>
          <w:lang w:val="pl-PL"/>
        </w:rPr>
        <w:t>,</w:t>
      </w:r>
    </w:p>
    <w:p>
      <w:pPr>
        <w:pStyle w:val="Tekstpodstawowy2"/>
        <w:widowControl/>
        <w:numPr>
          <w:ilvl w:val="0"/>
          <w:numId w:val="0"/>
        </w:numPr>
        <w:tabs>
          <w:tab w:val="clear" w:pos="685"/>
          <w:tab w:val="clear" w:pos="4876"/>
          <w:tab w:val="clear" w:pos="5470"/>
          <w:tab w:val="left" w:pos="900" w:leader="none"/>
        </w:tabs>
        <w:suppressAutoHyphens w:val="true"/>
        <w:bidi w:val="0"/>
        <w:spacing w:lineRule="auto" w:line="240" w:before="0" w:after="0"/>
        <w:ind w:hanging="0" w:left="0"/>
        <w:jc w:val="both"/>
        <w:rPr>
          <w:b w:val="false"/>
          <w:bCs w:val="false"/>
        </w:rPr>
      </w:pPr>
      <w:r>
        <w:rPr>
          <w:rFonts w:ascii="Titillium" w:hAnsi="Titillium"/>
          <w:b w:val="false"/>
          <w:bCs w:val="false"/>
          <w:sz w:val="20"/>
          <w:szCs w:val="20"/>
          <w:lang w:val="pl-PL"/>
        </w:rPr>
        <w:t xml:space="preserve">gdzie: </w:t>
      </w:r>
    </w:p>
    <w:p>
      <w:pPr>
        <w:pStyle w:val="Tekstpodstawowy2"/>
        <w:widowControl/>
        <w:numPr>
          <w:ilvl w:val="0"/>
          <w:numId w:val="0"/>
        </w:numPr>
        <w:tabs>
          <w:tab w:val="clear" w:pos="685"/>
          <w:tab w:val="clear" w:pos="4876"/>
          <w:tab w:val="clear" w:pos="5470"/>
          <w:tab w:val="left" w:pos="900" w:leader="none"/>
        </w:tabs>
        <w:suppressAutoHyphens w:val="true"/>
        <w:bidi w:val="0"/>
        <w:spacing w:lineRule="auto" w:line="240" w:before="0" w:after="0"/>
        <w:ind w:hanging="0" w:left="0"/>
        <w:jc w:val="both"/>
        <w:rPr>
          <w:b w:val="false"/>
          <w:bCs w:val="false"/>
        </w:rPr>
      </w:pPr>
      <w:r>
        <w:rPr>
          <w:rFonts w:ascii="Titillium" w:hAnsi="Titillium"/>
          <w:b w:val="false"/>
          <w:bCs w:val="false"/>
          <w:sz w:val="20"/>
          <w:szCs w:val="20"/>
          <w:lang w:val="pl-PL"/>
        </w:rPr>
        <w:t>C</w:t>
      </w:r>
      <w:r>
        <w:rPr>
          <w:rFonts w:ascii="Titillium" w:hAnsi="Titillium"/>
          <w:b w:val="false"/>
          <w:bCs w:val="false"/>
          <w:sz w:val="20"/>
          <w:szCs w:val="20"/>
          <w:vertAlign w:val="subscript"/>
          <w:lang w:val="pl-PL"/>
        </w:rPr>
        <w:t xml:space="preserve">k </w:t>
      </w:r>
      <w:r>
        <w:rPr>
          <w:rFonts w:ascii="Titillium" w:hAnsi="Titillium"/>
          <w:b w:val="false"/>
          <w:bCs w:val="false"/>
          <w:sz w:val="20"/>
          <w:szCs w:val="20"/>
          <w:lang w:val="pl-PL"/>
        </w:rPr>
        <w:t>–  oznacza cenę kosztorysową,</w:t>
      </w:r>
    </w:p>
    <w:p>
      <w:pPr>
        <w:pStyle w:val="Tekstpodstawowy2"/>
        <w:widowControl/>
        <w:numPr>
          <w:ilvl w:val="0"/>
          <w:numId w:val="0"/>
        </w:numPr>
        <w:tabs>
          <w:tab w:val="clear" w:pos="685"/>
          <w:tab w:val="clear" w:pos="4876"/>
          <w:tab w:val="clear" w:pos="5470"/>
          <w:tab w:val="left" w:pos="900" w:leader="none"/>
        </w:tabs>
        <w:suppressAutoHyphens w:val="true"/>
        <w:bidi w:val="0"/>
        <w:spacing w:lineRule="auto" w:line="240" w:before="0" w:after="0"/>
        <w:ind w:hanging="0" w:left="0"/>
        <w:jc w:val="both"/>
        <w:rPr>
          <w:b w:val="false"/>
          <w:bCs w:val="false"/>
        </w:rPr>
      </w:pPr>
      <w:r>
        <w:rPr>
          <w:rFonts w:ascii="Titillium" w:hAnsi="Titillium"/>
          <w:b w:val="false"/>
          <w:bCs w:val="false"/>
          <w:sz w:val="20"/>
          <w:szCs w:val="20"/>
          <w:lang w:val="pl-PL"/>
        </w:rPr>
        <w:t>L  –  oznacza liczby ustalonych jednostek przedmiarowych,</w:t>
      </w:r>
    </w:p>
    <w:p>
      <w:pPr>
        <w:pStyle w:val="Tekstpodstawowy2"/>
        <w:widowControl/>
        <w:numPr>
          <w:ilvl w:val="0"/>
          <w:numId w:val="0"/>
        </w:numPr>
        <w:tabs>
          <w:tab w:val="clear" w:pos="685"/>
          <w:tab w:val="clear" w:pos="4876"/>
          <w:tab w:val="clear" w:pos="5470"/>
          <w:tab w:val="left" w:pos="900" w:leader="none"/>
        </w:tabs>
        <w:suppressAutoHyphens w:val="true"/>
        <w:bidi w:val="0"/>
        <w:spacing w:lineRule="auto" w:line="240" w:before="0" w:after="0"/>
        <w:ind w:hanging="0" w:left="0"/>
        <w:jc w:val="both"/>
        <w:rPr>
          <w:b w:val="false"/>
          <w:bCs w:val="false"/>
        </w:rPr>
      </w:pPr>
      <w:r>
        <w:rPr>
          <w:rFonts w:ascii="Titillium" w:hAnsi="Titillium"/>
          <w:b w:val="false"/>
          <w:bCs w:val="false"/>
          <w:sz w:val="20"/>
          <w:szCs w:val="20"/>
          <w:lang w:val="pl-PL"/>
        </w:rPr>
        <w:t>C</w:t>
      </w:r>
      <w:r>
        <w:rPr>
          <w:rFonts w:ascii="Titillium" w:hAnsi="Titillium"/>
          <w:b w:val="false"/>
          <w:bCs w:val="false"/>
          <w:sz w:val="20"/>
          <w:szCs w:val="20"/>
          <w:vertAlign w:val="subscript"/>
          <w:lang w:val="pl-PL"/>
        </w:rPr>
        <w:t xml:space="preserve">j </w:t>
      </w:r>
      <w:r>
        <w:rPr>
          <w:rFonts w:ascii="Titillium" w:hAnsi="Titillium"/>
          <w:b w:val="false"/>
          <w:bCs w:val="false"/>
          <w:sz w:val="20"/>
          <w:szCs w:val="20"/>
          <w:lang w:val="pl-PL"/>
        </w:rPr>
        <w:t xml:space="preserve"> – oznacza ceny jednostkowe dla ustalonych jednostek przedmiarowych,</w:t>
      </w:r>
    </w:p>
    <w:p>
      <w:pPr>
        <w:pStyle w:val="Tekstpodstawowy2"/>
        <w:widowControl/>
        <w:numPr>
          <w:ilvl w:val="0"/>
          <w:numId w:val="0"/>
        </w:numPr>
        <w:tabs>
          <w:tab w:val="clear" w:pos="685"/>
          <w:tab w:val="clear" w:pos="4876"/>
          <w:tab w:val="clear" w:pos="5470"/>
          <w:tab w:val="left" w:pos="900" w:leader="none"/>
        </w:tabs>
        <w:suppressAutoHyphens w:val="true"/>
        <w:bidi w:val="0"/>
        <w:spacing w:lineRule="auto" w:line="240" w:before="0" w:after="0"/>
        <w:ind w:hanging="0" w:left="0"/>
        <w:jc w:val="both"/>
        <w:rPr>
          <w:b w:val="false"/>
          <w:bCs w:val="false"/>
        </w:rPr>
      </w:pPr>
      <w:r>
        <w:rPr>
          <w:rFonts w:ascii="Titillium" w:hAnsi="Titillium"/>
          <w:b w:val="false"/>
          <w:bCs w:val="false"/>
          <w:sz w:val="20"/>
          <w:szCs w:val="20"/>
          <w:lang w:val="pl-PL"/>
        </w:rPr>
        <w:t>P</w:t>
      </w:r>
      <w:r>
        <w:rPr>
          <w:rFonts w:ascii="Titillium" w:hAnsi="Titillium"/>
          <w:b w:val="false"/>
          <w:bCs w:val="false"/>
          <w:sz w:val="20"/>
          <w:szCs w:val="20"/>
          <w:vertAlign w:val="subscript"/>
          <w:lang w:val="pl-PL"/>
        </w:rPr>
        <w:t>v</w:t>
      </w:r>
      <w:r>
        <w:rPr>
          <w:rFonts w:ascii="Titillium" w:hAnsi="Titillium"/>
          <w:b w:val="false"/>
          <w:bCs w:val="false"/>
          <w:sz w:val="20"/>
          <w:szCs w:val="20"/>
          <w:lang w:val="pl-PL"/>
        </w:rPr>
        <w:t xml:space="preserve">  – oznacza podatek od towarów i usług (VAT).</w:t>
      </w:r>
    </w:p>
    <w:p>
      <w:pPr>
        <w:pStyle w:val="Tekstpodstawowy2"/>
        <w:widowControl/>
        <w:numPr>
          <w:ilvl w:val="0"/>
          <w:numId w:val="0"/>
        </w:numPr>
        <w:tabs>
          <w:tab w:val="clear" w:pos="685"/>
          <w:tab w:val="clear" w:pos="4876"/>
          <w:tab w:val="clear" w:pos="5470"/>
          <w:tab w:val="left" w:pos="900" w:leader="none"/>
        </w:tabs>
        <w:suppressAutoHyphens w:val="true"/>
        <w:bidi w:val="0"/>
        <w:spacing w:lineRule="auto" w:line="240" w:before="0" w:after="0"/>
        <w:ind w:hanging="0" w:left="0"/>
        <w:jc w:val="both"/>
        <w:rPr>
          <w:rFonts w:ascii="Titillium" w:hAnsi="Titillium"/>
          <w:b w:val="false"/>
          <w:bCs w:val="false"/>
          <w:sz w:val="20"/>
          <w:szCs w:val="20"/>
          <w:lang w:val="pl-PL"/>
        </w:rPr>
      </w:pPr>
      <w:r>
        <w:rPr>
          <w:rFonts w:ascii="Titillium" w:hAnsi="Titillium"/>
          <w:b w:val="false"/>
          <w:bCs w:val="false"/>
          <w:sz w:val="20"/>
          <w:szCs w:val="20"/>
          <w:lang w:val="pl-PL"/>
        </w:rPr>
      </w:r>
    </w:p>
    <w:p>
      <w:pPr>
        <w:pStyle w:val="Tekstpodstawowy2"/>
        <w:widowControl/>
        <w:numPr>
          <w:ilvl w:val="1"/>
          <w:numId w:val="202"/>
        </w:numPr>
        <w:tabs>
          <w:tab w:val="clear" w:pos="685"/>
          <w:tab w:val="clear" w:pos="4876"/>
          <w:tab w:val="clear" w:pos="5470"/>
          <w:tab w:val="left" w:pos="684" w:leader="none"/>
          <w:tab w:val="left" w:pos="741" w:leader="none"/>
          <w:tab w:val="left" w:pos="778" w:leader="none"/>
        </w:tabs>
        <w:suppressAutoHyphens w:val="true"/>
        <w:bidi w:val="0"/>
        <w:spacing w:lineRule="auto" w:line="240" w:before="0" w:after="0"/>
        <w:ind w:hanging="1361" w:left="1417" w:right="0"/>
        <w:jc w:val="both"/>
        <w:textAlignment w:val="baseline"/>
        <w:rPr>
          <w:b w:val="false"/>
          <w:bCs w:val="false"/>
        </w:rPr>
      </w:pPr>
      <w:r>
        <w:rPr>
          <w:rFonts w:ascii="Titillium" w:hAnsi="Titillium"/>
          <w:b w:val="false"/>
          <w:bCs w:val="false"/>
          <w:sz w:val="20"/>
          <w:szCs w:val="20"/>
          <w:lang w:val="pl-PL"/>
        </w:rPr>
        <w:t xml:space="preserve"> </w:t>
      </w:r>
      <w:r>
        <w:rPr>
          <w:rFonts w:ascii="Titillium" w:hAnsi="Titillium"/>
          <w:b w:val="false"/>
          <w:bCs w:val="false"/>
          <w:sz w:val="20"/>
          <w:szCs w:val="20"/>
          <w:lang w:val="pl-PL"/>
        </w:rPr>
        <w:t xml:space="preserve">wszystkie pozycje kosztorysów muszą zawierać ceny jednostkowe z narzutami, </w:t>
      </w:r>
    </w:p>
    <w:p>
      <w:pPr>
        <w:pStyle w:val="Tekstpodstawowy2"/>
        <w:widowControl/>
        <w:numPr>
          <w:ilvl w:val="1"/>
          <w:numId w:val="203"/>
        </w:numPr>
        <w:tabs>
          <w:tab w:val="clear" w:pos="685"/>
          <w:tab w:val="clear" w:pos="4876"/>
          <w:tab w:val="clear" w:pos="5470"/>
          <w:tab w:val="left" w:pos="684" w:leader="none"/>
          <w:tab w:val="left" w:pos="741" w:leader="none"/>
          <w:tab w:val="left" w:pos="778" w:leader="none"/>
        </w:tabs>
        <w:suppressAutoHyphens w:val="true"/>
        <w:bidi w:val="0"/>
        <w:spacing w:lineRule="auto" w:line="240" w:before="0" w:after="0"/>
        <w:ind w:hanging="680" w:left="737" w:right="0"/>
        <w:jc w:val="both"/>
        <w:textAlignment w:val="baseline"/>
        <w:rPr>
          <w:b w:val="false"/>
          <w:bCs w:val="false"/>
        </w:rPr>
      </w:pPr>
      <w:r>
        <w:rPr>
          <w:rFonts w:ascii="Titillium" w:hAnsi="Titillium"/>
          <w:b w:val="false"/>
          <w:bCs w:val="false"/>
          <w:sz w:val="20"/>
          <w:szCs w:val="20"/>
          <w:lang w:val="pl-PL"/>
        </w:rPr>
        <w:t xml:space="preserve"> </w:t>
      </w:r>
      <w:r>
        <w:rPr>
          <w:rFonts w:ascii="Titillium" w:hAnsi="Titillium"/>
          <w:b w:val="false"/>
          <w:bCs w:val="false"/>
          <w:sz w:val="20"/>
          <w:szCs w:val="20"/>
          <w:lang w:val="pl-PL"/>
        </w:rPr>
        <w:t xml:space="preserve">ceny jednostkowe przyjmowane do kalkulacji uproszczonej nie uwzględniają podatku od towarów i usług (VAT),  </w:t>
      </w:r>
    </w:p>
    <w:p>
      <w:pPr>
        <w:pStyle w:val="Tekstpodstawowy2"/>
        <w:widowControl/>
        <w:numPr>
          <w:ilvl w:val="1"/>
          <w:numId w:val="204"/>
        </w:numPr>
        <w:tabs>
          <w:tab w:val="clear" w:pos="685"/>
          <w:tab w:val="clear" w:pos="4876"/>
          <w:tab w:val="clear" w:pos="5470"/>
          <w:tab w:val="left" w:pos="684" w:leader="none"/>
          <w:tab w:val="left" w:pos="741" w:leader="none"/>
          <w:tab w:val="left" w:pos="778" w:leader="none"/>
        </w:tabs>
        <w:suppressAutoHyphens w:val="true"/>
        <w:bidi w:val="0"/>
        <w:spacing w:lineRule="auto" w:line="240" w:before="0" w:after="0"/>
        <w:ind w:hanging="680" w:left="737" w:right="0"/>
        <w:jc w:val="both"/>
        <w:textAlignment w:val="baseline"/>
        <w:rPr>
          <w:b w:val="false"/>
          <w:bCs w:val="false"/>
        </w:rPr>
      </w:pPr>
      <w:r>
        <w:rPr>
          <w:rFonts w:ascii="Titillium" w:hAnsi="Titillium"/>
          <w:b w:val="false"/>
          <w:bCs w:val="false"/>
          <w:sz w:val="20"/>
          <w:szCs w:val="20"/>
          <w:lang w:val="pl-PL"/>
        </w:rPr>
        <w:t xml:space="preserve"> </w:t>
      </w:r>
      <w:r>
        <w:rPr>
          <w:rFonts w:ascii="Titillium" w:hAnsi="Titillium"/>
          <w:b w:val="false"/>
          <w:bCs w:val="false"/>
          <w:sz w:val="20"/>
          <w:szCs w:val="20"/>
          <w:lang w:val="pl-PL"/>
        </w:rPr>
        <w:t xml:space="preserve">cena jednostkowa uwzględnia wszystkie koszty robocizny, materiałów, pracy sprzętu i środków transportu technologicznego niezbędnych do wykonania robót objętych daną jednostką przedmiarową oraz koszty pośrednie i zysk, </w:t>
      </w:r>
    </w:p>
    <w:p>
      <w:pPr>
        <w:pStyle w:val="Tekstpodstawowy2"/>
        <w:widowControl/>
        <w:numPr>
          <w:ilvl w:val="1"/>
          <w:numId w:val="205"/>
        </w:numPr>
        <w:tabs>
          <w:tab w:val="clear" w:pos="685"/>
          <w:tab w:val="clear" w:pos="4876"/>
          <w:tab w:val="clear" w:pos="5470"/>
          <w:tab w:val="left" w:pos="684" w:leader="none"/>
          <w:tab w:val="left" w:pos="741" w:leader="none"/>
          <w:tab w:val="left" w:pos="778" w:leader="none"/>
        </w:tabs>
        <w:suppressAutoHyphens w:val="true"/>
        <w:bidi w:val="0"/>
        <w:spacing w:lineRule="auto" w:line="240" w:before="0" w:after="0"/>
        <w:ind w:hanging="680" w:left="737" w:right="0"/>
        <w:jc w:val="both"/>
        <w:textAlignment w:val="baseline"/>
        <w:rPr>
          <w:b w:val="false"/>
          <w:bCs w:val="false"/>
        </w:rPr>
      </w:pPr>
      <w:r>
        <w:rPr>
          <w:rFonts w:ascii="Titillium" w:hAnsi="Titillium"/>
          <w:b w:val="false"/>
          <w:bCs w:val="false"/>
          <w:sz w:val="20"/>
          <w:szCs w:val="20"/>
          <w:lang w:val="pl-PL"/>
        </w:rPr>
        <w:t>w kosztorysie ofertowym można wprowadzić własną numerację pozycji zachowując jednak kolejność przyjętą w przedmiarze robót.</w:t>
      </w:r>
    </w:p>
    <w:p>
      <w:pPr>
        <w:pStyle w:val="Normal"/>
        <w:widowControl w:val="false"/>
        <w:numPr>
          <w:ilvl w:val="0"/>
          <w:numId w:val="206"/>
        </w:numPr>
        <w:tabs>
          <w:tab w:val="clear" w:pos="685"/>
          <w:tab w:val="clear" w:pos="4876"/>
          <w:tab w:val="clear" w:pos="5470"/>
          <w:tab w:val="left" w:pos="284" w:leader="none"/>
        </w:tabs>
        <w:suppressAutoHyphens w:val="true"/>
        <w:bidi w:val="0"/>
        <w:spacing w:before="90" w:after="0"/>
        <w:ind w:hanging="567" w:left="567" w:right="0"/>
        <w:jc w:val="both"/>
        <w:textAlignment w:val="baseline"/>
        <w:rPr>
          <w:rFonts w:ascii="Titillium" w:hAnsi="Titillium"/>
          <w:sz w:val="20"/>
          <w:szCs w:val="20"/>
          <w:lang w:val="pl-PL"/>
        </w:rPr>
      </w:pPr>
      <w:r>
        <w:rPr>
          <w:rStyle w:val="Strong"/>
          <w:rFonts w:eastAsia="Times-Roman;Times New Roman" w:cs="Arial" w:ascii="Titillium" w:hAnsi="Titillium"/>
          <w:b w:val="false"/>
          <w:bCs w:val="false"/>
          <w:i w:val="false"/>
          <w:iCs w:val="false"/>
          <w:strike w:val="false"/>
          <w:dstrike w:val="false"/>
          <w:color w:val="000000"/>
          <w:sz w:val="20"/>
          <w:szCs w:val="20"/>
          <w:u w:val="none"/>
          <w:effect w:val="none"/>
          <w:shd w:fill="auto" w:val="clear"/>
          <w:lang w:val="pl-PL" w:eastAsia="pl-PL" w:bidi="ar-SA"/>
        </w:rPr>
        <w:t xml:space="preserve"> </w:t>
      </w:r>
      <w:r>
        <w:rPr>
          <w:rStyle w:val="Strong"/>
          <w:rFonts w:eastAsia="Times-Roman;Times New Roman" w:cs="Arial" w:ascii="Titillium" w:hAnsi="Titillium"/>
          <w:b w:val="false"/>
          <w:bCs w:val="false"/>
          <w:i w:val="false"/>
          <w:iCs w:val="false"/>
          <w:strike w:val="false"/>
          <w:dstrike w:val="false"/>
          <w:color w:val="000000"/>
          <w:sz w:val="20"/>
          <w:szCs w:val="20"/>
          <w:u w:val="none"/>
          <w:effect w:val="none"/>
          <w:shd w:fill="auto" w:val="clear"/>
          <w:lang w:val="pl-PL" w:eastAsia="pl-PL" w:bidi="ar-SA"/>
        </w:rPr>
        <w:tab/>
        <w:t>Zakazuje się dodawania nowych, nieujętych w przedmiarze robót pozycji oraz podziału danej pozycji na więcej mniejszych np. rozbicie kilometrów – działanie takie będzie skutkować odrzuceniem oferty jako niezgodnej z warunkami zamówienia</w:t>
      </w:r>
    </w:p>
    <w:p>
      <w:pPr>
        <w:pStyle w:val="Normal"/>
        <w:widowControl w:val="false"/>
        <w:numPr>
          <w:ilvl w:val="0"/>
          <w:numId w:val="0"/>
        </w:numPr>
        <w:tabs>
          <w:tab w:val="clear" w:pos="685"/>
          <w:tab w:val="clear" w:pos="4876"/>
          <w:tab w:val="clear" w:pos="5470"/>
          <w:tab w:val="left" w:pos="284" w:leader="none"/>
        </w:tabs>
        <w:suppressAutoHyphens w:val="true"/>
        <w:bidi w:val="0"/>
        <w:spacing w:before="90" w:after="0"/>
        <w:ind w:hanging="0" w:left="283" w:right="0"/>
        <w:jc w:val="both"/>
        <w:rPr>
          <w:rFonts w:ascii="Titillium" w:hAnsi="Titillium"/>
        </w:rPr>
      </w:pPr>
      <w:r>
        <w:rPr>
          <w:rFonts w:ascii="Titillium" w:hAnsi="Titillium"/>
        </w:rPr>
      </w:r>
    </w:p>
    <w:p>
      <w:pPr>
        <w:pStyle w:val="Heading1"/>
        <w:numPr>
          <w:ilvl w:val="0"/>
          <w:numId w:val="46"/>
        </w:numPr>
        <w:jc w:val="both"/>
        <w:rPr>
          <w:rFonts w:ascii="Titillium" w:hAnsi="Titillium"/>
        </w:rPr>
      </w:pPr>
      <w:r>
        <w:rPr>
          <w:rFonts w:ascii="Titillium" w:hAnsi="Titillium"/>
        </w:rPr>
        <w:t>Czynności powiązane z badaniem ofert</w:t>
      </w:r>
    </w:p>
    <w:p>
      <w:pPr>
        <w:pStyle w:val="Standard"/>
        <w:numPr>
          <w:ilvl w:val="0"/>
          <w:numId w:val="207"/>
        </w:numPr>
        <w:tabs>
          <w:tab w:val="clear" w:pos="720"/>
          <w:tab w:val="left" w:pos="1135" w:leader="none"/>
          <w:tab w:val="left" w:pos="1275" w:leader="none"/>
        </w:tabs>
        <w:spacing w:lineRule="auto" w:line="276"/>
        <w:ind w:hanging="567" w:left="567"/>
        <w:jc w:val="both"/>
        <w:rPr>
          <w:rFonts w:ascii="Titillium" w:hAnsi="Titillium"/>
        </w:rPr>
      </w:pPr>
      <w:r>
        <w:rPr>
          <w:rFonts w:ascii="Titillium" w:hAnsi="Titillium"/>
        </w:rPr>
        <w:t>Zamawiający poprawia w ofercie omyłki, o których mowa w art. 223 ust. 2 ustawy Pzp, tj.:</w:t>
      </w:r>
    </w:p>
    <w:p>
      <w:pPr>
        <w:pStyle w:val="Standard"/>
        <w:numPr>
          <w:ilvl w:val="0"/>
          <w:numId w:val="208"/>
        </w:numPr>
        <w:tabs>
          <w:tab w:val="clear" w:pos="720"/>
          <w:tab w:val="left" w:pos="1854" w:leader="none"/>
          <w:tab w:val="left" w:pos="3218" w:leader="none"/>
        </w:tabs>
        <w:spacing w:lineRule="auto" w:line="276"/>
        <w:ind w:hanging="567" w:left="1134"/>
        <w:jc w:val="both"/>
        <w:rPr>
          <w:rFonts w:ascii="Titillium" w:hAnsi="Titillium"/>
        </w:rPr>
      </w:pPr>
      <w:r>
        <w:rPr>
          <w:rFonts w:ascii="Titillium" w:hAnsi="Titillium"/>
        </w:rPr>
        <w:t>oczywiste omyłki pisarskie polegające w szczególności na niezamierzonym przekręceniu, opuszczeniu wyrazu, błędzie logicznym, pisarskim lub mające postać innej niezamierzonej niedokładności,</w:t>
      </w:r>
    </w:p>
    <w:p>
      <w:pPr>
        <w:pStyle w:val="Standard"/>
        <w:numPr>
          <w:ilvl w:val="0"/>
          <w:numId w:val="209"/>
        </w:numPr>
        <w:tabs>
          <w:tab w:val="clear" w:pos="720"/>
          <w:tab w:val="left" w:pos="1854" w:leader="none"/>
          <w:tab w:val="left" w:pos="3218" w:leader="none"/>
        </w:tabs>
        <w:spacing w:lineRule="auto" w:line="276"/>
        <w:ind w:hanging="567" w:left="1134"/>
        <w:jc w:val="both"/>
        <w:rPr>
          <w:rFonts w:ascii="Titillium" w:hAnsi="Titillium"/>
        </w:rPr>
      </w:pPr>
      <w:r>
        <w:rPr>
          <w:rFonts w:ascii="Titillium" w:hAnsi="Titillium"/>
        </w:rPr>
        <w:t>oczywiste omyłki rachunkowe polegające w szczególności na niewłaściwym dokonaniu działań arytmetycznych np. w kosztorysie ofertowym,</w:t>
      </w:r>
    </w:p>
    <w:p>
      <w:pPr>
        <w:pStyle w:val="Standard"/>
        <w:numPr>
          <w:ilvl w:val="0"/>
          <w:numId w:val="210"/>
        </w:numPr>
        <w:tabs>
          <w:tab w:val="clear" w:pos="720"/>
          <w:tab w:val="left" w:pos="1854" w:leader="none"/>
          <w:tab w:val="left" w:pos="3218" w:leader="none"/>
        </w:tabs>
        <w:spacing w:lineRule="auto" w:line="276"/>
        <w:ind w:hanging="567" w:left="1134"/>
        <w:jc w:val="both"/>
        <w:rPr>
          <w:rFonts w:ascii="Titillium" w:hAnsi="Titillium"/>
        </w:rPr>
      </w:pPr>
      <w:r>
        <w:rPr>
          <w:rFonts w:ascii="Titillium" w:hAnsi="Titillium"/>
        </w:rPr>
        <w:t>omyłki, o których mowa w przepisie art. 223 ust. 2 pkt 3 ustawy Pzp z uwagi na wielość                             i złożoność sytuacji, w których mogą wystąpić, ich poprawa będzie dokonywana zgodnie z</w:t>
      </w:r>
      <w:r>
        <w:rPr>
          <w:rFonts w:cs="Calibri" w:ascii="Titillium" w:hAnsi="Titillium"/>
        </w:rPr>
        <w:t> </w:t>
      </w:r>
      <w:r>
        <w:rPr>
          <w:rFonts w:ascii="Titillium" w:hAnsi="Titillium"/>
        </w:rPr>
        <w:t>opini</w:t>
      </w:r>
      <w:r>
        <w:rPr>
          <w:rFonts w:cs="Titillium" w:ascii="Titillium" w:hAnsi="Titillium"/>
        </w:rPr>
        <w:t>ą</w:t>
      </w:r>
      <w:r>
        <w:rPr>
          <w:rFonts w:ascii="Titillium" w:hAnsi="Titillium"/>
        </w:rPr>
        <w:t xml:space="preserve"> Urz</w:t>
      </w:r>
      <w:r>
        <w:rPr>
          <w:rFonts w:cs="Titillium" w:ascii="Titillium" w:hAnsi="Titillium"/>
        </w:rPr>
        <w:t>ę</w:t>
      </w:r>
      <w:r>
        <w:rPr>
          <w:rFonts w:ascii="Titillium" w:hAnsi="Titillium"/>
        </w:rPr>
        <w:t>du Zam</w:t>
      </w:r>
      <w:r>
        <w:rPr>
          <w:rFonts w:cs="Titillium" w:ascii="Titillium" w:hAnsi="Titillium"/>
        </w:rPr>
        <w:t>ó</w:t>
      </w:r>
      <w:r>
        <w:rPr>
          <w:rFonts w:ascii="Titillium" w:hAnsi="Titillium"/>
        </w:rPr>
        <w:t>wie</w:t>
      </w:r>
      <w:r>
        <w:rPr>
          <w:rFonts w:cs="Titillium" w:ascii="Titillium" w:hAnsi="Titillium"/>
        </w:rPr>
        <w:t>ń</w:t>
      </w:r>
      <w:r>
        <w:rPr>
          <w:rFonts w:ascii="Titillium" w:hAnsi="Titillium"/>
        </w:rPr>
        <w:t xml:space="preserve"> Publicznych oraz orzecznictwem Krajowej Izby Odwo</w:t>
      </w:r>
      <w:r>
        <w:rPr>
          <w:rFonts w:cs="Titillium" w:ascii="Titillium" w:hAnsi="Titillium"/>
        </w:rPr>
        <w:t>ł</w:t>
      </w:r>
      <w:r>
        <w:rPr>
          <w:rFonts w:ascii="Titillium" w:hAnsi="Titillium"/>
        </w:rPr>
        <w:t>awczej.</w:t>
      </w:r>
    </w:p>
    <w:p>
      <w:pPr>
        <w:pStyle w:val="Standard"/>
        <w:numPr>
          <w:ilvl w:val="0"/>
          <w:numId w:val="211"/>
        </w:numPr>
        <w:tabs>
          <w:tab w:val="clear" w:pos="720"/>
          <w:tab w:val="left" w:pos="1135" w:leader="none"/>
        </w:tabs>
        <w:spacing w:lineRule="auto" w:line="276"/>
        <w:ind w:hanging="567" w:left="567"/>
        <w:jc w:val="both"/>
        <w:rPr>
          <w:rFonts w:ascii="Titillium" w:hAnsi="Titillium"/>
        </w:rPr>
      </w:pPr>
      <w:r>
        <w:rPr>
          <w:rFonts w:ascii="Titillium" w:hAnsi="Titillium"/>
          <w:b/>
        </w:rPr>
        <w:t>Rażąco niska cena:</w:t>
      </w:r>
      <w:r>
        <w:rPr>
          <w:rFonts w:ascii="Titillium" w:hAnsi="Titillium"/>
        </w:rPr>
        <w:t xml:space="preserve"> jeżeli zaoferowana cena lub koszt, lub ich istotne części składowe, wydają się rażąco niskie w stosunku do przedmiotu zamówienia lub budzą wątpliwości Zamawiającego co do możliwości wykonania przedmiotu zamówienia zgodnie z wymaganiami określonymi w</w:t>
      </w:r>
      <w:r>
        <w:rPr>
          <w:rFonts w:cs="Calibri" w:ascii="Titillium" w:hAnsi="Titillium"/>
        </w:rPr>
        <w:t> </w:t>
      </w:r>
      <w:r>
        <w:rPr>
          <w:rFonts w:ascii="Titillium" w:hAnsi="Titillium"/>
        </w:rPr>
        <w:t>dokumentach zam</w:t>
      </w:r>
      <w:r>
        <w:rPr>
          <w:rFonts w:cs="Titillium" w:ascii="Titillium" w:hAnsi="Titillium"/>
        </w:rPr>
        <w:t>ó</w:t>
      </w:r>
      <w:r>
        <w:rPr>
          <w:rFonts w:ascii="Titillium" w:hAnsi="Titillium"/>
        </w:rPr>
        <w:t>wienia lub wynikaj</w:t>
      </w:r>
      <w:r>
        <w:rPr>
          <w:rFonts w:cs="Titillium" w:ascii="Titillium" w:hAnsi="Titillium"/>
        </w:rPr>
        <w:t>ą</w:t>
      </w:r>
      <w:r>
        <w:rPr>
          <w:rFonts w:ascii="Titillium" w:hAnsi="Titillium"/>
        </w:rPr>
        <w:t>cymi z odr</w:t>
      </w:r>
      <w:r>
        <w:rPr>
          <w:rFonts w:cs="Titillium" w:ascii="Titillium" w:hAnsi="Titillium"/>
        </w:rPr>
        <w:t>ę</w:t>
      </w:r>
      <w:r>
        <w:rPr>
          <w:rFonts w:ascii="Titillium" w:hAnsi="Titillium"/>
        </w:rPr>
        <w:t>bnych przepis</w:t>
      </w:r>
      <w:r>
        <w:rPr>
          <w:rFonts w:cs="Titillium" w:ascii="Titillium" w:hAnsi="Titillium"/>
        </w:rPr>
        <w:t>ó</w:t>
      </w:r>
      <w:r>
        <w:rPr>
          <w:rFonts w:ascii="Titillium" w:hAnsi="Titillium"/>
        </w:rPr>
        <w:t>w, Zamawiający żąda od Wykonawcy wyjaśnień, w tym złożenia dowodów w zakresie wyliczenia ceny lub kosztu, lub ich istotnych części składowych.</w:t>
      </w:r>
    </w:p>
    <w:p>
      <w:pPr>
        <w:pStyle w:val="Standard"/>
        <w:numPr>
          <w:ilvl w:val="0"/>
          <w:numId w:val="212"/>
        </w:numPr>
        <w:tabs>
          <w:tab w:val="clear" w:pos="720"/>
          <w:tab w:val="left" w:pos="1135" w:leader="none"/>
        </w:tabs>
        <w:spacing w:lineRule="auto" w:line="276"/>
        <w:ind w:hanging="567" w:left="567"/>
        <w:jc w:val="both"/>
        <w:rPr>
          <w:rFonts w:ascii="Titillium" w:hAnsi="Titillium"/>
        </w:rPr>
      </w:pPr>
      <w:r>
        <w:rPr>
          <w:rFonts w:ascii="Titillium" w:hAnsi="Titillium"/>
        </w:rPr>
        <w:t>W toku dokonywania badania złożonych ofert Zamawiający:</w:t>
      </w:r>
    </w:p>
    <w:p>
      <w:pPr>
        <w:pStyle w:val="Standard"/>
        <w:numPr>
          <w:ilvl w:val="0"/>
          <w:numId w:val="35"/>
        </w:numPr>
        <w:spacing w:lineRule="auto" w:line="276"/>
        <w:ind w:hanging="567" w:left="1134"/>
        <w:jc w:val="both"/>
        <w:rPr>
          <w:rFonts w:ascii="Titillium" w:hAnsi="Titillium"/>
        </w:rPr>
      </w:pPr>
      <w:r>
        <w:rPr>
          <w:rFonts w:ascii="Titillium" w:hAnsi="Titillium"/>
        </w:rPr>
        <w:t>może żądać od Wykonawców wyjaśnień dotyczących treści złożonych ofert,</w:t>
      </w:r>
    </w:p>
    <w:p>
      <w:pPr>
        <w:pStyle w:val="Standard"/>
        <w:numPr>
          <w:ilvl w:val="0"/>
          <w:numId w:val="35"/>
        </w:numPr>
        <w:spacing w:lineRule="auto" w:line="276"/>
        <w:ind w:hanging="567" w:left="1134"/>
        <w:jc w:val="both"/>
        <w:rPr>
          <w:rFonts w:ascii="Titillium" w:hAnsi="Titillium"/>
        </w:rPr>
      </w:pPr>
      <w:r>
        <w:rPr>
          <w:rFonts w:ascii="Titillium" w:hAnsi="Titillium"/>
        </w:rPr>
        <w:t>żąda wyjaśnień dotyczących przedmiotowych środków dowodowych lub innych składanych dokumentów lub oświadczeń.</w:t>
      </w:r>
    </w:p>
    <w:p>
      <w:pPr>
        <w:pStyle w:val="Standard"/>
        <w:numPr>
          <w:ilvl w:val="0"/>
          <w:numId w:val="213"/>
        </w:numPr>
        <w:tabs>
          <w:tab w:val="clear" w:pos="720"/>
          <w:tab w:val="left" w:pos="1135" w:leader="none"/>
          <w:tab w:val="left" w:pos="1275" w:leader="none"/>
        </w:tabs>
        <w:spacing w:lineRule="auto" w:line="276"/>
        <w:ind w:hanging="567" w:left="567"/>
        <w:jc w:val="both"/>
        <w:rPr>
          <w:rFonts w:ascii="Titillium" w:hAnsi="Titillium"/>
        </w:rPr>
      </w:pPr>
      <w:r>
        <w:rPr>
          <w:rFonts w:ascii="Titillium" w:hAnsi="Titillium"/>
          <w:color w:val="000000"/>
        </w:rPr>
        <w:t>Zamawiający wzywa  w wyznaczonym przez siebie terminie do złożenia, uzupełnienia lub poprawienia oświadczenia, o którym mowa w art. 125 ust. 1 ustawy Pzp, podmiotowych środków dowodowych, innych dokumentów lub oświadczeń składanych w postępowaniu lub gdy są one niekompletne lub zawierają błędy, na zasadach określonych w przepisie art. 128 ust. 1 ustawy Pzp.</w:t>
      </w:r>
    </w:p>
    <w:p>
      <w:pPr>
        <w:pStyle w:val="Standard"/>
        <w:numPr>
          <w:ilvl w:val="0"/>
          <w:numId w:val="214"/>
        </w:numPr>
        <w:tabs>
          <w:tab w:val="clear" w:pos="720"/>
          <w:tab w:val="left" w:pos="1135" w:leader="none"/>
          <w:tab w:val="left" w:pos="1275" w:leader="none"/>
        </w:tabs>
        <w:spacing w:lineRule="auto" w:line="276"/>
        <w:ind w:hanging="567" w:left="567"/>
        <w:jc w:val="both"/>
        <w:rPr>
          <w:rFonts w:ascii="Titillium" w:hAnsi="Titillium"/>
        </w:rPr>
      </w:pPr>
      <w:r>
        <w:rPr>
          <w:rFonts w:ascii="Titillium" w:hAnsi="Titillium"/>
        </w:rPr>
        <w:t>Zamawiający odrzuca ofertę, jeżeli zajdą przesłanki określone w art. 226 ustawy Pzp.</w:t>
      </w:r>
    </w:p>
    <w:p>
      <w:pPr>
        <w:pStyle w:val="Standard"/>
        <w:spacing w:lineRule="auto" w:line="276"/>
        <w:jc w:val="both"/>
        <w:rPr>
          <w:rFonts w:ascii="Titillium" w:hAnsi="Titillium"/>
        </w:rPr>
      </w:pPr>
      <w:r>
        <w:rPr>
          <w:rFonts w:ascii="Titillium" w:hAnsi="Titillium"/>
        </w:rPr>
      </w:r>
    </w:p>
    <w:p>
      <w:pPr>
        <w:pStyle w:val="Heading1"/>
        <w:numPr>
          <w:ilvl w:val="0"/>
          <w:numId w:val="46"/>
        </w:numPr>
        <w:jc w:val="both"/>
        <w:rPr>
          <w:rFonts w:ascii="Titillium" w:hAnsi="Titillium"/>
        </w:rPr>
      </w:pPr>
      <w:r>
        <w:rPr>
          <w:rFonts w:ascii="Titillium" w:hAnsi="Titillium"/>
        </w:rPr>
        <w:t>Opis kryteriów, którymi Zamawiający będzie się kierował przy wyborze oferty, wraz z podaniem wag tych kryteriów i sposobu oceny ofert</w:t>
      </w:r>
    </w:p>
    <w:p>
      <w:pPr>
        <w:pStyle w:val="Standard1"/>
        <w:numPr>
          <w:ilvl w:val="6"/>
          <w:numId w:val="6"/>
        </w:numPr>
        <w:tabs>
          <w:tab w:val="clear" w:pos="720"/>
          <w:tab w:val="left" w:pos="1135" w:leader="none"/>
        </w:tabs>
        <w:spacing w:lineRule="auto" w:line="276"/>
        <w:ind w:hanging="567" w:left="567"/>
        <w:jc w:val="both"/>
        <w:rPr>
          <w:rFonts w:ascii="Titillium" w:hAnsi="Titillium"/>
        </w:rPr>
      </w:pPr>
      <w:r>
        <w:rPr>
          <w:rFonts w:ascii="Titillium" w:hAnsi="Titillium"/>
          <w:sz w:val="20"/>
        </w:rPr>
        <w:t>Ocenie podlegały będą oferty niepodlegające odrzuceniu.</w:t>
      </w:r>
    </w:p>
    <w:p>
      <w:pPr>
        <w:pStyle w:val="Standard1"/>
        <w:numPr>
          <w:ilvl w:val="6"/>
          <w:numId w:val="6"/>
        </w:numPr>
        <w:tabs>
          <w:tab w:val="clear" w:pos="720"/>
          <w:tab w:val="left" w:pos="1135" w:leader="none"/>
        </w:tabs>
        <w:spacing w:lineRule="auto" w:line="276"/>
        <w:ind w:hanging="567" w:left="567"/>
        <w:jc w:val="both"/>
        <w:rPr>
          <w:rFonts w:ascii="Titillium" w:hAnsi="Titillium"/>
        </w:rPr>
      </w:pPr>
      <w:r>
        <w:rPr>
          <w:rFonts w:ascii="Titillium" w:hAnsi="Titillium"/>
          <w:sz w:val="20"/>
        </w:rPr>
        <w:t>Ustala się następujące kryteria oceny ofert i ich znaczenie:</w:t>
      </w:r>
    </w:p>
    <w:p>
      <w:pPr>
        <w:pStyle w:val="Standard1"/>
        <w:tabs>
          <w:tab w:val="clear" w:pos="720"/>
          <w:tab w:val="left" w:pos="1135" w:leader="none"/>
        </w:tabs>
        <w:spacing w:lineRule="auto" w:line="276"/>
        <w:ind w:hanging="567" w:left="567"/>
        <w:jc w:val="both"/>
        <w:rPr>
          <w:b/>
          <w:bCs/>
        </w:rPr>
      </w:pPr>
      <w:r>
        <w:rPr>
          <w:rFonts w:ascii="Titillium" w:hAnsi="Titillium"/>
          <w:b/>
          <w:bCs/>
          <w:sz w:val="20"/>
        </w:rPr>
        <w:tab/>
        <w:t xml:space="preserve">dla zadania nr 1 </w:t>
      </w:r>
    </w:p>
    <w:p>
      <w:pPr>
        <w:pStyle w:val="Standard1"/>
        <w:numPr>
          <w:ilvl w:val="0"/>
          <w:numId w:val="36"/>
        </w:numPr>
        <w:tabs>
          <w:tab w:val="clear" w:pos="720"/>
          <w:tab w:val="left" w:pos="1702" w:leader="none"/>
        </w:tabs>
        <w:spacing w:lineRule="auto" w:line="276"/>
        <w:ind w:hanging="567" w:left="1134"/>
        <w:jc w:val="both"/>
        <w:rPr>
          <w:rFonts w:ascii="Titillium" w:hAnsi="Titillium"/>
        </w:rPr>
      </w:pPr>
      <w:r>
        <w:rPr>
          <w:rFonts w:ascii="Titillium" w:hAnsi="Titillium"/>
          <w:sz w:val="20"/>
        </w:rPr>
        <w:t>cena  – znaczenie 60%,</w:t>
      </w:r>
    </w:p>
    <w:p>
      <w:pPr>
        <w:pStyle w:val="Standard1"/>
        <w:numPr>
          <w:ilvl w:val="0"/>
          <w:numId w:val="36"/>
        </w:numPr>
        <w:tabs>
          <w:tab w:val="clear" w:pos="720"/>
          <w:tab w:val="left" w:pos="1702" w:leader="none"/>
        </w:tabs>
        <w:spacing w:lineRule="auto" w:line="276"/>
        <w:ind w:hanging="567" w:left="1134"/>
        <w:jc w:val="both"/>
        <w:rPr>
          <w:rFonts w:ascii="Titillium" w:hAnsi="Titillium"/>
        </w:rPr>
      </w:pPr>
      <w:r>
        <w:rPr>
          <w:rFonts w:ascii="Titillium" w:hAnsi="Titillium"/>
          <w:sz w:val="20"/>
        </w:rPr>
        <w:t>okres gwarancji - znaczenie 40%</w:t>
      </w:r>
    </w:p>
    <w:p>
      <w:pPr>
        <w:pStyle w:val="Standard1"/>
        <w:tabs>
          <w:tab w:val="clear" w:pos="720"/>
          <w:tab w:val="left" w:pos="1135" w:leader="none"/>
        </w:tabs>
        <w:spacing w:lineRule="auto" w:line="276"/>
        <w:ind w:hanging="567" w:left="567"/>
        <w:jc w:val="both"/>
        <w:rPr>
          <w:rFonts w:ascii="Titillium" w:hAnsi="Titillium"/>
        </w:rPr>
      </w:pPr>
      <w:r>
        <w:rPr>
          <w:rFonts w:ascii="Titillium" w:hAnsi="Titillium"/>
          <w:sz w:val="20"/>
        </w:rPr>
        <w:tab/>
      </w:r>
      <w:r>
        <w:rPr>
          <w:rFonts w:ascii="Titillium" w:hAnsi="Titillium"/>
          <w:b/>
          <w:bCs/>
          <w:sz w:val="20"/>
        </w:rPr>
        <w:t>dla zadania nr 2</w:t>
      </w:r>
    </w:p>
    <w:p>
      <w:pPr>
        <w:pStyle w:val="Standard1"/>
        <w:numPr>
          <w:ilvl w:val="0"/>
          <w:numId w:val="215"/>
        </w:numPr>
        <w:tabs>
          <w:tab w:val="clear" w:pos="720"/>
          <w:tab w:val="left" w:pos="1702" w:leader="none"/>
        </w:tabs>
        <w:spacing w:lineRule="auto" w:line="276"/>
        <w:ind w:hanging="567" w:left="1134"/>
        <w:jc w:val="both"/>
        <w:rPr>
          <w:rFonts w:ascii="Titillium" w:hAnsi="Titillium"/>
        </w:rPr>
      </w:pPr>
      <w:r>
        <w:rPr>
          <w:rFonts w:ascii="Titillium" w:hAnsi="Titillium"/>
          <w:sz w:val="20"/>
        </w:rPr>
        <w:t>cena  – znaczenie 90%,</w:t>
      </w:r>
    </w:p>
    <w:p>
      <w:pPr>
        <w:pStyle w:val="Standard1"/>
        <w:numPr>
          <w:ilvl w:val="0"/>
          <w:numId w:val="36"/>
        </w:numPr>
        <w:tabs>
          <w:tab w:val="clear" w:pos="720"/>
          <w:tab w:val="left" w:pos="1702" w:leader="none"/>
        </w:tabs>
        <w:spacing w:lineRule="auto" w:line="276"/>
        <w:ind w:hanging="567" w:left="1134"/>
        <w:jc w:val="both"/>
        <w:rPr>
          <w:rFonts w:ascii="Titillium" w:hAnsi="Titillium"/>
        </w:rPr>
      </w:pPr>
      <w:r>
        <w:rPr>
          <w:rFonts w:ascii="Titillium" w:hAnsi="Titillium"/>
          <w:sz w:val="20"/>
        </w:rPr>
        <w:t>okres gwarancji – znaczenie 10%.</w:t>
      </w:r>
    </w:p>
    <w:p>
      <w:pPr>
        <w:pStyle w:val="Standard"/>
        <w:numPr>
          <w:ilvl w:val="0"/>
          <w:numId w:val="216"/>
        </w:numPr>
        <w:tabs>
          <w:tab w:val="clear" w:pos="720"/>
          <w:tab w:val="left" w:pos="1135" w:leader="none"/>
        </w:tabs>
        <w:spacing w:lineRule="auto" w:line="276"/>
        <w:ind w:hanging="567" w:left="567"/>
        <w:jc w:val="both"/>
        <w:rPr>
          <w:rFonts w:ascii="Titillium" w:hAnsi="Titillium"/>
        </w:rPr>
      </w:pPr>
      <w:r>
        <w:rPr>
          <w:rFonts w:ascii="Titillium" w:hAnsi="Titillium"/>
        </w:rPr>
        <w:t>Ustala się następujący sposób oceny ofert:</w:t>
      </w:r>
    </w:p>
    <w:p>
      <w:pPr>
        <w:pStyle w:val="Standard"/>
        <w:tabs>
          <w:tab w:val="clear" w:pos="720"/>
          <w:tab w:val="left" w:pos="1135" w:leader="none"/>
        </w:tabs>
        <w:spacing w:lineRule="auto" w:line="276"/>
        <w:ind w:hanging="567" w:left="567"/>
        <w:jc w:val="both"/>
        <w:rPr>
          <w:rFonts w:ascii="Titillium" w:hAnsi="Titillium"/>
        </w:rPr>
      </w:pPr>
      <w:r>
        <w:rPr>
          <w:rFonts w:ascii="Titillium" w:hAnsi="Titillium"/>
        </w:rPr>
        <w:tab/>
        <w:t>oferty będą punktowane wg następującego wzoru:</w:t>
      </w:r>
    </w:p>
    <w:p>
      <w:pPr>
        <w:pStyle w:val="Standard"/>
        <w:tabs>
          <w:tab w:val="clear" w:pos="720"/>
          <w:tab w:val="left" w:pos="993" w:leader="none"/>
        </w:tabs>
        <w:spacing w:lineRule="auto" w:line="276"/>
        <w:ind w:left="567"/>
        <w:jc w:val="both"/>
        <w:rPr>
          <w:rFonts w:ascii="Titillium" w:hAnsi="Titillium"/>
        </w:rPr>
      </w:pPr>
      <w:r>
        <w:rPr>
          <w:rFonts w:ascii="Titillium" w:hAnsi="Titillium"/>
        </w:rPr>
        <w:t>L =  C + G</w:t>
      </w:r>
    </w:p>
    <w:p>
      <w:pPr>
        <w:pStyle w:val="Textbody"/>
        <w:spacing w:lineRule="auto" w:line="276"/>
        <w:ind w:left="567"/>
        <w:jc w:val="both"/>
        <w:rPr>
          <w:rFonts w:ascii="Titillium" w:hAnsi="Titillium"/>
        </w:rPr>
      </w:pPr>
      <w:r>
        <w:rPr>
          <w:rFonts w:ascii="Titillium" w:hAnsi="Titillium"/>
          <w:sz w:val="20"/>
        </w:rPr>
        <w:t>gdzie :</w:t>
      </w:r>
    </w:p>
    <w:p>
      <w:pPr>
        <w:pStyle w:val="Standard"/>
        <w:spacing w:lineRule="auto" w:line="276"/>
        <w:ind w:left="567"/>
        <w:jc w:val="both"/>
        <w:rPr>
          <w:rFonts w:ascii="Titillium" w:hAnsi="Titillium"/>
        </w:rPr>
      </w:pPr>
      <w:r>
        <w:rPr>
          <w:rFonts w:ascii="Titillium" w:hAnsi="Titillium"/>
        </w:rPr>
        <w:t>L- liczba wszystkich punktów uzyskanych przez badaną ofertę,</w:t>
      </w:r>
    </w:p>
    <w:p>
      <w:pPr>
        <w:pStyle w:val="Standard"/>
        <w:spacing w:lineRule="auto" w:line="276"/>
        <w:ind w:left="567"/>
        <w:jc w:val="both"/>
        <w:rPr>
          <w:rFonts w:ascii="Titillium" w:hAnsi="Titillium"/>
        </w:rPr>
      </w:pPr>
      <w:r>
        <w:rPr>
          <w:rFonts w:ascii="Titillium" w:hAnsi="Titillium"/>
        </w:rPr>
        <w:t>C- liczba punktów uzyskanych w kryterium cena,</w:t>
      </w:r>
    </w:p>
    <w:p>
      <w:pPr>
        <w:pStyle w:val="Standard"/>
        <w:spacing w:lineRule="auto" w:line="276"/>
        <w:ind w:left="567"/>
        <w:jc w:val="both"/>
        <w:rPr>
          <w:rFonts w:ascii="Titillium" w:hAnsi="Titillium"/>
        </w:rPr>
      </w:pPr>
      <w:r>
        <w:rPr>
          <w:rFonts w:ascii="Titillium" w:hAnsi="Titillium"/>
        </w:rPr>
        <w:t>G- liczba punktów uzyskanych w kryterium okres gwarancji.</w:t>
      </w:r>
    </w:p>
    <w:p>
      <w:pPr>
        <w:pStyle w:val="Standard"/>
        <w:spacing w:lineRule="auto" w:line="276"/>
        <w:ind w:left="426"/>
        <w:jc w:val="both"/>
        <w:rPr>
          <w:rFonts w:ascii="Titillium" w:hAnsi="Titillium"/>
        </w:rPr>
      </w:pPr>
      <w:r>
        <w:rPr>
          <w:rFonts w:ascii="Titillium" w:hAnsi="Titillium"/>
        </w:rPr>
      </w:r>
    </w:p>
    <w:p>
      <w:pPr>
        <w:pStyle w:val="Tekstpodstawowywcity21"/>
        <w:numPr>
          <w:ilvl w:val="0"/>
          <w:numId w:val="37"/>
        </w:numPr>
        <w:tabs>
          <w:tab w:val="clear" w:pos="720"/>
          <w:tab w:val="left" w:pos="1135" w:leader="none"/>
        </w:tabs>
        <w:spacing w:lineRule="auto" w:line="276" w:before="0" w:after="0"/>
        <w:ind w:hanging="567" w:left="1134"/>
        <w:jc w:val="both"/>
        <w:rPr>
          <w:rFonts w:ascii="Titillium" w:hAnsi="Titillium"/>
        </w:rPr>
      </w:pPr>
      <w:r>
        <w:rPr>
          <w:rFonts w:ascii="Titillium" w:hAnsi="Titillium"/>
        </w:rPr>
        <w:t xml:space="preserve">oferty w kryterium C (ceny) będą oceniane według następującego wzoru:  </w:t>
      </w:r>
    </w:p>
    <w:p>
      <w:pPr>
        <w:pStyle w:val="Tekstpodstawowywcity21"/>
        <w:tabs>
          <w:tab w:val="clear" w:pos="720"/>
          <w:tab w:val="left" w:pos="1135" w:leader="none"/>
        </w:tabs>
        <w:spacing w:lineRule="auto" w:line="276" w:before="0" w:after="0"/>
        <w:ind w:hanging="567" w:left="1134"/>
        <w:jc w:val="both"/>
        <w:rPr>
          <w:rFonts w:ascii="Titillium" w:hAnsi="Titillium"/>
        </w:rPr>
      </w:pPr>
      <w:r>
        <w:rPr>
          <w:rFonts w:ascii="Titillium" w:hAnsi="Titillium"/>
        </w:rPr>
      </w:r>
    </w:p>
    <w:p>
      <w:pPr>
        <w:pStyle w:val="Tekstpodstawowywcity21"/>
        <w:tabs>
          <w:tab w:val="clear" w:pos="720"/>
          <w:tab w:val="left" w:pos="1135" w:leader="none"/>
        </w:tabs>
        <w:spacing w:lineRule="auto" w:line="276" w:before="0" w:after="0"/>
        <w:ind w:hanging="567" w:left="1134"/>
        <w:jc w:val="both"/>
        <w:rPr>
          <w:b/>
          <w:bCs/>
        </w:rPr>
      </w:pPr>
      <w:r>
        <w:rPr>
          <w:rFonts w:ascii="Titillium" w:hAnsi="Titillium"/>
          <w:b/>
          <w:bCs/>
        </w:rPr>
        <w:t>Dla zadania nr 1</w:t>
      </w:r>
    </w:p>
    <w:p>
      <w:pPr>
        <w:pStyle w:val="Tekstpodstawowywcity21"/>
        <w:tabs>
          <w:tab w:val="clear" w:pos="720"/>
          <w:tab w:val="left" w:pos="1135" w:leader="none"/>
        </w:tabs>
        <w:spacing w:lineRule="auto" w:line="276" w:before="0" w:after="0"/>
        <w:ind w:hanging="567" w:left="1134"/>
        <w:jc w:val="both"/>
        <w:rPr>
          <w:rFonts w:ascii="Titillium" w:hAnsi="Titillium"/>
        </w:rPr>
      </w:pPr>
      <w:r>
        <w:rPr>
          <w:rFonts w:ascii="Titillium" w:hAnsi="Titillium"/>
        </w:rPr>
      </w:r>
    </w:p>
    <w:p>
      <w:pPr>
        <w:pStyle w:val="Standard"/>
        <w:spacing w:lineRule="auto" w:line="276"/>
        <w:ind w:left="284"/>
        <w:jc w:val="both"/>
        <w:rPr>
          <w:rFonts w:ascii="Titillium" w:hAnsi="Titillium"/>
        </w:rPr>
      </w:pPr>
      <w:r>
        <w:rPr>
          <w:rFonts w:ascii="Titillium" w:hAnsi="Titillium"/>
        </w:rPr>
        <w:t xml:space="preserve">                 </w:t>
      </w:r>
      <w:r>
        <w:rPr>
          <w:rFonts w:ascii="Titillium" w:hAnsi="Titillium"/>
        </w:rPr>
        <w:t>cena najniższa</w:t>
      </w:r>
    </w:p>
    <w:p>
      <w:pPr>
        <w:pStyle w:val="Standard"/>
        <w:spacing w:lineRule="auto" w:line="276"/>
        <w:ind w:left="426"/>
        <w:jc w:val="both"/>
        <w:rPr>
          <w:rFonts w:ascii="Titillium" w:hAnsi="Titillium"/>
        </w:rPr>
      </w:pPr>
      <w:r>
        <w:rPr>
          <w:rFonts w:ascii="Titillium" w:hAnsi="Titillium"/>
        </w:rPr>
        <w:t>C =   --------------------------    x  100 x 0,60   =   liczba punktów dla danej oferty w kryterium ceny</w:t>
      </w:r>
    </w:p>
    <w:p>
      <w:pPr>
        <w:pStyle w:val="Standard"/>
        <w:spacing w:lineRule="auto" w:line="276"/>
        <w:ind w:left="284"/>
        <w:jc w:val="both"/>
        <w:rPr>
          <w:rFonts w:ascii="Titillium" w:hAnsi="Titillium"/>
        </w:rPr>
      </w:pPr>
      <w:r>
        <w:rPr>
          <w:rFonts w:ascii="Titillium" w:hAnsi="Titillium"/>
        </w:rPr>
        <w:t xml:space="preserve">                 </w:t>
      </w:r>
      <w:r>
        <w:rPr>
          <w:rFonts w:ascii="Titillium" w:hAnsi="Titillium"/>
        </w:rPr>
        <w:t>cena danej oferty</w:t>
      </w:r>
    </w:p>
    <w:p>
      <w:pPr>
        <w:pStyle w:val="Standard"/>
        <w:spacing w:lineRule="auto" w:line="276"/>
        <w:ind w:left="284"/>
        <w:jc w:val="both"/>
        <w:rPr>
          <w:rFonts w:ascii="Times New Roman" w:hAnsi="Times New Roman"/>
        </w:rPr>
      </w:pPr>
      <w:r>
        <w:rPr/>
      </w:r>
    </w:p>
    <w:p>
      <w:pPr>
        <w:pStyle w:val="Standard"/>
        <w:spacing w:lineRule="auto" w:line="276"/>
        <w:ind w:left="284"/>
        <w:jc w:val="both"/>
        <w:rPr>
          <w:rFonts w:ascii="Titillium" w:hAnsi="Titillium"/>
        </w:rPr>
      </w:pPr>
      <w:r>
        <w:rPr>
          <w:rFonts w:ascii="Titillium" w:hAnsi="Titillium"/>
        </w:rPr>
        <w:t>Oferta z najniższą ceną w kryterium ceny uzyskuje 60 pkt</w:t>
      </w:r>
    </w:p>
    <w:p>
      <w:pPr>
        <w:pStyle w:val="Standard"/>
        <w:spacing w:lineRule="auto" w:line="276"/>
        <w:ind w:left="284"/>
        <w:jc w:val="both"/>
        <w:rPr>
          <w:rFonts w:ascii="Titillium" w:hAnsi="Titillium"/>
        </w:rPr>
      </w:pPr>
      <w:r>
        <w:rPr>
          <w:rFonts w:ascii="Titillium" w:hAnsi="Titillium"/>
        </w:rPr>
        <w:t xml:space="preserve">             </w:t>
      </w:r>
    </w:p>
    <w:p>
      <w:pPr>
        <w:pStyle w:val="Standard"/>
        <w:spacing w:lineRule="auto" w:line="276"/>
        <w:ind w:left="284"/>
        <w:jc w:val="both"/>
        <w:rPr>
          <w:b/>
          <w:bCs/>
        </w:rPr>
      </w:pPr>
      <w:r>
        <w:rPr>
          <w:rFonts w:ascii="Titillium" w:hAnsi="Titillium"/>
          <w:b/>
          <w:bCs/>
        </w:rPr>
        <w:t xml:space="preserve">Dla zadania nr 2 </w:t>
      </w:r>
    </w:p>
    <w:p>
      <w:pPr>
        <w:pStyle w:val="Standard"/>
        <w:spacing w:lineRule="auto" w:line="276"/>
        <w:ind w:left="284"/>
        <w:jc w:val="both"/>
        <w:rPr>
          <w:rFonts w:ascii="Titillium" w:hAnsi="Titillium"/>
        </w:rPr>
      </w:pPr>
      <w:r>
        <w:rPr>
          <w:rFonts w:ascii="Titillium" w:hAnsi="Titillium"/>
        </w:rPr>
      </w:r>
    </w:p>
    <w:p>
      <w:pPr>
        <w:pStyle w:val="Standard"/>
        <w:spacing w:lineRule="auto" w:line="276"/>
        <w:ind w:left="284"/>
        <w:jc w:val="both"/>
        <w:rPr>
          <w:rFonts w:ascii="Titillium" w:hAnsi="Titillium"/>
        </w:rPr>
      </w:pPr>
      <w:r>
        <w:rPr>
          <w:rFonts w:ascii="Titillium" w:hAnsi="Titillium"/>
        </w:rPr>
        <w:tab/>
        <w:t xml:space="preserve">    cena najniższa</w:t>
      </w:r>
    </w:p>
    <w:p>
      <w:pPr>
        <w:pStyle w:val="Standard"/>
        <w:spacing w:lineRule="auto" w:line="276"/>
        <w:ind w:left="426"/>
        <w:jc w:val="both"/>
        <w:rPr>
          <w:rFonts w:ascii="Titillium" w:hAnsi="Titillium"/>
        </w:rPr>
      </w:pPr>
      <w:r>
        <w:rPr>
          <w:rFonts w:ascii="Titillium" w:hAnsi="Titillium"/>
        </w:rPr>
        <w:t>C =   --------------------------    x  100 x 0,90   =   liczba punktów dla danej oferty w kryterium ceny</w:t>
      </w:r>
    </w:p>
    <w:p>
      <w:pPr>
        <w:pStyle w:val="Standard"/>
        <w:spacing w:lineRule="auto" w:line="276"/>
        <w:ind w:left="284"/>
        <w:jc w:val="both"/>
        <w:rPr>
          <w:rFonts w:ascii="Titillium" w:hAnsi="Titillium"/>
        </w:rPr>
      </w:pPr>
      <w:r>
        <w:rPr>
          <w:rFonts w:ascii="Titillium" w:hAnsi="Titillium"/>
        </w:rPr>
        <w:t xml:space="preserve">                 </w:t>
      </w:r>
      <w:r>
        <w:rPr>
          <w:rFonts w:ascii="Titillium" w:hAnsi="Titillium"/>
        </w:rPr>
        <w:t>cena danej oferty</w:t>
      </w:r>
    </w:p>
    <w:p>
      <w:pPr>
        <w:pStyle w:val="Standard"/>
        <w:spacing w:lineRule="auto" w:line="276"/>
        <w:ind w:left="284"/>
        <w:jc w:val="both"/>
        <w:rPr>
          <w:rFonts w:ascii="Titillium" w:hAnsi="Titillium"/>
        </w:rPr>
      </w:pPr>
      <w:r>
        <w:rPr>
          <w:rFonts w:ascii="Titillium" w:hAnsi="Titillium"/>
        </w:rPr>
      </w:r>
    </w:p>
    <w:p>
      <w:pPr>
        <w:pStyle w:val="Standard"/>
        <w:spacing w:lineRule="auto" w:line="276"/>
        <w:ind w:left="284"/>
        <w:jc w:val="both"/>
        <w:rPr>
          <w:rFonts w:ascii="Titillium" w:hAnsi="Titillium"/>
        </w:rPr>
      </w:pPr>
      <w:r>
        <w:rPr>
          <w:rFonts w:ascii="Titillium" w:hAnsi="Titillium"/>
        </w:rPr>
        <w:t>Oferta z najniższą ceną w kryterium ceny uzyskuje 90 pkt</w:t>
      </w:r>
    </w:p>
    <w:p>
      <w:pPr>
        <w:pStyle w:val="Standard"/>
        <w:spacing w:lineRule="auto" w:line="276"/>
        <w:ind w:left="284"/>
        <w:jc w:val="both"/>
        <w:rPr>
          <w:rFonts w:ascii="Titillium" w:hAnsi="Titillium"/>
        </w:rPr>
      </w:pPr>
      <w:r>
        <w:rPr>
          <w:rFonts w:ascii="Titillium" w:hAnsi="Titillium"/>
        </w:rPr>
      </w:r>
    </w:p>
    <w:p>
      <w:pPr>
        <w:pStyle w:val="Standard"/>
        <w:numPr>
          <w:ilvl w:val="0"/>
          <w:numId w:val="37"/>
        </w:numPr>
        <w:tabs>
          <w:tab w:val="clear" w:pos="720"/>
          <w:tab w:val="left" w:pos="726" w:leader="none"/>
          <w:tab w:val="left" w:pos="905" w:leader="none"/>
        </w:tabs>
        <w:spacing w:lineRule="auto" w:line="276"/>
        <w:ind w:hanging="567" w:left="1134"/>
        <w:jc w:val="both"/>
        <w:rPr>
          <w:rFonts w:ascii="Titillium" w:hAnsi="Titillium"/>
        </w:rPr>
      </w:pPr>
      <w:r>
        <w:rPr>
          <w:rFonts w:ascii="Titillium" w:hAnsi="Titillium"/>
          <w:bCs/>
        </w:rPr>
        <w:t>opis sposobu oceny ofert w kryterium okres gwarancji</w:t>
      </w:r>
    </w:p>
    <w:p>
      <w:pPr>
        <w:pStyle w:val="Standard"/>
        <w:tabs>
          <w:tab w:val="clear" w:pos="720"/>
          <w:tab w:val="left" w:pos="726" w:leader="none"/>
          <w:tab w:val="left" w:pos="905" w:leader="none"/>
        </w:tabs>
        <w:spacing w:lineRule="auto" w:line="276"/>
        <w:ind w:left="567"/>
        <w:jc w:val="both"/>
        <w:rPr>
          <w:rFonts w:ascii="Titillium" w:hAnsi="Titillium"/>
        </w:rPr>
      </w:pPr>
      <w:r>
        <w:rPr>
          <w:rFonts w:ascii="Titillium" w:hAnsi="Titillium"/>
        </w:rPr>
        <w:t>Wykonawca w kryterium okres gwarancji może uzyskać następującą punktację:</w:t>
      </w:r>
    </w:p>
    <w:p>
      <w:pPr>
        <w:pStyle w:val="Standard"/>
        <w:numPr>
          <w:ilvl w:val="1"/>
          <w:numId w:val="38"/>
        </w:numPr>
        <w:tabs>
          <w:tab w:val="clear" w:pos="720"/>
          <w:tab w:val="left" w:pos="1576" w:leader="none"/>
          <w:tab w:val="left" w:pos="1755" w:leader="none"/>
          <w:tab w:val="left" w:pos="1970" w:leader="none"/>
          <w:tab w:val="left" w:pos="2270" w:leader="none"/>
        </w:tabs>
        <w:spacing w:lineRule="auto" w:line="276"/>
        <w:ind w:hanging="284" w:left="1418"/>
        <w:jc w:val="both"/>
        <w:rPr>
          <w:rFonts w:ascii="Titillium" w:hAnsi="Titillium"/>
        </w:rPr>
      </w:pPr>
      <w:r>
        <w:rPr>
          <w:rFonts w:ascii="Titillium" w:hAnsi="Titillium"/>
        </w:rPr>
        <w:t>przyjęcie w ofercie 3 letniego okresu gwarancji  -  0 pkt,</w:t>
      </w:r>
    </w:p>
    <w:p>
      <w:pPr>
        <w:pStyle w:val="Standard"/>
        <w:numPr>
          <w:ilvl w:val="1"/>
          <w:numId w:val="38"/>
        </w:numPr>
        <w:tabs>
          <w:tab w:val="clear" w:pos="720"/>
          <w:tab w:val="left" w:pos="1576" w:leader="none"/>
          <w:tab w:val="left" w:pos="1755" w:leader="none"/>
          <w:tab w:val="left" w:pos="1970" w:leader="none"/>
          <w:tab w:val="left" w:pos="2270" w:leader="none"/>
        </w:tabs>
        <w:spacing w:lineRule="auto" w:line="276"/>
        <w:ind w:hanging="284" w:left="1418"/>
        <w:jc w:val="both"/>
        <w:rPr>
          <w:rFonts w:ascii="Titillium" w:hAnsi="Titillium"/>
        </w:rPr>
      </w:pPr>
      <w:r>
        <w:rPr>
          <w:rFonts w:ascii="Titillium" w:hAnsi="Titillium"/>
        </w:rPr>
        <w:t>przyjęcie w ofercie 4 letniego okresu gwarancji  - 50 pkt,</w:t>
      </w:r>
    </w:p>
    <w:p>
      <w:pPr>
        <w:pStyle w:val="Standard"/>
        <w:numPr>
          <w:ilvl w:val="1"/>
          <w:numId w:val="38"/>
        </w:numPr>
        <w:tabs>
          <w:tab w:val="clear" w:pos="720"/>
          <w:tab w:val="left" w:pos="1009" w:leader="none"/>
          <w:tab w:val="left" w:pos="1188" w:leader="none"/>
          <w:tab w:val="left" w:pos="1403" w:leader="none"/>
          <w:tab w:val="left" w:pos="1703" w:leader="none"/>
        </w:tabs>
        <w:spacing w:lineRule="auto" w:line="276"/>
        <w:ind w:hanging="284" w:left="1418"/>
        <w:jc w:val="both"/>
        <w:rPr>
          <w:rFonts w:ascii="Titillium" w:hAnsi="Titillium"/>
        </w:rPr>
      </w:pPr>
      <w:r>
        <w:rPr>
          <w:rFonts w:ascii="Titillium" w:hAnsi="Titillium"/>
        </w:rPr>
        <w:t>przyjęcie w ofercie 5 letniego okresu gwarancji, który jest zarazem maksymalnym dopuszczalnym - 100 pkt.</w:t>
      </w:r>
    </w:p>
    <w:p>
      <w:pPr>
        <w:pStyle w:val="Standard"/>
        <w:tabs>
          <w:tab w:val="clear" w:pos="720"/>
          <w:tab w:val="left" w:pos="159" w:leader="none"/>
          <w:tab w:val="left" w:pos="338" w:leader="none"/>
          <w:tab w:val="left" w:pos="553" w:leader="none"/>
        </w:tabs>
        <w:spacing w:lineRule="auto" w:line="276"/>
        <w:jc w:val="both"/>
        <w:rPr>
          <w:rFonts w:ascii="Titillium" w:hAnsi="Titillium"/>
        </w:rPr>
      </w:pPr>
      <w:r>
        <w:rPr>
          <w:rFonts w:ascii="Titillium" w:hAnsi="Titillium"/>
          <w:b/>
          <w:bCs/>
          <w:color w:val="000000"/>
        </w:rPr>
        <w:t>Zaoferowanie w ofercie krótszego okresu gwarancji niż 3 lata spowoduje odrzucenie oferty.</w:t>
      </w:r>
    </w:p>
    <w:p>
      <w:pPr>
        <w:pStyle w:val="Standard"/>
        <w:tabs>
          <w:tab w:val="clear" w:pos="720"/>
          <w:tab w:val="left" w:pos="167" w:leader="none"/>
          <w:tab w:val="left" w:pos="338" w:leader="none"/>
          <w:tab w:val="left" w:pos="553" w:leader="none"/>
        </w:tabs>
        <w:spacing w:lineRule="auto" w:line="276"/>
        <w:jc w:val="both"/>
        <w:rPr>
          <w:rFonts w:ascii="Titillium" w:hAnsi="Titillium"/>
        </w:rPr>
      </w:pPr>
      <w:r>
        <w:rPr>
          <w:rFonts w:ascii="Titillium" w:hAnsi="Titillium"/>
          <w:color w:val="000000"/>
        </w:rPr>
        <w:t xml:space="preserve">Przyznana wg ww. zasad punktacja </w:t>
      </w:r>
      <w:r>
        <w:rPr>
          <w:rFonts w:ascii="Titillium" w:hAnsi="Titillium"/>
        </w:rPr>
        <w:t>x 0,10</w:t>
      </w:r>
      <w:r>
        <w:rPr>
          <w:rFonts w:ascii="Titillium" w:hAnsi="Titillium"/>
          <w:color w:val="000000"/>
        </w:rPr>
        <w:t xml:space="preserve"> (waga) = liczba punktów dla danej oferty w kryterium okres gwarancji.</w:t>
      </w:r>
    </w:p>
    <w:p>
      <w:pPr>
        <w:pStyle w:val="Standard"/>
        <w:spacing w:lineRule="auto" w:line="276"/>
        <w:ind w:left="284"/>
        <w:jc w:val="both"/>
        <w:rPr>
          <w:rFonts w:ascii="Titillium" w:hAnsi="Titillium"/>
        </w:rPr>
      </w:pPr>
      <w:r>
        <w:rPr>
          <w:rFonts w:ascii="Titillium" w:hAnsi="Titillium"/>
        </w:rPr>
      </w:r>
    </w:p>
    <w:p>
      <w:pPr>
        <w:pStyle w:val="Heading1"/>
        <w:numPr>
          <w:ilvl w:val="0"/>
          <w:numId w:val="46"/>
        </w:numPr>
        <w:jc w:val="both"/>
        <w:rPr>
          <w:rFonts w:ascii="Titillium" w:hAnsi="Titillium"/>
        </w:rPr>
      </w:pPr>
      <w:r>
        <w:rPr>
          <w:rFonts w:ascii="Titillium" w:hAnsi="Titillium"/>
        </w:rPr>
        <w:t>Ogłoszenie wyników postępowania</w:t>
      </w:r>
    </w:p>
    <w:p>
      <w:pPr>
        <w:pStyle w:val="Standard"/>
        <w:numPr>
          <w:ilvl w:val="1"/>
          <w:numId w:val="7"/>
        </w:numPr>
        <w:tabs>
          <w:tab w:val="clear" w:pos="720"/>
          <w:tab w:val="left" w:pos="1135" w:leader="none"/>
        </w:tabs>
        <w:spacing w:lineRule="auto" w:line="276"/>
        <w:ind w:hanging="567" w:left="567"/>
        <w:jc w:val="both"/>
        <w:rPr>
          <w:rFonts w:ascii="Titillium" w:hAnsi="Titillium"/>
        </w:rPr>
      </w:pPr>
      <w:r>
        <w:rPr>
          <w:rFonts w:ascii="Titillium" w:hAnsi="Titillium"/>
          <w:bCs/>
        </w:rPr>
        <w:t>Niezwłocznie po wyborze najkorzystniejszej oferty Zamawiający informuje równocześnie Wykonawców, którzy złożyli oferty o:</w:t>
      </w:r>
    </w:p>
    <w:p>
      <w:pPr>
        <w:pStyle w:val="Standard"/>
        <w:numPr>
          <w:ilvl w:val="0"/>
          <w:numId w:val="217"/>
        </w:numPr>
        <w:tabs>
          <w:tab w:val="clear" w:pos="720"/>
          <w:tab w:val="left" w:pos="1314" w:leader="none"/>
        </w:tabs>
        <w:spacing w:lineRule="auto" w:line="276"/>
        <w:ind w:hanging="567" w:left="1134"/>
        <w:jc w:val="both"/>
        <w:rPr>
          <w:rFonts w:ascii="Titillium" w:hAnsi="Titillium"/>
        </w:rPr>
      </w:pPr>
      <w:r>
        <w:rPr>
          <w:rFonts w:ascii="Titillium" w:hAnsi="Titillium"/>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pPr>
        <w:pStyle w:val="Standard"/>
        <w:numPr>
          <w:ilvl w:val="0"/>
          <w:numId w:val="218"/>
        </w:numPr>
        <w:tabs>
          <w:tab w:val="clear" w:pos="720"/>
          <w:tab w:val="left" w:pos="1314" w:leader="none"/>
        </w:tabs>
        <w:spacing w:lineRule="auto" w:line="276"/>
        <w:ind w:hanging="567" w:left="1134"/>
        <w:jc w:val="both"/>
        <w:rPr>
          <w:rFonts w:ascii="Titillium" w:hAnsi="Titillium"/>
        </w:rPr>
      </w:pPr>
      <w:r>
        <w:rPr>
          <w:rFonts w:ascii="Titillium" w:hAnsi="Titillium"/>
        </w:rPr>
        <w:t>Wykonawcach, których oferty zostały odrzucone</w:t>
      </w:r>
    </w:p>
    <w:p>
      <w:pPr>
        <w:pStyle w:val="Standard"/>
        <w:tabs>
          <w:tab w:val="clear" w:pos="720"/>
          <w:tab w:val="left" w:pos="747" w:leader="none"/>
        </w:tabs>
        <w:spacing w:lineRule="auto" w:line="276"/>
        <w:ind w:left="567"/>
        <w:jc w:val="both"/>
        <w:rPr>
          <w:rFonts w:ascii="Titillium" w:hAnsi="Titillium"/>
        </w:rPr>
      </w:pPr>
      <w:r>
        <w:rPr>
          <w:rFonts w:eastAsia="TimesNewRoman, 'MS Mincho'" w:ascii="Titillium" w:hAnsi="Titillium"/>
          <w:bCs/>
          <w:color w:val="000000"/>
        </w:rPr>
        <w:t>- podając uzasadnienie faktyczne i prawne.</w:t>
      </w:r>
    </w:p>
    <w:p>
      <w:pPr>
        <w:pStyle w:val="Standard"/>
        <w:numPr>
          <w:ilvl w:val="0"/>
          <w:numId w:val="219"/>
        </w:numPr>
        <w:tabs>
          <w:tab w:val="clear" w:pos="720"/>
          <w:tab w:val="left" w:pos="1135" w:leader="none"/>
        </w:tabs>
        <w:spacing w:lineRule="auto" w:line="276"/>
        <w:ind w:hanging="567" w:left="567"/>
        <w:jc w:val="both"/>
        <w:rPr>
          <w:rFonts w:ascii="Titillium" w:hAnsi="Titillium"/>
        </w:rPr>
      </w:pPr>
      <w:r>
        <w:rPr>
          <w:rFonts w:ascii="Titillium" w:hAnsi="Titillium"/>
          <w:color w:val="000000"/>
        </w:rPr>
        <w:t>Zamawiający udostępnia informacje, o których mowa w ust. 1 pkt 1, na stronie internetowej prowadzonego postępowania.</w:t>
      </w:r>
    </w:p>
    <w:p>
      <w:pPr>
        <w:pStyle w:val="Standard"/>
        <w:numPr>
          <w:ilvl w:val="0"/>
          <w:numId w:val="220"/>
        </w:numPr>
        <w:tabs>
          <w:tab w:val="clear" w:pos="720"/>
          <w:tab w:val="left" w:pos="1135" w:leader="none"/>
        </w:tabs>
        <w:spacing w:lineRule="auto" w:line="276"/>
        <w:ind w:hanging="567" w:left="567"/>
        <w:jc w:val="both"/>
        <w:rPr>
          <w:rFonts w:ascii="Titillium" w:hAnsi="Titillium"/>
        </w:rPr>
      </w:pPr>
      <w:r>
        <w:rPr>
          <w:rFonts w:ascii="Titillium" w:hAnsi="Titillium"/>
        </w:rPr>
        <w:t>Wybranemu Wykonawcy Zamawiający wyznaczy termin i miejsce podpisania umowy.</w:t>
      </w:r>
    </w:p>
    <w:p>
      <w:pPr>
        <w:pStyle w:val="Standard"/>
        <w:tabs>
          <w:tab w:val="clear" w:pos="720"/>
          <w:tab w:val="left" w:pos="1135" w:leader="none"/>
        </w:tabs>
        <w:spacing w:lineRule="auto" w:line="276"/>
        <w:ind w:left="567"/>
        <w:jc w:val="both"/>
        <w:rPr>
          <w:rFonts w:ascii="Titillium" w:hAnsi="Titillium"/>
        </w:rPr>
      </w:pPr>
      <w:r>
        <w:rPr>
          <w:rFonts w:ascii="Titillium" w:hAnsi="Titillium"/>
        </w:rPr>
      </w:r>
    </w:p>
    <w:p>
      <w:pPr>
        <w:pStyle w:val="Heading1"/>
        <w:numPr>
          <w:ilvl w:val="0"/>
          <w:numId w:val="46"/>
        </w:numPr>
        <w:jc w:val="both"/>
        <w:rPr>
          <w:rFonts w:ascii="Titillium" w:hAnsi="Titillium"/>
        </w:rPr>
      </w:pPr>
      <w:r>
        <w:rPr>
          <w:rFonts w:ascii="Titillium" w:hAnsi="Titillium"/>
        </w:rPr>
        <w:t>Informacje o formalnościach, jakie powinny zostać dopełnione po wyborze oferty w celu zawarcia umowy w sprawie zamówienia publicznego</w:t>
      </w:r>
    </w:p>
    <w:p>
      <w:pPr>
        <w:pStyle w:val="Standard"/>
        <w:numPr>
          <w:ilvl w:val="0"/>
          <w:numId w:val="5"/>
        </w:numPr>
        <w:tabs>
          <w:tab w:val="clear" w:pos="720"/>
          <w:tab w:val="left" w:pos="1135" w:leader="none"/>
        </w:tabs>
        <w:spacing w:lineRule="auto" w:line="276"/>
        <w:ind w:hanging="567" w:left="567"/>
        <w:jc w:val="both"/>
        <w:rPr>
          <w:rFonts w:ascii="Titillium" w:hAnsi="Titillium"/>
        </w:rPr>
      </w:pPr>
      <w:r>
        <w:rPr>
          <w:rFonts w:ascii="Titillium" w:hAnsi="Titillium"/>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w:t>
      </w:r>
    </w:p>
    <w:p>
      <w:pPr>
        <w:pStyle w:val="Standard"/>
        <w:numPr>
          <w:ilvl w:val="0"/>
          <w:numId w:val="5"/>
        </w:numPr>
        <w:tabs>
          <w:tab w:val="clear" w:pos="720"/>
          <w:tab w:val="left" w:pos="1135" w:leader="none"/>
        </w:tabs>
        <w:spacing w:lineRule="auto" w:line="276"/>
        <w:ind w:hanging="567" w:left="567"/>
        <w:jc w:val="both"/>
        <w:rPr>
          <w:rFonts w:ascii="Titillium" w:hAnsi="Titillium"/>
        </w:rPr>
      </w:pPr>
      <w:r>
        <w:rPr>
          <w:rFonts w:eastAsia="TimesNewRoman, 'MS Mincho'" w:ascii="Titillium" w:hAnsi="Titillium"/>
          <w:bCs/>
        </w:rPr>
        <w:t>Zamawiający może zawrzeć umowę w sprawie zamówienia publicznego przed upływem terminu, o</w:t>
      </w:r>
      <w:r>
        <w:rPr>
          <w:rFonts w:eastAsia="TimesNewRoman, 'MS Mincho'" w:cs="Calibri" w:ascii="Titillium" w:hAnsi="Titillium"/>
          <w:bCs/>
        </w:rPr>
        <w:t> </w:t>
      </w:r>
      <w:r>
        <w:rPr>
          <w:rFonts w:eastAsia="TimesNewRoman, 'MS Mincho'" w:ascii="Titillium" w:hAnsi="Titillium"/>
          <w:bCs/>
        </w:rPr>
        <w:t>kt</w:t>
      </w:r>
      <w:r>
        <w:rPr>
          <w:rFonts w:eastAsia="TimesNewRoman, 'MS Mincho'" w:cs="Titillium" w:ascii="Titillium" w:hAnsi="Titillium"/>
          <w:bCs/>
        </w:rPr>
        <w:t>ó</w:t>
      </w:r>
      <w:r>
        <w:rPr>
          <w:rFonts w:eastAsia="TimesNewRoman, 'MS Mincho'" w:ascii="Titillium" w:hAnsi="Titillium"/>
          <w:bCs/>
        </w:rPr>
        <w:t>rym mowa w ust. 1, je</w:t>
      </w:r>
      <w:r>
        <w:rPr>
          <w:rFonts w:eastAsia="TimesNewRoman, 'MS Mincho'" w:cs="Titillium" w:ascii="Titillium" w:hAnsi="Titillium"/>
          <w:bCs/>
        </w:rPr>
        <w:t>ż</w:t>
      </w:r>
      <w:r>
        <w:rPr>
          <w:rFonts w:eastAsia="TimesNewRoman, 'MS Mincho'" w:ascii="Titillium" w:hAnsi="Titillium"/>
          <w:bCs/>
        </w:rPr>
        <w:t>eli w przedmiotowym post</w:t>
      </w:r>
      <w:r>
        <w:rPr>
          <w:rFonts w:eastAsia="TimesNewRoman, 'MS Mincho'" w:cs="Titillium" w:ascii="Titillium" w:hAnsi="Titillium"/>
          <w:bCs/>
        </w:rPr>
        <w:t>ę</w:t>
      </w:r>
      <w:r>
        <w:rPr>
          <w:rFonts w:eastAsia="TimesNewRoman, 'MS Mincho'" w:ascii="Titillium" w:hAnsi="Titillium"/>
          <w:bCs/>
        </w:rPr>
        <w:t>powaniu zostanie z</w:t>
      </w:r>
      <w:r>
        <w:rPr>
          <w:rFonts w:eastAsia="TimesNewRoman, 'MS Mincho'" w:cs="Titillium" w:ascii="Titillium" w:hAnsi="Titillium"/>
          <w:bCs/>
        </w:rPr>
        <w:t>ł</w:t>
      </w:r>
      <w:r>
        <w:rPr>
          <w:rFonts w:eastAsia="TimesNewRoman, 'MS Mincho'" w:ascii="Titillium" w:hAnsi="Titillium"/>
          <w:bCs/>
        </w:rPr>
        <w:t>o</w:t>
      </w:r>
      <w:r>
        <w:rPr>
          <w:rFonts w:eastAsia="TimesNewRoman, 'MS Mincho'" w:cs="Titillium" w:ascii="Titillium" w:hAnsi="Titillium"/>
          <w:bCs/>
        </w:rPr>
        <w:t>ż</w:t>
      </w:r>
      <w:r>
        <w:rPr>
          <w:rFonts w:eastAsia="TimesNewRoman, 'MS Mincho'" w:ascii="Titillium" w:hAnsi="Titillium"/>
          <w:bCs/>
        </w:rPr>
        <w:t>ona tylko jedna oferta.</w:t>
      </w:r>
    </w:p>
    <w:p>
      <w:pPr>
        <w:pStyle w:val="Standard"/>
        <w:numPr>
          <w:ilvl w:val="0"/>
          <w:numId w:val="5"/>
        </w:numPr>
        <w:tabs>
          <w:tab w:val="clear" w:pos="720"/>
          <w:tab w:val="left" w:pos="1135" w:leader="none"/>
        </w:tabs>
        <w:spacing w:lineRule="auto" w:line="276"/>
        <w:ind w:hanging="567" w:left="567"/>
        <w:jc w:val="both"/>
        <w:rPr>
          <w:rFonts w:ascii="Titillium" w:hAnsi="Titillium"/>
        </w:rPr>
      </w:pPr>
      <w:r>
        <w:rPr>
          <w:rFonts w:eastAsia="TimesNewRoman, 'MS Mincho'" w:ascii="Titillium" w:hAnsi="Titillium"/>
          <w:bCs/>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pPr>
        <w:pStyle w:val="Standard"/>
        <w:numPr>
          <w:ilvl w:val="0"/>
          <w:numId w:val="5"/>
        </w:numPr>
        <w:tabs>
          <w:tab w:val="clear" w:pos="720"/>
          <w:tab w:val="left" w:pos="1135" w:leader="none"/>
        </w:tabs>
        <w:spacing w:lineRule="auto" w:line="276"/>
        <w:ind w:hanging="567" w:left="567"/>
        <w:jc w:val="both"/>
        <w:rPr>
          <w:rFonts w:ascii="Titillium" w:hAnsi="Titillium"/>
        </w:rPr>
      </w:pPr>
      <w:r>
        <w:rPr>
          <w:rFonts w:ascii="Titillium" w:hAnsi="Titillium"/>
        </w:rPr>
        <w:t>W przypadku Wykonawców wspólnie ubiegających się o udzielenie zamówienia zobowiązani są oni przed zawarciem umowy do przedłożenia Zamawiającemu kopii umowy regulującej współpracę tych Wykonawców.</w:t>
      </w:r>
    </w:p>
    <w:p>
      <w:pPr>
        <w:pStyle w:val="Standard"/>
        <w:numPr>
          <w:ilvl w:val="0"/>
          <w:numId w:val="5"/>
        </w:numPr>
        <w:tabs>
          <w:tab w:val="clear" w:pos="720"/>
          <w:tab w:val="left" w:pos="1135" w:leader="none"/>
        </w:tabs>
        <w:spacing w:lineRule="auto" w:line="276"/>
        <w:ind w:hanging="567" w:left="567"/>
        <w:jc w:val="both"/>
        <w:rPr>
          <w:rFonts w:ascii="Titillium" w:hAnsi="Titillium"/>
        </w:rPr>
      </w:pPr>
      <w:r>
        <w:rPr>
          <w:rFonts w:ascii="Titillium" w:hAnsi="Titillium"/>
          <w:color w:val="000000"/>
        </w:rPr>
        <w:t xml:space="preserve">Osoby podpisujące umowę winny być uprawnione do zaciągania zobowiązań do wysokości odpowiadającej cenie oferty.  </w:t>
      </w:r>
    </w:p>
    <w:p>
      <w:pPr>
        <w:pStyle w:val="Standard"/>
        <w:numPr>
          <w:ilvl w:val="0"/>
          <w:numId w:val="5"/>
        </w:numPr>
        <w:tabs>
          <w:tab w:val="clear" w:pos="720"/>
          <w:tab w:val="left" w:pos="1135" w:leader="none"/>
        </w:tabs>
        <w:spacing w:lineRule="auto" w:line="276"/>
        <w:ind w:hanging="567" w:left="567"/>
        <w:jc w:val="both"/>
        <w:rPr>
          <w:rFonts w:ascii="Titillium" w:hAnsi="Titillium"/>
        </w:rPr>
      </w:pPr>
      <w:r>
        <w:rPr>
          <w:rFonts w:eastAsia="TimesNewRoman, 'MS Mincho'" w:ascii="Titillium" w:hAnsi="Titillium"/>
          <w:bCs/>
        </w:rPr>
        <w:t>Osoby reprezentujące Wykonawcę przy podpisywaniu umowy powinny posiadać ze sobą dokumenty potwierdzające ich umocowanie do podpisania umowy, o ile to nie będzie wynikać z dokumentów załączonych do oferty.</w:t>
      </w:r>
    </w:p>
    <w:p>
      <w:pPr>
        <w:pStyle w:val="Standard"/>
        <w:numPr>
          <w:ilvl w:val="0"/>
          <w:numId w:val="5"/>
        </w:numPr>
        <w:tabs>
          <w:tab w:val="clear" w:pos="720"/>
          <w:tab w:val="left" w:pos="1135" w:leader="none"/>
        </w:tabs>
        <w:spacing w:lineRule="auto" w:line="276"/>
        <w:ind w:hanging="567" w:left="567"/>
        <w:jc w:val="both"/>
        <w:rPr>
          <w:rFonts w:ascii="Titillium" w:hAnsi="Titillium"/>
        </w:rPr>
      </w:pPr>
      <w:r>
        <w:rPr>
          <w:rFonts w:ascii="Titillium" w:hAnsi="Titillium"/>
          <w:bCs/>
        </w:rPr>
        <w:t xml:space="preserve">Najpóźniej w dniu podpisania umowy Wykonawca przedkłada Zamawiającemu: </w:t>
      </w:r>
    </w:p>
    <w:p>
      <w:pPr>
        <w:pStyle w:val="Standard"/>
        <w:numPr>
          <w:ilvl w:val="0"/>
          <w:numId w:val="0"/>
        </w:numPr>
        <w:tabs>
          <w:tab w:val="clear" w:pos="720"/>
          <w:tab w:val="left" w:pos="853" w:leader="none"/>
          <w:tab w:val="left" w:pos="1135" w:leader="none"/>
        </w:tabs>
        <w:spacing w:lineRule="auto" w:line="276"/>
        <w:ind w:hanging="0" w:left="567"/>
        <w:jc w:val="both"/>
        <w:rPr>
          <w:rFonts w:ascii="Titillium" w:hAnsi="Titillium"/>
        </w:rPr>
      </w:pPr>
      <w:r>
        <w:rPr>
          <w:rFonts w:ascii="Titillium" w:hAnsi="Titillium"/>
          <w:bCs/>
        </w:rPr>
        <w:t xml:space="preserve">1) kserokopie uprawnień oraz zaświadczeń o członkostwie we właściwych izbach inżynierów   budownictwa osób skierowanych do realizacji zamówienia w dwóch egzemplarzach, </w:t>
      </w:r>
    </w:p>
    <w:p>
      <w:pPr>
        <w:pStyle w:val="Standard"/>
        <w:numPr>
          <w:ilvl w:val="0"/>
          <w:numId w:val="0"/>
        </w:numPr>
        <w:tabs>
          <w:tab w:val="clear" w:pos="720"/>
          <w:tab w:val="left" w:pos="1135" w:leader="none"/>
        </w:tabs>
        <w:spacing w:lineRule="auto" w:line="276"/>
        <w:ind w:hanging="0" w:left="567"/>
        <w:jc w:val="both"/>
        <w:rPr>
          <w:rFonts w:ascii="Titillium" w:hAnsi="Titillium"/>
        </w:rPr>
      </w:pPr>
      <w:r>
        <w:rPr>
          <w:rFonts w:ascii="Titillium" w:hAnsi="Titillium"/>
          <w:bCs/>
        </w:rPr>
        <w:t xml:space="preserve">2) harmonogram rzeczowo-finansowy oraz tabele elementów scalonych obejmujących wydzielone etapy uzgodnione z Zamawiającym dla zadania nr 1, </w:t>
      </w:r>
    </w:p>
    <w:p>
      <w:pPr>
        <w:pStyle w:val="Standard"/>
        <w:numPr>
          <w:ilvl w:val="0"/>
          <w:numId w:val="0"/>
        </w:numPr>
        <w:tabs>
          <w:tab w:val="clear" w:pos="720"/>
          <w:tab w:val="left" w:pos="1135" w:leader="none"/>
        </w:tabs>
        <w:spacing w:lineRule="auto" w:line="276"/>
        <w:ind w:hanging="0" w:left="567"/>
        <w:jc w:val="both"/>
        <w:rPr>
          <w:rFonts w:ascii="Titillium" w:hAnsi="Titillium"/>
        </w:rPr>
      </w:pPr>
      <w:r>
        <w:rPr>
          <w:rFonts w:ascii="Titillium" w:hAnsi="Titillium"/>
          <w:bCs/>
        </w:rPr>
        <w:t xml:space="preserve">3) harmonogram  rzeczowo-finansowy obejmujący wydzielone etapy uzgodnione z Zamawiającym dla zadania nr 2, </w:t>
      </w:r>
    </w:p>
    <w:p>
      <w:pPr>
        <w:pStyle w:val="Standard"/>
        <w:numPr>
          <w:ilvl w:val="0"/>
          <w:numId w:val="0"/>
        </w:numPr>
        <w:tabs>
          <w:tab w:val="clear" w:pos="720"/>
          <w:tab w:val="left" w:pos="1135" w:leader="none"/>
        </w:tabs>
        <w:spacing w:lineRule="auto" w:line="276"/>
        <w:ind w:hanging="0" w:left="567"/>
        <w:jc w:val="both"/>
        <w:rPr>
          <w:rFonts w:ascii="Titillium" w:hAnsi="Titillium"/>
        </w:rPr>
      </w:pPr>
      <w:r>
        <w:rPr>
          <w:rFonts w:ascii="Titillium" w:hAnsi="Titillium"/>
          <w:bCs/>
        </w:rPr>
        <w:t xml:space="preserve">Uwaga! Ponieważ zadanie jest finansowane z jednej promesy obowiązkiem Wykonawcy jest dostosować harmongramy do warunków płatności określonych w umowach oraz w promesie. </w:t>
      </w:r>
    </w:p>
    <w:p>
      <w:pPr>
        <w:pStyle w:val="Standard"/>
        <w:numPr>
          <w:ilvl w:val="0"/>
          <w:numId w:val="0"/>
        </w:numPr>
        <w:tabs>
          <w:tab w:val="clear" w:pos="720"/>
          <w:tab w:val="left" w:pos="1135" w:leader="none"/>
        </w:tabs>
        <w:spacing w:lineRule="auto" w:line="276"/>
        <w:ind w:hanging="0" w:left="567"/>
        <w:jc w:val="both"/>
        <w:rPr>
          <w:rFonts w:ascii="Titillium" w:hAnsi="Titillium"/>
        </w:rPr>
      </w:pPr>
      <w:r>
        <w:rPr>
          <w:rFonts w:ascii="Titillium" w:hAnsi="Titillium"/>
          <w:bCs/>
        </w:rPr>
        <w:t xml:space="preserve">4) </w:t>
      </w:r>
      <w:r>
        <w:rPr>
          <w:rFonts w:ascii="Titillium" w:hAnsi="Titillium"/>
          <w:bCs/>
          <w:sz w:val="20"/>
          <w:szCs w:val="20"/>
          <w:lang w:val="pl-PL"/>
        </w:rPr>
        <w:t>kosztorys ofertowy w wersji szczegółowej dodatkowo w formatach pdf, ath. i arkusza kalkulacyjnego (ten ostatni należy przekazać Zamawiającemu przy pomocy poczty elektronicznej lub na płycie CD) – dla zadania nr 2.</w:t>
      </w:r>
    </w:p>
    <w:p>
      <w:pPr>
        <w:pStyle w:val="Standard"/>
        <w:tabs>
          <w:tab w:val="clear" w:pos="720"/>
          <w:tab w:val="left" w:pos="1073" w:leader="none"/>
          <w:tab w:val="left" w:pos="1382" w:leader="none"/>
        </w:tabs>
        <w:spacing w:lineRule="auto" w:line="276"/>
        <w:ind w:hanging="227" w:left="510"/>
        <w:jc w:val="both"/>
        <w:rPr/>
      </w:pPr>
      <w:r>
        <w:rPr>
          <w:rStyle w:val="Internetlink"/>
          <w:rFonts w:eastAsia="Times-Roman, 'Times New Roman'" w:ascii="Titillium" w:hAnsi="Titillium"/>
          <w:bCs/>
          <w:u w:val="none"/>
        </w:rPr>
        <w:t xml:space="preserve"> </w:t>
      </w:r>
      <w:r>
        <w:rPr>
          <w:rStyle w:val="Internetlink"/>
          <w:rFonts w:eastAsia="Times-Roman, 'Times New Roman'" w:ascii="Titillium" w:hAnsi="Titillium"/>
          <w:bCs/>
        </w:rPr>
        <w:t xml:space="preserve">                                                                                                                                                                                                    </w:t>
      </w:r>
    </w:p>
    <w:p>
      <w:pPr>
        <w:pStyle w:val="Heading1"/>
        <w:numPr>
          <w:ilvl w:val="0"/>
          <w:numId w:val="46"/>
        </w:numPr>
        <w:jc w:val="both"/>
        <w:rPr>
          <w:rFonts w:ascii="Titillium" w:hAnsi="Titillium"/>
        </w:rPr>
      </w:pPr>
      <w:r>
        <w:rPr>
          <w:rFonts w:ascii="Titillium" w:hAnsi="Titillium"/>
        </w:rPr>
        <w:t>Wymagania dotyczące zabezpieczenia należytego wykonania zamówienia</w:t>
      </w:r>
    </w:p>
    <w:p>
      <w:pPr>
        <w:pStyle w:val="Standard"/>
        <w:numPr>
          <w:ilvl w:val="0"/>
          <w:numId w:val="39"/>
        </w:numPr>
        <w:tabs>
          <w:tab w:val="clear" w:pos="720"/>
          <w:tab w:val="left" w:pos="1135" w:leader="none"/>
        </w:tabs>
        <w:spacing w:lineRule="auto" w:line="276"/>
        <w:ind w:hanging="567" w:left="567"/>
        <w:jc w:val="both"/>
        <w:rPr>
          <w:rFonts w:ascii="Titillium" w:hAnsi="Titillium"/>
        </w:rPr>
      </w:pPr>
      <w:r>
        <w:rPr>
          <w:rFonts w:ascii="Titillium" w:hAnsi="Titillium"/>
        </w:rPr>
        <w:t>Zamawiający żąda zabezpieczenia należytego wykonania umowy zwanego dalej „zabezpieczeniem”, na pokrycie roszczeń z tytułu niewykonania lub nienależytego wykonania umowy.</w:t>
      </w:r>
    </w:p>
    <w:p>
      <w:pPr>
        <w:pStyle w:val="Standard"/>
        <w:numPr>
          <w:ilvl w:val="0"/>
          <w:numId w:val="39"/>
        </w:numPr>
        <w:tabs>
          <w:tab w:val="clear" w:pos="720"/>
          <w:tab w:val="left" w:pos="1135" w:leader="none"/>
        </w:tabs>
        <w:spacing w:lineRule="auto" w:line="276"/>
        <w:ind w:hanging="567" w:left="567"/>
        <w:jc w:val="both"/>
        <w:rPr>
          <w:rFonts w:ascii="Titillium" w:hAnsi="Titillium"/>
        </w:rPr>
      </w:pPr>
      <w:r>
        <w:rPr>
          <w:rFonts w:ascii="Titillium" w:hAnsi="Titillium"/>
        </w:rPr>
        <w:t>Zabezpieczenie ustala się w wysokości 5% ceny całkowitej podanej w ofercie dla obydwu zadań.</w:t>
      </w:r>
    </w:p>
    <w:p>
      <w:pPr>
        <w:pStyle w:val="Standard"/>
        <w:numPr>
          <w:ilvl w:val="0"/>
          <w:numId w:val="39"/>
        </w:numPr>
        <w:tabs>
          <w:tab w:val="clear" w:pos="720"/>
          <w:tab w:val="left" w:pos="1135" w:leader="none"/>
        </w:tabs>
        <w:spacing w:lineRule="auto" w:line="276"/>
        <w:ind w:hanging="567" w:left="567"/>
        <w:jc w:val="both"/>
        <w:rPr>
          <w:rFonts w:ascii="Titillium" w:hAnsi="Titillium"/>
        </w:rPr>
      </w:pPr>
      <w:r>
        <w:rPr>
          <w:rFonts w:ascii="Titillium" w:hAnsi="Titillium"/>
        </w:rPr>
        <w:t>Dopuszcza się wnoszenie zabezpieczenia w jednej lub w kilku następujących formach:</w:t>
      </w:r>
    </w:p>
    <w:p>
      <w:pPr>
        <w:pStyle w:val="Standard"/>
        <w:numPr>
          <w:ilvl w:val="1"/>
          <w:numId w:val="39"/>
        </w:numPr>
        <w:tabs>
          <w:tab w:val="clear" w:pos="720"/>
          <w:tab w:val="left" w:pos="1702" w:leader="none"/>
        </w:tabs>
        <w:spacing w:lineRule="auto" w:line="276"/>
        <w:ind w:hanging="567" w:left="1134"/>
        <w:jc w:val="both"/>
        <w:rPr>
          <w:rFonts w:ascii="Titillium" w:hAnsi="Titillium"/>
        </w:rPr>
      </w:pPr>
      <w:r>
        <w:rPr>
          <w:rFonts w:ascii="Titillium" w:hAnsi="Titillium"/>
        </w:rPr>
        <w:t>pieniądzu;</w:t>
      </w:r>
    </w:p>
    <w:p>
      <w:pPr>
        <w:pStyle w:val="Standard"/>
        <w:numPr>
          <w:ilvl w:val="1"/>
          <w:numId w:val="39"/>
        </w:numPr>
        <w:tabs>
          <w:tab w:val="clear" w:pos="720"/>
          <w:tab w:val="left" w:pos="1702" w:leader="none"/>
        </w:tabs>
        <w:spacing w:lineRule="auto" w:line="276"/>
        <w:ind w:hanging="567" w:left="1134"/>
        <w:jc w:val="both"/>
        <w:rPr>
          <w:rFonts w:ascii="Titillium" w:hAnsi="Titillium"/>
        </w:rPr>
      </w:pPr>
      <w:r>
        <w:rPr>
          <w:rFonts w:ascii="Titillium" w:hAnsi="Titillium"/>
        </w:rPr>
        <w:t>poręczeniach bankowych lub poręczeniach spółdzielczej kasy oszczędnościowo-kredytowej, z</w:t>
      </w:r>
      <w:r>
        <w:rPr>
          <w:rFonts w:cs="Calibri" w:ascii="Titillium" w:hAnsi="Titillium"/>
        </w:rPr>
        <w:t> </w:t>
      </w:r>
      <w:r>
        <w:rPr>
          <w:rFonts w:ascii="Titillium" w:hAnsi="Titillium"/>
        </w:rPr>
        <w:t xml:space="preserve">tym </w:t>
      </w:r>
      <w:r>
        <w:rPr>
          <w:rFonts w:cs="Titillium" w:ascii="Titillium" w:hAnsi="Titillium"/>
        </w:rPr>
        <w:t>ż</w:t>
      </w:r>
      <w:r>
        <w:rPr>
          <w:rFonts w:ascii="Titillium" w:hAnsi="Titillium"/>
        </w:rPr>
        <w:t>e zobowi</w:t>
      </w:r>
      <w:r>
        <w:rPr>
          <w:rFonts w:cs="Titillium" w:ascii="Titillium" w:hAnsi="Titillium"/>
        </w:rPr>
        <w:t>ą</w:t>
      </w:r>
      <w:r>
        <w:rPr>
          <w:rFonts w:ascii="Titillium" w:hAnsi="Titillium"/>
        </w:rPr>
        <w:t>zanie kasy jest zawsze zobowi</w:t>
      </w:r>
      <w:r>
        <w:rPr>
          <w:rFonts w:cs="Titillium" w:ascii="Titillium" w:hAnsi="Titillium"/>
        </w:rPr>
        <w:t>ą</w:t>
      </w:r>
      <w:r>
        <w:rPr>
          <w:rFonts w:ascii="Titillium" w:hAnsi="Titillium"/>
        </w:rPr>
        <w:t>zaniem pieni</w:t>
      </w:r>
      <w:r>
        <w:rPr>
          <w:rFonts w:cs="Titillium" w:ascii="Titillium" w:hAnsi="Titillium"/>
        </w:rPr>
        <w:t>ęż</w:t>
      </w:r>
      <w:r>
        <w:rPr>
          <w:rFonts w:ascii="Titillium" w:hAnsi="Titillium"/>
        </w:rPr>
        <w:t>nym;</w:t>
      </w:r>
    </w:p>
    <w:p>
      <w:pPr>
        <w:pStyle w:val="Standard"/>
        <w:numPr>
          <w:ilvl w:val="1"/>
          <w:numId w:val="39"/>
        </w:numPr>
        <w:tabs>
          <w:tab w:val="clear" w:pos="720"/>
          <w:tab w:val="left" w:pos="1702" w:leader="none"/>
        </w:tabs>
        <w:spacing w:lineRule="auto" w:line="276"/>
        <w:ind w:hanging="567" w:left="1134"/>
        <w:jc w:val="both"/>
        <w:rPr>
          <w:rFonts w:ascii="Titillium" w:hAnsi="Titillium"/>
        </w:rPr>
      </w:pPr>
      <w:r>
        <w:rPr>
          <w:rFonts w:ascii="Titillium" w:hAnsi="Titillium"/>
        </w:rPr>
        <w:t>gwarancjach bankowych;</w:t>
      </w:r>
    </w:p>
    <w:p>
      <w:pPr>
        <w:pStyle w:val="Standard"/>
        <w:numPr>
          <w:ilvl w:val="1"/>
          <w:numId w:val="39"/>
        </w:numPr>
        <w:tabs>
          <w:tab w:val="clear" w:pos="720"/>
          <w:tab w:val="left" w:pos="1702" w:leader="none"/>
        </w:tabs>
        <w:spacing w:lineRule="auto" w:line="276"/>
        <w:ind w:hanging="567" w:left="1134"/>
        <w:jc w:val="both"/>
        <w:rPr>
          <w:rFonts w:ascii="Titillium" w:hAnsi="Titillium"/>
        </w:rPr>
      </w:pPr>
      <w:r>
        <w:rPr>
          <w:rFonts w:ascii="Titillium" w:hAnsi="Titillium"/>
        </w:rPr>
        <w:t>gwarancjach ubezpieczeniowych;</w:t>
      </w:r>
    </w:p>
    <w:p>
      <w:pPr>
        <w:pStyle w:val="Standard"/>
        <w:numPr>
          <w:ilvl w:val="1"/>
          <w:numId w:val="39"/>
        </w:numPr>
        <w:tabs>
          <w:tab w:val="clear" w:pos="720"/>
          <w:tab w:val="left" w:pos="1702" w:leader="none"/>
        </w:tabs>
        <w:spacing w:lineRule="auto" w:line="276"/>
        <w:ind w:hanging="567" w:left="1134"/>
        <w:jc w:val="both"/>
        <w:rPr>
          <w:rFonts w:ascii="Titillium" w:hAnsi="Titillium"/>
        </w:rPr>
      </w:pPr>
      <w:r>
        <w:rPr>
          <w:rFonts w:ascii="Titillium" w:hAnsi="Titillium"/>
        </w:rPr>
        <w:t>poręczeniach udzielanych przez podmioty, o których mowa w art. 6b ust. 5 pkt 2 ustawy z</w:t>
      </w:r>
      <w:r>
        <w:rPr>
          <w:rFonts w:cs="Calibri" w:ascii="Titillium" w:hAnsi="Titillium"/>
        </w:rPr>
        <w:t> </w:t>
      </w:r>
      <w:r>
        <w:rPr>
          <w:rFonts w:ascii="Titillium" w:hAnsi="Titillium"/>
        </w:rPr>
        <w:t>dnia 9 listopada 2000 r. o utworzeniu Polskiej Agencji Rozwoju Przedsiębiorczości.</w:t>
      </w:r>
    </w:p>
    <w:p>
      <w:pPr>
        <w:pStyle w:val="Standard"/>
        <w:numPr>
          <w:ilvl w:val="0"/>
          <w:numId w:val="39"/>
        </w:numPr>
        <w:tabs>
          <w:tab w:val="clear" w:pos="720"/>
          <w:tab w:val="left" w:pos="1135" w:leader="none"/>
        </w:tabs>
        <w:spacing w:lineRule="auto" w:line="276"/>
        <w:ind w:hanging="567" w:left="567"/>
        <w:jc w:val="both"/>
        <w:rPr>
          <w:rFonts w:ascii="Titillium" w:hAnsi="Titillium"/>
        </w:rPr>
      </w:pPr>
      <w:r>
        <w:rPr>
          <w:rFonts w:ascii="Titillium" w:hAnsi="Titillium"/>
        </w:rPr>
        <w:t xml:space="preserve">Zamawiający </w:t>
      </w:r>
      <w:r>
        <w:rPr>
          <w:rFonts w:ascii="Titillium" w:hAnsi="Titillium"/>
          <w:u w:val="single"/>
        </w:rPr>
        <w:t>nie wyraża zgody</w:t>
      </w:r>
      <w:r>
        <w:rPr>
          <w:rFonts w:ascii="Titillium" w:hAnsi="Titillium"/>
        </w:rPr>
        <w:t xml:space="preserve"> na wniesienie zabezpieczenia w formach określonych w art. 450 ust. 2 ustawy Pzp.</w:t>
      </w:r>
    </w:p>
    <w:p>
      <w:pPr>
        <w:pStyle w:val="Standard"/>
        <w:numPr>
          <w:ilvl w:val="0"/>
          <w:numId w:val="39"/>
        </w:numPr>
        <w:tabs>
          <w:tab w:val="clear" w:pos="720"/>
          <w:tab w:val="left" w:pos="1135" w:leader="none"/>
        </w:tabs>
        <w:spacing w:lineRule="auto" w:line="276"/>
        <w:ind w:hanging="567" w:left="567"/>
        <w:jc w:val="both"/>
        <w:rPr>
          <w:rFonts w:ascii="Titillium" w:hAnsi="Titillium"/>
        </w:rPr>
      </w:pPr>
      <w:r>
        <w:rPr>
          <w:rFonts w:ascii="Titillium" w:hAnsi="Titillium"/>
          <w:color w:val="000000"/>
        </w:rPr>
        <w:t>Zabezpieczenie wniesione w pieniądzu winno być wpłacone przelewem na wskazany przez Zamawiającego rachunek bankowy z podaniem tytułu wpłaty.</w:t>
      </w:r>
    </w:p>
    <w:p>
      <w:pPr>
        <w:pStyle w:val="Standard"/>
        <w:numPr>
          <w:ilvl w:val="0"/>
          <w:numId w:val="39"/>
        </w:numPr>
        <w:tabs>
          <w:tab w:val="clear" w:pos="720"/>
          <w:tab w:val="left" w:pos="1135" w:leader="none"/>
        </w:tabs>
        <w:spacing w:lineRule="auto" w:line="276"/>
        <w:ind w:hanging="567" w:left="567"/>
        <w:jc w:val="both"/>
        <w:rPr/>
      </w:pPr>
      <w:r>
        <w:rPr>
          <w:rFonts w:ascii="Titillium" w:hAnsi="Titillium"/>
          <w:color w:val="000000"/>
        </w:rPr>
        <w:t>Jeżeli zabezpieczenie jest wnoszone w formie gwarancji lub poręczenia, Wykonawca przekazuje Zamawiającemu oryginał gwarancji lub poręczenia, w postaci elektronicznej,</w:t>
      </w:r>
      <w:r>
        <w:rPr>
          <w:rFonts w:ascii="Titillium" w:hAnsi="Titillium"/>
          <w:b/>
          <w:bCs/>
        </w:rPr>
        <w:t xml:space="preserve"> tj. podpisany przez gwaranta lub poręczyciela kwalifikowanym podpisem elektronicznym na adres </w:t>
      </w:r>
      <w:hyperlink r:id="rId29">
        <w:r>
          <w:rPr>
            <w:rFonts w:ascii="Titillium" w:hAnsi="Titillium"/>
            <w:b/>
            <w:bCs/>
          </w:rPr>
          <w:t>um@rydultowy.pl</w:t>
        </w:r>
      </w:hyperlink>
      <w:r>
        <w:rPr>
          <w:rFonts w:ascii="Titillium" w:hAnsi="Titillium"/>
          <w:b/>
          <w:bCs/>
        </w:rPr>
        <w:t xml:space="preserve"> lub  za pośrednictwem platformy zakupowej.</w:t>
      </w:r>
    </w:p>
    <w:p>
      <w:pPr>
        <w:pStyle w:val="Standard"/>
        <w:numPr>
          <w:ilvl w:val="0"/>
          <w:numId w:val="39"/>
        </w:numPr>
        <w:tabs>
          <w:tab w:val="clear" w:pos="720"/>
          <w:tab w:val="left" w:pos="1135" w:leader="none"/>
        </w:tabs>
        <w:spacing w:lineRule="auto" w:line="276"/>
        <w:ind w:hanging="567" w:left="567"/>
        <w:jc w:val="both"/>
        <w:rPr>
          <w:rFonts w:ascii="Titillium" w:hAnsi="Titillium"/>
        </w:rPr>
      </w:pPr>
      <w:r>
        <w:rPr>
          <w:rFonts w:ascii="Titillium" w:hAnsi="Titillium"/>
        </w:rPr>
        <w:t>Zabezpieczenie powinno obowiązywać w sposób ciągły przez cały okres obowiązywania umowy.</w:t>
      </w:r>
    </w:p>
    <w:p>
      <w:pPr>
        <w:pStyle w:val="Standard"/>
        <w:numPr>
          <w:ilvl w:val="0"/>
          <w:numId w:val="39"/>
        </w:numPr>
        <w:tabs>
          <w:tab w:val="clear" w:pos="720"/>
          <w:tab w:val="left" w:pos="1135" w:leader="none"/>
        </w:tabs>
        <w:spacing w:lineRule="auto" w:line="276"/>
        <w:ind w:hanging="567" w:left="567"/>
        <w:jc w:val="both"/>
        <w:rPr>
          <w:rFonts w:ascii="Titillium" w:hAnsi="Titillium"/>
        </w:rPr>
      </w:pPr>
      <w:r>
        <w:rPr>
          <w:rFonts w:ascii="Titillium" w:hAnsi="Titillium"/>
          <w:color w:val="000000"/>
        </w:rPr>
        <w:t>W przypadku składania przez Wykonawcę zabezpieczenia w formie gwarancji lub poręczenia, dokument powinien być sporządzony zgodnie z</w:t>
      </w:r>
      <w:r>
        <w:rPr>
          <w:rFonts w:cs="Calibri" w:ascii="Titillium" w:hAnsi="Titillium"/>
          <w:color w:val="000000"/>
        </w:rPr>
        <w:t> </w:t>
      </w:r>
      <w:r>
        <w:rPr>
          <w:rFonts w:ascii="Titillium" w:hAnsi="Titillium"/>
          <w:color w:val="000000"/>
        </w:rPr>
        <w:t>obowi</w:t>
      </w:r>
      <w:r>
        <w:rPr>
          <w:rFonts w:cs="Titillium" w:ascii="Titillium" w:hAnsi="Titillium"/>
          <w:color w:val="000000"/>
        </w:rPr>
        <w:t>ą</w:t>
      </w:r>
      <w:r>
        <w:rPr>
          <w:rFonts w:ascii="Titillium" w:hAnsi="Titillium"/>
          <w:color w:val="000000"/>
        </w:rPr>
        <w:t>zuj</w:t>
      </w:r>
      <w:r>
        <w:rPr>
          <w:rFonts w:cs="Titillium" w:ascii="Titillium" w:hAnsi="Titillium"/>
          <w:color w:val="000000"/>
        </w:rPr>
        <w:t>ą</w:t>
      </w:r>
      <w:r>
        <w:rPr>
          <w:rFonts w:ascii="Titillium" w:hAnsi="Titillium"/>
          <w:color w:val="000000"/>
        </w:rPr>
        <w:t>cym prawem i winien zawiera</w:t>
      </w:r>
      <w:r>
        <w:rPr>
          <w:rFonts w:cs="Titillium" w:ascii="Titillium" w:hAnsi="Titillium"/>
          <w:color w:val="000000"/>
        </w:rPr>
        <w:t>ć</w:t>
      </w:r>
      <w:r>
        <w:rPr>
          <w:rFonts w:ascii="Titillium" w:hAnsi="Titillium"/>
          <w:color w:val="000000"/>
        </w:rPr>
        <w:t xml:space="preserve"> nast</w:t>
      </w:r>
      <w:r>
        <w:rPr>
          <w:rFonts w:cs="Titillium" w:ascii="Titillium" w:hAnsi="Titillium"/>
          <w:color w:val="000000"/>
        </w:rPr>
        <w:t>ę</w:t>
      </w:r>
      <w:r>
        <w:rPr>
          <w:rFonts w:ascii="Titillium" w:hAnsi="Titillium"/>
          <w:color w:val="000000"/>
        </w:rPr>
        <w:t>puj</w:t>
      </w:r>
      <w:r>
        <w:rPr>
          <w:rFonts w:cs="Titillium" w:ascii="Titillium" w:hAnsi="Titillium"/>
          <w:color w:val="000000"/>
        </w:rPr>
        <w:t>ą</w:t>
      </w:r>
      <w:r>
        <w:rPr>
          <w:rFonts w:ascii="Titillium" w:hAnsi="Titillium"/>
          <w:color w:val="000000"/>
        </w:rPr>
        <w:t>ce elementy: nazw</w:t>
      </w:r>
      <w:r>
        <w:rPr>
          <w:rFonts w:cs="Titillium" w:ascii="Titillium" w:hAnsi="Titillium"/>
          <w:color w:val="000000"/>
        </w:rPr>
        <w:t>ę</w:t>
      </w:r>
      <w:r>
        <w:rPr>
          <w:rFonts w:ascii="Titillium" w:hAnsi="Titillium"/>
          <w:color w:val="000000"/>
        </w:rPr>
        <w:t xml:space="preserve"> daj</w:t>
      </w:r>
      <w:r>
        <w:rPr>
          <w:rFonts w:cs="Titillium" w:ascii="Titillium" w:hAnsi="Titillium"/>
          <w:color w:val="000000"/>
        </w:rPr>
        <w:t>ą</w:t>
      </w:r>
      <w:r>
        <w:rPr>
          <w:rFonts w:ascii="Titillium" w:hAnsi="Titillium"/>
          <w:color w:val="000000"/>
        </w:rPr>
        <w:t>cego zlecenie (Wykonawcy), beneficjenta gwarancji/por</w:t>
      </w:r>
      <w:r>
        <w:rPr>
          <w:rFonts w:cs="Titillium" w:ascii="Titillium" w:hAnsi="Titillium"/>
          <w:color w:val="000000"/>
        </w:rPr>
        <w:t>ę</w:t>
      </w:r>
      <w:r>
        <w:rPr>
          <w:rFonts w:ascii="Titillium" w:hAnsi="Titillium"/>
          <w:color w:val="000000"/>
        </w:rPr>
        <w:t>czenia (Zamawiaj</w:t>
      </w:r>
      <w:r>
        <w:rPr>
          <w:rFonts w:cs="Titillium" w:ascii="Titillium" w:hAnsi="Titillium"/>
          <w:color w:val="000000"/>
        </w:rPr>
        <w:t>ą</w:t>
      </w:r>
      <w:r>
        <w:rPr>
          <w:rFonts w:ascii="Titillium" w:hAnsi="Titillium"/>
          <w:color w:val="000000"/>
        </w:rPr>
        <w:t>cego), gwaranta/por</w:t>
      </w:r>
      <w:r>
        <w:rPr>
          <w:rFonts w:cs="Titillium" w:ascii="Titillium" w:hAnsi="Titillium"/>
          <w:color w:val="000000"/>
        </w:rPr>
        <w:t>ę</w:t>
      </w:r>
      <w:r>
        <w:rPr>
          <w:rFonts w:ascii="Titillium" w:hAnsi="Titillium"/>
          <w:color w:val="000000"/>
        </w:rPr>
        <w:t>czyciela (instytucji udzielaj</w:t>
      </w:r>
      <w:r>
        <w:rPr>
          <w:rFonts w:cs="Titillium" w:ascii="Titillium" w:hAnsi="Titillium"/>
          <w:color w:val="000000"/>
        </w:rPr>
        <w:t>ą</w:t>
      </w:r>
      <w:r>
        <w:rPr>
          <w:rFonts w:ascii="Titillium" w:hAnsi="Titillium"/>
          <w:color w:val="000000"/>
        </w:rPr>
        <w:t>cych gwarancji/por</w:t>
      </w:r>
      <w:r>
        <w:rPr>
          <w:rFonts w:cs="Titillium" w:ascii="Titillium" w:hAnsi="Titillium"/>
          <w:color w:val="000000"/>
        </w:rPr>
        <w:t>ę</w:t>
      </w:r>
      <w:r>
        <w:rPr>
          <w:rFonts w:ascii="Titillium" w:hAnsi="Titillium"/>
          <w:color w:val="000000"/>
        </w:rPr>
        <w:t>czenia) oraz wskazanie ich siedzib, okre</w:t>
      </w:r>
      <w:r>
        <w:rPr>
          <w:rFonts w:cs="Titillium" w:ascii="Titillium" w:hAnsi="Titillium"/>
          <w:color w:val="000000"/>
        </w:rPr>
        <w:t>ś</w:t>
      </w:r>
      <w:r>
        <w:rPr>
          <w:rFonts w:ascii="Titillium" w:hAnsi="Titillium"/>
          <w:color w:val="000000"/>
        </w:rPr>
        <w:t>lenie wierzytelno</w:t>
      </w:r>
      <w:r>
        <w:rPr>
          <w:rFonts w:cs="Titillium" w:ascii="Titillium" w:hAnsi="Titillium"/>
          <w:color w:val="000000"/>
        </w:rPr>
        <w:t>ś</w:t>
      </w:r>
      <w:r>
        <w:rPr>
          <w:rFonts w:ascii="Titillium" w:hAnsi="Titillium"/>
          <w:color w:val="000000"/>
        </w:rPr>
        <w:t>ci, kt</w:t>
      </w:r>
      <w:r>
        <w:rPr>
          <w:rFonts w:cs="Titillium" w:ascii="Titillium" w:hAnsi="Titillium"/>
          <w:color w:val="000000"/>
        </w:rPr>
        <w:t>ó</w:t>
      </w:r>
      <w:r>
        <w:rPr>
          <w:rFonts w:ascii="Titillium" w:hAnsi="Titillium"/>
          <w:color w:val="000000"/>
        </w:rPr>
        <w:t>ra ma by</w:t>
      </w:r>
      <w:r>
        <w:rPr>
          <w:rFonts w:cs="Titillium" w:ascii="Titillium" w:hAnsi="Titillium"/>
          <w:color w:val="000000"/>
        </w:rPr>
        <w:t>ć</w:t>
      </w:r>
      <w:r>
        <w:rPr>
          <w:rFonts w:ascii="Titillium" w:hAnsi="Titillium"/>
          <w:color w:val="000000"/>
        </w:rPr>
        <w:t xml:space="preserve"> zabezpieczona gwarancj</w:t>
      </w:r>
      <w:r>
        <w:rPr>
          <w:rFonts w:cs="Titillium" w:ascii="Titillium" w:hAnsi="Titillium"/>
          <w:color w:val="000000"/>
        </w:rPr>
        <w:t>ą</w:t>
      </w:r>
      <w:r>
        <w:rPr>
          <w:rFonts w:ascii="Titillium" w:hAnsi="Titillium"/>
          <w:color w:val="000000"/>
        </w:rPr>
        <w:t>/por</w:t>
      </w:r>
      <w:r>
        <w:rPr>
          <w:rFonts w:cs="Titillium" w:ascii="Titillium" w:hAnsi="Titillium"/>
          <w:color w:val="000000"/>
        </w:rPr>
        <w:t>ę</w:t>
      </w:r>
      <w:r>
        <w:rPr>
          <w:rFonts w:ascii="Titillium" w:hAnsi="Titillium"/>
          <w:color w:val="000000"/>
        </w:rPr>
        <w:t>czeniem, kwot</w:t>
      </w:r>
      <w:r>
        <w:rPr>
          <w:rFonts w:cs="Titillium" w:ascii="Titillium" w:hAnsi="Titillium"/>
          <w:color w:val="000000"/>
        </w:rPr>
        <w:t>ę</w:t>
      </w:r>
      <w:r>
        <w:rPr>
          <w:rFonts w:ascii="Titillium" w:hAnsi="Titillium"/>
          <w:color w:val="000000"/>
        </w:rPr>
        <w:t xml:space="preserve"> gwarancji/por</w:t>
      </w:r>
      <w:r>
        <w:rPr>
          <w:rFonts w:cs="Titillium" w:ascii="Titillium" w:hAnsi="Titillium"/>
          <w:color w:val="000000"/>
        </w:rPr>
        <w:t>ę</w:t>
      </w:r>
      <w:r>
        <w:rPr>
          <w:rFonts w:ascii="Titillium" w:hAnsi="Titillium"/>
          <w:color w:val="000000"/>
        </w:rPr>
        <w:t xml:space="preserve">czenia, </w:t>
      </w:r>
      <w:r>
        <w:rPr>
          <w:rFonts w:ascii="Titillium" w:hAnsi="Titillium"/>
        </w:rPr>
        <w:t>termin ważności gwarancji/poręczenia,</w:t>
      </w:r>
    </w:p>
    <w:p>
      <w:pPr>
        <w:pStyle w:val="Standard"/>
        <w:numPr>
          <w:ilvl w:val="0"/>
          <w:numId w:val="39"/>
        </w:numPr>
        <w:tabs>
          <w:tab w:val="clear" w:pos="720"/>
          <w:tab w:val="left" w:pos="1135" w:leader="none"/>
        </w:tabs>
        <w:spacing w:lineRule="auto" w:line="276"/>
        <w:ind w:hanging="567" w:left="567"/>
        <w:jc w:val="both"/>
        <w:rPr>
          <w:rFonts w:ascii="Titillium" w:hAnsi="Titillium"/>
        </w:rPr>
      </w:pPr>
      <w:r>
        <w:rPr>
          <w:rFonts w:ascii="Titillium" w:hAnsi="Titillium"/>
          <w:b/>
          <w:bCs/>
        </w:rPr>
        <w:t>Zamawiający nie wyraża zgody, aby w treści gwarancji znajdowały się postanowienia dotyczące konieczności przekazywania żądania wypłaty świadczenia poprzez bank prowadzący rachunek Zamawiającego lub na potwierdzenie autentyczności podpisów osób pod wezwaniem (żądaniem) poprzez notariusza.</w:t>
      </w:r>
    </w:p>
    <w:p>
      <w:pPr>
        <w:pStyle w:val="Standard"/>
        <w:numPr>
          <w:ilvl w:val="0"/>
          <w:numId w:val="39"/>
        </w:numPr>
        <w:tabs>
          <w:tab w:val="clear" w:pos="720"/>
          <w:tab w:val="left" w:pos="1135" w:leader="none"/>
        </w:tabs>
        <w:spacing w:lineRule="auto" w:line="276"/>
        <w:ind w:hanging="567" w:left="567"/>
        <w:jc w:val="both"/>
        <w:rPr>
          <w:rFonts w:ascii="Titillium" w:hAnsi="Titillium"/>
        </w:rPr>
      </w:pPr>
      <w:r>
        <w:rPr>
          <w:rFonts w:ascii="Titillium" w:hAnsi="Titillium"/>
        </w:rPr>
        <w:t>Jeżeli zabezpieczenie wnoszone jest w formie gwarancji lub poręczenia, należy w miarę możliwości przedstawić ich treść Zamawiającemu, celem uzgodnienia.</w:t>
      </w:r>
    </w:p>
    <w:p>
      <w:pPr>
        <w:pStyle w:val="Standard"/>
        <w:numPr>
          <w:ilvl w:val="0"/>
          <w:numId w:val="39"/>
        </w:numPr>
        <w:tabs>
          <w:tab w:val="clear" w:pos="720"/>
          <w:tab w:val="left" w:pos="1135" w:leader="none"/>
        </w:tabs>
        <w:spacing w:lineRule="auto" w:line="276"/>
        <w:ind w:hanging="567" w:left="567"/>
        <w:jc w:val="both"/>
        <w:rPr>
          <w:rFonts w:ascii="Titillium" w:hAnsi="Titillium"/>
        </w:rPr>
      </w:pPr>
      <w:r>
        <w:rPr>
          <w:rFonts w:ascii="Titillium" w:hAnsi="Titillium"/>
        </w:rPr>
        <w:t>Zamawiający zwróci kwotę stanowiącą 70% zabezpieczenia w terminie 30 dni od dnia wykonania zamówienia i</w:t>
      </w:r>
      <w:r>
        <w:rPr>
          <w:rFonts w:cs="Calibri" w:ascii="Titillium" w:hAnsi="Titillium"/>
        </w:rPr>
        <w:t> </w:t>
      </w:r>
      <w:r>
        <w:rPr>
          <w:rFonts w:ascii="Titillium" w:hAnsi="Titillium"/>
        </w:rPr>
        <w:t>uznania przez Zamawiaj</w:t>
      </w:r>
      <w:r>
        <w:rPr>
          <w:rFonts w:cs="Titillium" w:ascii="Titillium" w:hAnsi="Titillium"/>
        </w:rPr>
        <w:t>ą</w:t>
      </w:r>
      <w:r>
        <w:rPr>
          <w:rFonts w:ascii="Titillium" w:hAnsi="Titillium"/>
        </w:rPr>
        <w:t>cego za nale</w:t>
      </w:r>
      <w:r>
        <w:rPr>
          <w:rFonts w:cs="Titillium" w:ascii="Titillium" w:hAnsi="Titillium"/>
        </w:rPr>
        <w:t>ż</w:t>
      </w:r>
      <w:r>
        <w:rPr>
          <w:rFonts w:ascii="Titillium" w:hAnsi="Titillium"/>
        </w:rPr>
        <w:t>ycie wykonane, tj. po podpisaniu protoko</w:t>
      </w:r>
      <w:r>
        <w:rPr>
          <w:rFonts w:cs="Titillium" w:ascii="Titillium" w:hAnsi="Titillium"/>
        </w:rPr>
        <w:t>ł</w:t>
      </w:r>
      <w:r>
        <w:rPr>
          <w:rFonts w:ascii="Titillium" w:hAnsi="Titillium"/>
        </w:rPr>
        <w:t>u odbioru ko</w:t>
      </w:r>
      <w:r>
        <w:rPr>
          <w:rFonts w:cs="Titillium" w:ascii="Titillium" w:hAnsi="Titillium"/>
        </w:rPr>
        <w:t>ń</w:t>
      </w:r>
      <w:r>
        <w:rPr>
          <w:rFonts w:ascii="Titillium" w:hAnsi="Titillium"/>
        </w:rPr>
        <w:t>cowego rob</w:t>
      </w:r>
      <w:r>
        <w:rPr>
          <w:rFonts w:cs="Titillium" w:ascii="Titillium" w:hAnsi="Titillium"/>
        </w:rPr>
        <w:t>ó</w:t>
      </w:r>
      <w:r>
        <w:rPr>
          <w:rFonts w:ascii="Titillium" w:hAnsi="Titillium"/>
        </w:rPr>
        <w:t>t  budowlanych.</w:t>
      </w:r>
    </w:p>
    <w:p>
      <w:pPr>
        <w:pStyle w:val="Standard"/>
        <w:numPr>
          <w:ilvl w:val="0"/>
          <w:numId w:val="39"/>
        </w:numPr>
        <w:tabs>
          <w:tab w:val="clear" w:pos="720"/>
          <w:tab w:val="left" w:pos="1135" w:leader="none"/>
        </w:tabs>
        <w:spacing w:lineRule="auto" w:line="276"/>
        <w:ind w:hanging="567" w:left="567"/>
        <w:jc w:val="both"/>
        <w:rPr>
          <w:rFonts w:ascii="Titillium" w:hAnsi="Titillium"/>
        </w:rPr>
      </w:pPr>
      <w:r>
        <w:rPr>
          <w:rFonts w:ascii="Titillium" w:hAnsi="Titillium"/>
        </w:rPr>
        <w:t>Kwotę stanowiącą 30% wysokości zabezpieczenia Zamawiający pozostawi na zabezpieczenie roszczeń z tytułu rękojmi za wady lub gwarancji.</w:t>
      </w:r>
    </w:p>
    <w:p>
      <w:pPr>
        <w:pStyle w:val="Standard"/>
        <w:numPr>
          <w:ilvl w:val="0"/>
          <w:numId w:val="39"/>
        </w:numPr>
        <w:tabs>
          <w:tab w:val="clear" w:pos="720"/>
          <w:tab w:val="left" w:pos="1135" w:leader="none"/>
        </w:tabs>
        <w:spacing w:lineRule="auto" w:line="276"/>
        <w:ind w:hanging="567" w:left="567"/>
        <w:jc w:val="both"/>
        <w:rPr>
          <w:rFonts w:ascii="Titillium" w:hAnsi="Titillium"/>
        </w:rPr>
      </w:pPr>
      <w:r>
        <w:rPr>
          <w:rFonts w:ascii="Titillium" w:hAnsi="Titillium"/>
        </w:rPr>
        <w:t>Kwota, o której mowa w ust. 12, zostanie zwrócona nie później niż w 15 dniu po upływie okresu rękojmi za wady lub gwarancji.</w:t>
      </w:r>
    </w:p>
    <w:p>
      <w:pPr>
        <w:pStyle w:val="Standard"/>
        <w:numPr>
          <w:ilvl w:val="0"/>
          <w:numId w:val="39"/>
        </w:numPr>
        <w:tabs>
          <w:tab w:val="clear" w:pos="720"/>
          <w:tab w:val="left" w:pos="1135" w:leader="none"/>
        </w:tabs>
        <w:spacing w:lineRule="auto" w:line="276"/>
        <w:ind w:hanging="567" w:left="567"/>
        <w:jc w:val="both"/>
        <w:rPr>
          <w:rFonts w:ascii="Titillium" w:hAnsi="Titillium"/>
        </w:rPr>
      </w:pPr>
      <w:r>
        <w:rPr>
          <w:rFonts w:ascii="Titillium" w:hAnsi="Titillium"/>
        </w:rPr>
        <w:t>W razie zmiany lub niedotrzymania umownego terminu zakończenia robót Wykonawca zobowiązuje się odpowiednio przedłużyć terminy ważności zabezpieczenia złożonego w innej formie niż pieniądz,  a jeśli nie jest to możliwe do wniesienia nowego zabezpieczenia na wydłużony okres realizacji zamówienia.</w:t>
      </w:r>
    </w:p>
    <w:p>
      <w:pPr>
        <w:pStyle w:val="Standard"/>
        <w:tabs>
          <w:tab w:val="left" w:pos="180" w:leader="none"/>
          <w:tab w:val="left" w:pos="720" w:leader="none"/>
        </w:tabs>
        <w:spacing w:lineRule="auto" w:line="276"/>
        <w:jc w:val="both"/>
        <w:rPr>
          <w:rFonts w:ascii="Titillium" w:hAnsi="Titillium"/>
        </w:rPr>
      </w:pPr>
      <w:r>
        <w:rPr>
          <w:rFonts w:ascii="Titillium" w:hAnsi="Titillium"/>
        </w:rPr>
      </w:r>
    </w:p>
    <w:p>
      <w:pPr>
        <w:pStyle w:val="Heading1"/>
        <w:numPr>
          <w:ilvl w:val="0"/>
          <w:numId w:val="46"/>
        </w:numPr>
        <w:jc w:val="both"/>
        <w:rPr>
          <w:rFonts w:ascii="Titillium" w:hAnsi="Titillium"/>
        </w:rPr>
      </w:pPr>
      <w:r>
        <w:rPr>
          <w:rFonts w:eastAsia="Times New Roman" w:cs="Times New Roman" w:ascii="Titillium" w:hAnsi="Titillium"/>
        </w:rPr>
        <w:t>P</w:t>
      </w:r>
      <w:r>
        <w:rPr>
          <w:rFonts w:ascii="Titillium" w:hAnsi="Titillium"/>
        </w:rPr>
        <w:t>rojektowane postanowienia umowy w sprawie zamówienia publicznego, które zostaną wprowadzone do treści tej umowy</w:t>
      </w:r>
    </w:p>
    <w:p>
      <w:pPr>
        <w:pStyle w:val="NormalWeb"/>
        <w:tabs>
          <w:tab w:val="clear" w:pos="720"/>
          <w:tab w:val="left" w:pos="171" w:leader="none"/>
          <w:tab w:val="left" w:pos="5805" w:leader="none"/>
          <w:tab w:val="left" w:pos="6840" w:leader="none"/>
        </w:tabs>
        <w:spacing w:lineRule="auto" w:line="276" w:before="0" w:after="0"/>
        <w:jc w:val="both"/>
        <w:rPr>
          <w:rFonts w:ascii="Titillium" w:hAnsi="Titillium"/>
        </w:rPr>
      </w:pPr>
      <w:r>
        <w:rPr>
          <w:rFonts w:ascii="Titillium" w:hAnsi="Titillium"/>
          <w:color w:val="000000"/>
        </w:rPr>
        <w:t>Projekty umów stanowią odpowiednio  załączniki nr 6a i b do SWZ.</w:t>
      </w:r>
    </w:p>
    <w:p>
      <w:pPr>
        <w:pStyle w:val="NormalWeb"/>
        <w:tabs>
          <w:tab w:val="clear" w:pos="720"/>
          <w:tab w:val="left" w:pos="171" w:leader="none"/>
          <w:tab w:val="left" w:pos="5805" w:leader="none"/>
          <w:tab w:val="left" w:pos="6840" w:leader="none"/>
        </w:tabs>
        <w:spacing w:lineRule="auto" w:line="276" w:before="0" w:after="0"/>
        <w:jc w:val="both"/>
        <w:rPr>
          <w:rFonts w:ascii="Titillium" w:hAnsi="Titillium"/>
          <w:strike/>
          <w:shd w:fill="FFFF00" w:val="clear"/>
        </w:rPr>
      </w:pPr>
      <w:r>
        <w:rPr>
          <w:rFonts w:ascii="Titillium" w:hAnsi="Titillium"/>
          <w:strike/>
          <w:shd w:fill="FFFF00" w:val="clear"/>
        </w:rPr>
      </w:r>
    </w:p>
    <w:p>
      <w:pPr>
        <w:pStyle w:val="Heading1"/>
        <w:numPr>
          <w:ilvl w:val="0"/>
          <w:numId w:val="46"/>
        </w:numPr>
        <w:jc w:val="both"/>
        <w:rPr>
          <w:rFonts w:ascii="Titillium" w:hAnsi="Titillium"/>
        </w:rPr>
      </w:pPr>
      <w:r>
        <w:rPr>
          <w:rFonts w:eastAsia="Times New Roman" w:cs="Times New Roman" w:ascii="Titillium" w:hAnsi="Titillium"/>
        </w:rPr>
        <w:t>P</w:t>
      </w:r>
      <w:r>
        <w:rPr>
          <w:rFonts w:ascii="Titillium" w:hAnsi="Titillium"/>
        </w:rPr>
        <w:t xml:space="preserve">ouczenie o środkach ochrony prawnej przysługujących </w:t>
      </w:r>
      <w:r>
        <w:rPr>
          <w:rFonts w:eastAsia="Times New Roman" w:cs="Times New Roman" w:ascii="Titillium" w:hAnsi="Titillium"/>
        </w:rPr>
        <w:t>W</w:t>
      </w:r>
      <w:r>
        <w:rPr>
          <w:rFonts w:ascii="Titillium" w:hAnsi="Titillium"/>
        </w:rPr>
        <w:t>ykonawcy</w:t>
      </w:r>
    </w:p>
    <w:p>
      <w:pPr>
        <w:pStyle w:val="Standard"/>
        <w:numPr>
          <w:ilvl w:val="0"/>
          <w:numId w:val="221"/>
        </w:numPr>
        <w:tabs>
          <w:tab w:val="clear" w:pos="720"/>
          <w:tab w:val="left" w:pos="1135" w:leader="none"/>
          <w:tab w:val="left" w:pos="4884" w:leader="none"/>
        </w:tabs>
        <w:spacing w:lineRule="auto" w:line="276"/>
        <w:ind w:hanging="567" w:left="567"/>
        <w:jc w:val="both"/>
        <w:rPr>
          <w:rFonts w:ascii="Titillium" w:hAnsi="Titillium"/>
        </w:rPr>
      </w:pPr>
      <w:r>
        <w:rPr>
          <w:rFonts w:ascii="Titillium" w:hAnsi="Titillium"/>
          <w:color w:val="000000"/>
        </w:rPr>
        <w:t>Środki ochrony prawnej zostały określone w dziale IX ustawy Pzp. Ze względu na obszerność przepisów prosi się Wykonawców o dokładne zapoznanie się z przepisami zawartymi w ustawie Pzp, zwłaszcza art. 505 – 590 ustawy Pzp.</w:t>
      </w:r>
    </w:p>
    <w:p>
      <w:pPr>
        <w:pStyle w:val="Standard"/>
        <w:numPr>
          <w:ilvl w:val="0"/>
          <w:numId w:val="222"/>
        </w:numPr>
        <w:tabs>
          <w:tab w:val="clear" w:pos="720"/>
          <w:tab w:val="left" w:pos="1135" w:leader="none"/>
          <w:tab w:val="left" w:pos="4884" w:leader="none"/>
        </w:tabs>
        <w:spacing w:lineRule="auto" w:line="276"/>
        <w:ind w:hanging="567" w:left="567"/>
        <w:jc w:val="both"/>
        <w:rPr>
          <w:rFonts w:ascii="Titillium" w:hAnsi="Titillium"/>
        </w:rPr>
      </w:pPr>
      <w:r>
        <w:rPr>
          <w:rFonts w:ascii="Titillium" w:hAnsi="Titillium"/>
          <w:color w:val="000000"/>
        </w:rPr>
        <w:t>Środki ochrony prawnej określone przysługują Wykonawcy, uczestnikowi konkursu oraz innemu podmiotowi, jeżeli ma lub miał interes w uzyskaniu zamówienia lub nagrody w konkursie oraz poniósł lub może ponieść szkodę w wyniku naruszenia przez Zamawiającego przepisów ustawy.</w:t>
      </w:r>
    </w:p>
    <w:p>
      <w:pPr>
        <w:pStyle w:val="Standard"/>
        <w:numPr>
          <w:ilvl w:val="0"/>
          <w:numId w:val="223"/>
        </w:numPr>
        <w:tabs>
          <w:tab w:val="clear" w:pos="720"/>
          <w:tab w:val="left" w:pos="1135" w:leader="none"/>
          <w:tab w:val="left" w:pos="4884" w:leader="none"/>
        </w:tabs>
        <w:spacing w:lineRule="auto" w:line="276"/>
        <w:ind w:hanging="567" w:left="567"/>
        <w:jc w:val="both"/>
        <w:rPr>
          <w:rFonts w:ascii="Titillium" w:hAnsi="Titillium"/>
        </w:rPr>
      </w:pPr>
      <w:r>
        <w:rPr>
          <w:rFonts w:ascii="Titillium" w:hAnsi="Titillium"/>
          <w:color w:val="000000"/>
        </w:rPr>
        <w:t>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dnia 23</w:t>
      </w:r>
      <w:r>
        <w:rPr>
          <w:rFonts w:cs="Calibri" w:ascii="Titillium" w:hAnsi="Titillium"/>
          <w:color w:val="000000"/>
        </w:rPr>
        <w:t> </w:t>
      </w:r>
      <w:r>
        <w:rPr>
          <w:rFonts w:ascii="Titillium" w:hAnsi="Titillium"/>
          <w:color w:val="000000"/>
        </w:rPr>
        <w:t>listopada 2012 r. - Prawo pocztowe, osobiście, za pośrednictwem posłańca, a pisma w postaci elektronicznej wnosi się przy użyciu środków komunikacji elektronicznej.</w:t>
      </w:r>
    </w:p>
    <w:p>
      <w:pPr>
        <w:pStyle w:val="Standard"/>
        <w:numPr>
          <w:ilvl w:val="0"/>
          <w:numId w:val="224"/>
        </w:numPr>
        <w:tabs>
          <w:tab w:val="clear" w:pos="720"/>
          <w:tab w:val="left" w:pos="1135" w:leader="none"/>
          <w:tab w:val="left" w:pos="4884" w:leader="none"/>
        </w:tabs>
        <w:spacing w:lineRule="auto" w:line="276"/>
        <w:ind w:hanging="567" w:left="567"/>
        <w:jc w:val="both"/>
        <w:rPr>
          <w:rFonts w:ascii="Titillium" w:hAnsi="Titillium"/>
        </w:rPr>
      </w:pPr>
      <w:r>
        <w:rPr>
          <w:rFonts w:ascii="Titillium" w:hAnsi="Titillium"/>
          <w:color w:val="000000"/>
        </w:rPr>
        <w:t>Zastosowanie mają także następujące przepisy wykonawcze:</w:t>
      </w:r>
    </w:p>
    <w:p>
      <w:pPr>
        <w:pStyle w:val="Standard"/>
        <w:numPr>
          <w:ilvl w:val="1"/>
          <w:numId w:val="225"/>
        </w:numPr>
        <w:tabs>
          <w:tab w:val="clear" w:pos="720"/>
          <w:tab w:val="left" w:pos="1702" w:leader="none"/>
          <w:tab w:val="left" w:pos="5451" w:leader="none"/>
        </w:tabs>
        <w:spacing w:lineRule="auto" w:line="276"/>
        <w:ind w:hanging="567" w:left="1134"/>
        <w:jc w:val="both"/>
        <w:rPr>
          <w:rFonts w:ascii="Titillium" w:hAnsi="Titillium"/>
        </w:rPr>
      </w:pPr>
      <w:r>
        <w:rPr>
          <w:rFonts w:ascii="Titillium" w:hAnsi="Titillium"/>
          <w:color w:val="000000"/>
        </w:rPr>
        <w:t xml:space="preserve">rozporządzenie </w:t>
      </w:r>
      <w:r>
        <w:rPr>
          <w:rFonts w:ascii="Titillium" w:hAnsi="Titillium"/>
        </w:rPr>
        <w:t xml:space="preserve">Prezesa Rady Ministrów z dnia 30 grudnia 2020 r. </w:t>
      </w:r>
      <w:r>
        <w:rPr>
          <w:rFonts w:ascii="Titillium" w:hAnsi="Titillium"/>
          <w:bCs/>
        </w:rPr>
        <w:t>w sprawie postępowania przy rozpoznawaniu odwołań przez Krajową Izbę Odwoławczą (Dz. U. poz. 2453)</w:t>
      </w:r>
      <w:r>
        <w:rPr>
          <w:rFonts w:ascii="Titillium" w:hAnsi="Titillium"/>
          <w:bCs/>
          <w:color w:val="000000"/>
        </w:rPr>
        <w:t>,</w:t>
      </w:r>
    </w:p>
    <w:p>
      <w:pPr>
        <w:pStyle w:val="Standard"/>
        <w:numPr>
          <w:ilvl w:val="1"/>
          <w:numId w:val="226"/>
        </w:numPr>
        <w:tabs>
          <w:tab w:val="clear" w:pos="720"/>
          <w:tab w:val="left" w:pos="1702" w:leader="none"/>
          <w:tab w:val="left" w:pos="5451" w:leader="none"/>
        </w:tabs>
        <w:spacing w:lineRule="auto" w:line="276"/>
        <w:ind w:hanging="567" w:left="1134"/>
        <w:jc w:val="both"/>
        <w:rPr>
          <w:rFonts w:ascii="Titillium" w:hAnsi="Titillium"/>
        </w:rPr>
      </w:pPr>
      <w:r>
        <w:rPr>
          <w:rFonts w:ascii="Titillium" w:hAnsi="Titillium"/>
          <w:color w:val="000000"/>
        </w:rPr>
        <w:t>rozporządzenie Prezesa Rady Ministrów z dnia 30 grudnia 2020 r.</w:t>
      </w:r>
      <w:r>
        <w:rPr>
          <w:rFonts w:ascii="Titillium" w:hAnsi="Titillium"/>
          <w:b/>
          <w:color w:val="000000"/>
        </w:rPr>
        <w:t xml:space="preserve"> </w:t>
      </w:r>
      <w:r>
        <w:rPr>
          <w:rFonts w:ascii="Titillium" w:hAnsi="Titillium"/>
          <w:color w:val="000000"/>
        </w:rPr>
        <w:t>w</w:t>
      </w:r>
      <w:r>
        <w:rPr>
          <w:rFonts w:ascii="Titillium" w:hAnsi="Titillium"/>
          <w:bCs/>
          <w:color w:val="000000"/>
        </w:rPr>
        <w:t xml:space="preserve"> sprawie szczegółowych rodzajów kosztów postępowania odwoławczego, ich rozliczania oraz wysokości i sposobu pobierania wpisu od odwołania (Dz. U. poz. 2437).</w:t>
      </w:r>
    </w:p>
    <w:p>
      <w:pPr>
        <w:pStyle w:val="Heading2"/>
        <w:numPr>
          <w:ilvl w:val="0"/>
          <w:numId w:val="0"/>
        </w:numPr>
        <w:ind w:hanging="576" w:left="576"/>
        <w:jc w:val="both"/>
        <w:rPr>
          <w:rFonts w:ascii="Titillium" w:hAnsi="Titillium"/>
        </w:rPr>
      </w:pPr>
      <w:r>
        <w:rPr>
          <w:rFonts w:ascii="Titillium" w:hAnsi="Titillium"/>
        </w:rPr>
        <w:t>Odwołanie</w:t>
      </w:r>
    </w:p>
    <w:p>
      <w:pPr>
        <w:pStyle w:val="Textbody"/>
        <w:numPr>
          <w:ilvl w:val="2"/>
          <w:numId w:val="8"/>
        </w:numPr>
        <w:tabs>
          <w:tab w:val="clear" w:pos="720"/>
          <w:tab w:val="left" w:pos="1135" w:leader="none"/>
        </w:tabs>
        <w:spacing w:lineRule="auto" w:line="276"/>
        <w:ind w:hanging="567" w:left="567"/>
        <w:jc w:val="both"/>
        <w:rPr>
          <w:rFonts w:ascii="Titillium" w:hAnsi="Titillium"/>
        </w:rPr>
      </w:pPr>
      <w:r>
        <w:rPr>
          <w:rFonts w:ascii="Titillium" w:hAnsi="Titillium"/>
          <w:bCs/>
          <w:sz w:val="20"/>
        </w:rPr>
        <w:t>Odwołanie przysługuje na:</w:t>
      </w:r>
    </w:p>
    <w:p>
      <w:pPr>
        <w:pStyle w:val="Textbody"/>
        <w:numPr>
          <w:ilvl w:val="3"/>
          <w:numId w:val="8"/>
        </w:numPr>
        <w:tabs>
          <w:tab w:val="clear" w:pos="720"/>
          <w:tab w:val="left" w:pos="1702" w:leader="none"/>
        </w:tabs>
        <w:spacing w:lineRule="auto" w:line="276"/>
        <w:ind w:hanging="567" w:left="1134"/>
        <w:jc w:val="both"/>
        <w:rPr>
          <w:rFonts w:ascii="Titillium" w:hAnsi="Titillium"/>
        </w:rPr>
      </w:pPr>
      <w:r>
        <w:rPr>
          <w:rFonts w:ascii="Titillium" w:hAnsi="Titillium"/>
          <w:sz w:val="20"/>
        </w:rPr>
        <w:t>niezgodną z przepisami ustawy czynność zamawiającego, podjętą w postępowaniu o</w:t>
      </w:r>
      <w:r>
        <w:rPr>
          <w:rFonts w:cs="Calibri" w:ascii="Titillium" w:hAnsi="Titillium"/>
          <w:sz w:val="20"/>
        </w:rPr>
        <w:t> </w:t>
      </w:r>
      <w:r>
        <w:rPr>
          <w:rFonts w:ascii="Titillium" w:hAnsi="Titillium"/>
          <w:sz w:val="20"/>
        </w:rPr>
        <w:t>udzielenie zam</w:t>
      </w:r>
      <w:r>
        <w:rPr>
          <w:rFonts w:cs="Titillium" w:ascii="Titillium" w:hAnsi="Titillium"/>
          <w:sz w:val="20"/>
        </w:rPr>
        <w:t>ó</w:t>
      </w:r>
      <w:r>
        <w:rPr>
          <w:rFonts w:ascii="Titillium" w:hAnsi="Titillium"/>
          <w:sz w:val="20"/>
        </w:rPr>
        <w:t>wienia, o zawarcie umowy ramowej, dynamicznym systemie zakup</w:t>
      </w:r>
      <w:r>
        <w:rPr>
          <w:rFonts w:cs="Titillium" w:ascii="Titillium" w:hAnsi="Titillium"/>
          <w:sz w:val="20"/>
        </w:rPr>
        <w:t>ó</w:t>
      </w:r>
      <w:r>
        <w:rPr>
          <w:rFonts w:ascii="Titillium" w:hAnsi="Titillium"/>
          <w:sz w:val="20"/>
        </w:rPr>
        <w:t>w, systemie kwalifikowania Wykonawców lub konkursie, w tym na projektowane postanowienie umowy;</w:t>
      </w:r>
    </w:p>
    <w:p>
      <w:pPr>
        <w:pStyle w:val="Textbody"/>
        <w:numPr>
          <w:ilvl w:val="3"/>
          <w:numId w:val="8"/>
        </w:numPr>
        <w:tabs>
          <w:tab w:val="clear" w:pos="720"/>
          <w:tab w:val="left" w:pos="1702" w:leader="none"/>
        </w:tabs>
        <w:spacing w:lineRule="auto" w:line="276"/>
        <w:ind w:hanging="567" w:left="1134"/>
        <w:jc w:val="both"/>
        <w:rPr>
          <w:rFonts w:ascii="Titillium" w:hAnsi="Titillium"/>
        </w:rPr>
      </w:pPr>
      <w:r>
        <w:rPr>
          <w:rFonts w:ascii="Titillium" w:hAnsi="Titillium"/>
          <w:sz w:val="20"/>
        </w:rPr>
        <w:t>zaniechanie czynności w postępowaniu o udzielenie zamówienia, o zawarcie umowy ramowej, dynamicznym systemie zakupów, systemie kwalifikowania Wykonawców lub konkursie, do której Zamawiający był obowiązany na podstawie ustawy;</w:t>
      </w:r>
    </w:p>
    <w:p>
      <w:pPr>
        <w:pStyle w:val="Textbody"/>
        <w:numPr>
          <w:ilvl w:val="3"/>
          <w:numId w:val="8"/>
        </w:numPr>
        <w:tabs>
          <w:tab w:val="clear" w:pos="720"/>
          <w:tab w:val="left" w:pos="1702" w:leader="none"/>
        </w:tabs>
        <w:spacing w:lineRule="auto" w:line="276"/>
        <w:ind w:hanging="567" w:left="1134"/>
        <w:jc w:val="both"/>
        <w:rPr>
          <w:rFonts w:ascii="Titillium" w:hAnsi="Titillium"/>
        </w:rPr>
      </w:pPr>
      <w:r>
        <w:rPr>
          <w:rFonts w:ascii="Titillium" w:hAnsi="Titillium"/>
          <w:sz w:val="20"/>
        </w:rPr>
        <w:t>zaniechanie przeprowadzenia postępowania o udzielenie zamówienia lub zorganizowania konkursu na podstawie ustawy, mimo że Zamawiający był do tego obowiązany.</w:t>
      </w:r>
    </w:p>
    <w:p>
      <w:pPr>
        <w:pStyle w:val="Textbody"/>
        <w:numPr>
          <w:ilvl w:val="2"/>
          <w:numId w:val="8"/>
        </w:numPr>
        <w:tabs>
          <w:tab w:val="clear" w:pos="720"/>
          <w:tab w:val="left" w:pos="1135" w:leader="none"/>
        </w:tabs>
        <w:spacing w:lineRule="auto" w:line="276"/>
        <w:ind w:hanging="567" w:left="567"/>
        <w:jc w:val="both"/>
        <w:rPr>
          <w:rFonts w:ascii="Titillium" w:hAnsi="Titillium"/>
        </w:rPr>
      </w:pPr>
      <w:r>
        <w:rPr>
          <w:rFonts w:ascii="Titillium" w:hAnsi="Titillium"/>
          <w:b/>
          <w:sz w:val="20"/>
        </w:rPr>
        <w:t>Odwołanie wnosi się do Prezesa Krajowej Izby Odwoławczej.</w:t>
      </w:r>
    </w:p>
    <w:p>
      <w:pPr>
        <w:pStyle w:val="Textbody"/>
        <w:numPr>
          <w:ilvl w:val="2"/>
          <w:numId w:val="8"/>
        </w:numPr>
        <w:tabs>
          <w:tab w:val="clear" w:pos="720"/>
          <w:tab w:val="left" w:pos="1135" w:leader="none"/>
        </w:tabs>
        <w:spacing w:lineRule="auto" w:line="276"/>
        <w:ind w:hanging="567" w:left="567"/>
        <w:jc w:val="both"/>
        <w:rPr>
          <w:rFonts w:ascii="Titillium" w:hAnsi="Titillium"/>
        </w:rPr>
      </w:pPr>
      <w:r>
        <w:rPr>
          <w:rFonts w:ascii="Titillium" w:hAnsi="Titillium"/>
          <w:b/>
          <w:sz w:val="20"/>
        </w:rPr>
        <w:t xml:space="preserve">Odwołujący </w:t>
      </w:r>
      <w:r>
        <w:rPr>
          <w:rFonts w:ascii="Titillium" w:hAnsi="Titillium"/>
          <w:sz w:val="20"/>
        </w:rPr>
        <w:t>przekazuje Zamawiającemu</w:t>
      </w:r>
      <w:r>
        <w:rPr>
          <w:rFonts w:ascii="Titillium" w:hAnsi="Titillium"/>
          <w:b/>
          <w:sz w:val="20"/>
        </w:rPr>
        <w:t xml:space="preserve"> odwołanie wniesione w formie elektronicznej albo postaci elektronicznej albo kopię tego odwołania,</w:t>
      </w:r>
      <w:r>
        <w:rPr>
          <w:rFonts w:ascii="Titillium" w:hAnsi="Titillium"/>
          <w:sz w:val="20"/>
        </w:rPr>
        <w:t xml:space="preserve"> jeżeli zostało ono wniesione w formie pisemnej, przed upływem terminu do wniesienia odwołania w taki sposób, aby mógł on zapoznać się z jego treścią przed upływem tego terminu.</w:t>
      </w:r>
      <w:r>
        <w:rPr>
          <w:rFonts w:ascii="Titillium" w:hAnsi="Titillium"/>
          <w:b/>
          <w:sz w:val="20"/>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pPr>
        <w:pStyle w:val="Textbody"/>
        <w:numPr>
          <w:ilvl w:val="2"/>
          <w:numId w:val="8"/>
        </w:numPr>
        <w:tabs>
          <w:tab w:val="clear" w:pos="720"/>
          <w:tab w:val="left" w:pos="1135" w:leader="none"/>
        </w:tabs>
        <w:spacing w:lineRule="auto" w:line="276"/>
        <w:ind w:hanging="567" w:left="567"/>
        <w:jc w:val="both"/>
        <w:rPr>
          <w:rFonts w:ascii="Titillium" w:hAnsi="Titillium"/>
        </w:rPr>
      </w:pPr>
      <w:r>
        <w:rPr>
          <w:rFonts w:ascii="Titillium" w:hAnsi="Titillium"/>
          <w:sz w:val="20"/>
        </w:rPr>
        <w:t xml:space="preserve">Odwołanie wnosi się </w:t>
      </w:r>
      <w:r>
        <w:rPr>
          <w:rFonts w:ascii="Titillium" w:hAnsi="Titillium"/>
          <w:b/>
          <w:bCs/>
          <w:sz w:val="20"/>
        </w:rPr>
        <w:t xml:space="preserve">w terminie 5 dni </w:t>
      </w:r>
      <w:r>
        <w:rPr>
          <w:rFonts w:ascii="Titillium" w:hAnsi="Titillium"/>
          <w:sz w:val="20"/>
        </w:rPr>
        <w:t>od dnia przekazania informacji o czynno</w:t>
      </w:r>
      <w:r>
        <w:rPr>
          <w:rFonts w:eastAsia="TimesNewRoman,Bold" w:ascii="Titillium" w:hAnsi="Titillium"/>
          <w:sz w:val="20"/>
        </w:rPr>
        <w:t>ś</w:t>
      </w:r>
      <w:r>
        <w:rPr>
          <w:rFonts w:ascii="Titillium" w:hAnsi="Titillium"/>
          <w:sz w:val="20"/>
        </w:rPr>
        <w:t>ci Zamawiaj</w:t>
      </w:r>
      <w:r>
        <w:rPr>
          <w:rFonts w:eastAsia="TimesNewRoman,Bold" w:ascii="Titillium" w:hAnsi="Titillium"/>
          <w:sz w:val="20"/>
        </w:rPr>
        <w:t>ą</w:t>
      </w:r>
      <w:r>
        <w:rPr>
          <w:rFonts w:ascii="Titillium" w:hAnsi="Titillium"/>
          <w:sz w:val="20"/>
        </w:rPr>
        <w:t>cego stanowi</w:t>
      </w:r>
      <w:r>
        <w:rPr>
          <w:rFonts w:eastAsia="TimesNewRoman,Bold" w:ascii="Titillium" w:hAnsi="Titillium"/>
          <w:sz w:val="20"/>
        </w:rPr>
        <w:t>ą</w:t>
      </w:r>
      <w:r>
        <w:rPr>
          <w:rFonts w:ascii="Titillium" w:hAnsi="Titillium"/>
          <w:sz w:val="20"/>
        </w:rPr>
        <w:t>cej podstaw</w:t>
      </w:r>
      <w:r>
        <w:rPr>
          <w:rFonts w:eastAsia="TimesNewRoman,Bold" w:ascii="Titillium" w:hAnsi="Titillium"/>
          <w:sz w:val="20"/>
        </w:rPr>
        <w:t xml:space="preserve">ę </w:t>
      </w:r>
      <w:r>
        <w:rPr>
          <w:rFonts w:ascii="Titillium" w:hAnsi="Titillium"/>
          <w:sz w:val="20"/>
        </w:rPr>
        <w:t>jego wniesienia – je</w:t>
      </w:r>
      <w:r>
        <w:rPr>
          <w:rFonts w:eastAsia="TimesNewRoman,Bold" w:ascii="Titillium" w:hAnsi="Titillium"/>
          <w:sz w:val="20"/>
        </w:rPr>
        <w:t>ż</w:t>
      </w:r>
      <w:r>
        <w:rPr>
          <w:rFonts w:ascii="Titillium" w:hAnsi="Titillium"/>
          <w:sz w:val="20"/>
        </w:rPr>
        <w:t>eli informacja została przekazania przy użyciu środków komunikacji elektronicznej, al</w:t>
      </w:r>
      <w:r>
        <w:rPr>
          <w:rFonts w:ascii="Titillium" w:hAnsi="Titillium"/>
          <w:b/>
          <w:bCs/>
          <w:sz w:val="20"/>
        </w:rPr>
        <w:t>bo w terminie 10 dni – od dnia przekazania informacji o czynności Zamawiającego stanowiącej podstawę jego wniesienia, jeżeli informacja została przekazana                   w</w:t>
      </w:r>
      <w:r>
        <w:rPr>
          <w:rFonts w:cs="Calibri" w:ascii="Titillium" w:hAnsi="Titillium"/>
          <w:b/>
          <w:bCs/>
          <w:sz w:val="20"/>
        </w:rPr>
        <w:t> </w:t>
      </w:r>
      <w:r>
        <w:rPr>
          <w:rFonts w:ascii="Titillium" w:hAnsi="Titillium"/>
          <w:b/>
          <w:bCs/>
          <w:sz w:val="20"/>
        </w:rPr>
        <w:t>spos</w:t>
      </w:r>
      <w:r>
        <w:rPr>
          <w:rFonts w:cs="Titillium" w:ascii="Titillium" w:hAnsi="Titillium"/>
          <w:b/>
          <w:bCs/>
          <w:sz w:val="20"/>
        </w:rPr>
        <w:t>ó</w:t>
      </w:r>
      <w:r>
        <w:rPr>
          <w:rFonts w:ascii="Titillium" w:hAnsi="Titillium"/>
          <w:b/>
          <w:bCs/>
          <w:sz w:val="20"/>
        </w:rPr>
        <w:t>b inny ni</w:t>
      </w:r>
      <w:r>
        <w:rPr>
          <w:rFonts w:cs="Titillium" w:ascii="Titillium" w:hAnsi="Titillium"/>
          <w:b/>
          <w:bCs/>
          <w:sz w:val="20"/>
        </w:rPr>
        <w:t>ż</w:t>
      </w:r>
      <w:r>
        <w:rPr>
          <w:rFonts w:ascii="Titillium" w:hAnsi="Titillium"/>
          <w:b/>
          <w:bCs/>
          <w:sz w:val="20"/>
        </w:rPr>
        <w:t xml:space="preserve"> okre</w:t>
      </w:r>
      <w:r>
        <w:rPr>
          <w:rFonts w:cs="Titillium" w:ascii="Titillium" w:hAnsi="Titillium"/>
          <w:b/>
          <w:bCs/>
          <w:sz w:val="20"/>
        </w:rPr>
        <w:t>ś</w:t>
      </w:r>
      <w:r>
        <w:rPr>
          <w:rFonts w:ascii="Titillium" w:hAnsi="Titillium"/>
          <w:b/>
          <w:bCs/>
          <w:sz w:val="20"/>
        </w:rPr>
        <w:t>lony w zdaniu poprzedzaj</w:t>
      </w:r>
      <w:r>
        <w:rPr>
          <w:rFonts w:cs="Titillium" w:ascii="Titillium" w:hAnsi="Titillium"/>
          <w:b/>
          <w:bCs/>
          <w:sz w:val="20"/>
        </w:rPr>
        <w:t>ą</w:t>
      </w:r>
      <w:r>
        <w:rPr>
          <w:rFonts w:ascii="Titillium" w:hAnsi="Titillium"/>
          <w:b/>
          <w:bCs/>
          <w:sz w:val="20"/>
        </w:rPr>
        <w:t>cym.</w:t>
      </w:r>
    </w:p>
    <w:p>
      <w:pPr>
        <w:pStyle w:val="Textbody"/>
        <w:numPr>
          <w:ilvl w:val="2"/>
          <w:numId w:val="8"/>
        </w:numPr>
        <w:tabs>
          <w:tab w:val="clear" w:pos="720"/>
          <w:tab w:val="left" w:pos="1135" w:leader="none"/>
        </w:tabs>
        <w:spacing w:lineRule="auto" w:line="276"/>
        <w:ind w:hanging="567" w:left="567"/>
        <w:jc w:val="both"/>
        <w:rPr>
          <w:rFonts w:ascii="Titillium" w:hAnsi="Titillium"/>
        </w:rPr>
      </w:pPr>
      <w:r>
        <w:rPr>
          <w:rFonts w:ascii="Titillium" w:hAnsi="Titillium"/>
          <w:sz w:val="20"/>
        </w:rPr>
        <w:t>Odwołanie wobec treści ogłoszenia wszczynającego postępowanie o udzielenie zamówienia lub konkurs lub wobec treści dokumentów zamówienia wnosi się w terminie</w:t>
      </w:r>
      <w:r>
        <w:rPr>
          <w:rFonts w:ascii="Titillium" w:hAnsi="Titillium"/>
          <w:b/>
          <w:bCs/>
          <w:sz w:val="20"/>
        </w:rPr>
        <w:t xml:space="preserve"> 5 dni </w:t>
      </w:r>
      <w:r>
        <w:rPr>
          <w:rFonts w:ascii="Titillium" w:hAnsi="Titillium"/>
          <w:sz w:val="20"/>
        </w:rPr>
        <w:t>od dnia zamieszczenia ogłoszenia w Biuletynie Zamówień Publicznych lub dokumentów zamówienia na stronie internetowej.</w:t>
      </w:r>
    </w:p>
    <w:p>
      <w:pPr>
        <w:pStyle w:val="Textbody"/>
        <w:numPr>
          <w:ilvl w:val="2"/>
          <w:numId w:val="8"/>
        </w:numPr>
        <w:tabs>
          <w:tab w:val="clear" w:pos="720"/>
          <w:tab w:val="left" w:pos="1135" w:leader="none"/>
        </w:tabs>
        <w:spacing w:lineRule="auto" w:line="276"/>
        <w:ind w:hanging="567" w:left="567"/>
        <w:jc w:val="both"/>
        <w:rPr>
          <w:rFonts w:ascii="Titillium" w:hAnsi="Titillium"/>
        </w:rPr>
      </w:pPr>
      <w:r>
        <w:rPr>
          <w:rFonts w:ascii="Titillium" w:hAnsi="Titillium"/>
          <w:bCs/>
          <w:sz w:val="20"/>
        </w:rPr>
        <w:t xml:space="preserve">Odwołanie wobec czynności innych niż określone w ust. 4 i 5 wnosi się w terminie </w:t>
      </w:r>
      <w:r>
        <w:rPr>
          <w:rFonts w:ascii="Titillium" w:hAnsi="Titillium"/>
          <w:b/>
          <w:bCs/>
          <w:sz w:val="20"/>
        </w:rPr>
        <w:t>5 dni</w:t>
      </w:r>
      <w:r>
        <w:rPr>
          <w:rFonts w:ascii="Titillium" w:hAnsi="Titillium"/>
          <w:bCs/>
          <w:sz w:val="20"/>
        </w:rPr>
        <w:t xml:space="preserve"> od dnia,                 w</w:t>
      </w:r>
      <w:r>
        <w:rPr>
          <w:rFonts w:cs="Calibri" w:ascii="Titillium" w:hAnsi="Titillium"/>
          <w:bCs/>
          <w:sz w:val="20"/>
        </w:rPr>
        <w:t> </w:t>
      </w:r>
      <w:r>
        <w:rPr>
          <w:rFonts w:ascii="Titillium" w:hAnsi="Titillium"/>
          <w:bCs/>
          <w:sz w:val="20"/>
        </w:rPr>
        <w:t>kt</w:t>
      </w:r>
      <w:r>
        <w:rPr>
          <w:rFonts w:cs="Titillium" w:ascii="Titillium" w:hAnsi="Titillium"/>
          <w:bCs/>
          <w:sz w:val="20"/>
        </w:rPr>
        <w:t>ó</w:t>
      </w:r>
      <w:r>
        <w:rPr>
          <w:rFonts w:ascii="Titillium" w:hAnsi="Titillium"/>
          <w:bCs/>
          <w:sz w:val="20"/>
        </w:rPr>
        <w:t>rym powzi</w:t>
      </w:r>
      <w:r>
        <w:rPr>
          <w:rFonts w:eastAsia="TimesNewRoman,Bold" w:ascii="Titillium" w:hAnsi="Titillium"/>
          <w:bCs/>
          <w:sz w:val="20"/>
        </w:rPr>
        <w:t>ę</w:t>
      </w:r>
      <w:r>
        <w:rPr>
          <w:rFonts w:ascii="Titillium" w:hAnsi="Titillium"/>
          <w:bCs/>
          <w:sz w:val="20"/>
        </w:rPr>
        <w:t>to lub przy zachowaniu należytej staranno</w:t>
      </w:r>
      <w:r>
        <w:rPr>
          <w:rFonts w:eastAsia="TimesNewRoman,Bold" w:ascii="Titillium" w:hAnsi="Titillium"/>
          <w:bCs/>
          <w:sz w:val="20"/>
        </w:rPr>
        <w:t>ś</w:t>
      </w:r>
      <w:r>
        <w:rPr>
          <w:rFonts w:ascii="Titillium" w:hAnsi="Titillium"/>
          <w:bCs/>
          <w:sz w:val="20"/>
        </w:rPr>
        <w:t>ci mo</w:t>
      </w:r>
      <w:r>
        <w:rPr>
          <w:rFonts w:eastAsia="TimesNewRoman,Bold" w:ascii="Titillium" w:hAnsi="Titillium"/>
          <w:bCs/>
          <w:sz w:val="20"/>
        </w:rPr>
        <w:t>ż</w:t>
      </w:r>
      <w:r>
        <w:rPr>
          <w:rFonts w:ascii="Titillium" w:hAnsi="Titillium"/>
          <w:bCs/>
          <w:sz w:val="20"/>
        </w:rPr>
        <w:t>na było powzi</w:t>
      </w:r>
      <w:r>
        <w:rPr>
          <w:rFonts w:eastAsia="TimesNewRoman,Bold" w:ascii="Titillium" w:hAnsi="Titillium"/>
          <w:bCs/>
          <w:sz w:val="20"/>
        </w:rPr>
        <w:t xml:space="preserve">ąć </w:t>
      </w:r>
      <w:r>
        <w:rPr>
          <w:rFonts w:ascii="Titillium" w:hAnsi="Titillium"/>
          <w:bCs/>
          <w:sz w:val="20"/>
        </w:rPr>
        <w:t>wiadomo</w:t>
      </w:r>
      <w:r>
        <w:rPr>
          <w:rFonts w:eastAsia="TimesNewRoman,Bold" w:ascii="Titillium" w:hAnsi="Titillium"/>
          <w:bCs/>
          <w:sz w:val="20"/>
        </w:rPr>
        <w:t xml:space="preserve">ść                 </w:t>
      </w:r>
      <w:r>
        <w:rPr>
          <w:rFonts w:ascii="Titillium" w:hAnsi="Titillium"/>
          <w:bCs/>
          <w:sz w:val="20"/>
        </w:rPr>
        <w:t>o</w:t>
      </w:r>
      <w:r>
        <w:rPr>
          <w:rFonts w:cs="Calibri" w:ascii="Titillium" w:hAnsi="Titillium"/>
          <w:bCs/>
          <w:sz w:val="20"/>
        </w:rPr>
        <w:t> </w:t>
      </w:r>
      <w:r>
        <w:rPr>
          <w:rFonts w:ascii="Titillium" w:hAnsi="Titillium"/>
          <w:bCs/>
          <w:sz w:val="20"/>
        </w:rPr>
        <w:t>okoliczno</w:t>
      </w:r>
      <w:r>
        <w:rPr>
          <w:rFonts w:eastAsia="TimesNewRoman,Bold" w:ascii="Titillium" w:hAnsi="Titillium"/>
          <w:bCs/>
          <w:sz w:val="20"/>
        </w:rPr>
        <w:t>ś</w:t>
      </w:r>
      <w:r>
        <w:rPr>
          <w:rFonts w:ascii="Titillium" w:hAnsi="Titillium"/>
          <w:bCs/>
          <w:sz w:val="20"/>
        </w:rPr>
        <w:t>ciach stanowi</w:t>
      </w:r>
      <w:r>
        <w:rPr>
          <w:rFonts w:eastAsia="TimesNewRoman,Bold" w:ascii="Titillium" w:hAnsi="Titillium"/>
          <w:bCs/>
          <w:sz w:val="20"/>
        </w:rPr>
        <w:t>ą</w:t>
      </w:r>
      <w:r>
        <w:rPr>
          <w:rFonts w:ascii="Titillium" w:hAnsi="Titillium"/>
          <w:bCs/>
          <w:sz w:val="20"/>
        </w:rPr>
        <w:t>cych podstaw</w:t>
      </w:r>
      <w:r>
        <w:rPr>
          <w:rFonts w:eastAsia="TimesNewRoman,Bold" w:ascii="Titillium" w:hAnsi="Titillium"/>
          <w:bCs/>
          <w:sz w:val="20"/>
        </w:rPr>
        <w:t xml:space="preserve">ę </w:t>
      </w:r>
      <w:r>
        <w:rPr>
          <w:rFonts w:ascii="Titillium" w:hAnsi="Titillium"/>
          <w:bCs/>
          <w:sz w:val="20"/>
        </w:rPr>
        <w:t>jego wniesienia.</w:t>
      </w:r>
    </w:p>
    <w:p>
      <w:pPr>
        <w:pStyle w:val="Textbody"/>
        <w:numPr>
          <w:ilvl w:val="2"/>
          <w:numId w:val="8"/>
        </w:numPr>
        <w:tabs>
          <w:tab w:val="clear" w:pos="720"/>
          <w:tab w:val="left" w:pos="1135" w:leader="none"/>
        </w:tabs>
        <w:spacing w:lineRule="auto" w:line="276"/>
        <w:ind w:hanging="567" w:left="567"/>
        <w:jc w:val="both"/>
        <w:rPr>
          <w:rFonts w:ascii="Titillium" w:hAnsi="Titillium"/>
        </w:rPr>
      </w:pPr>
      <w:r>
        <w:rPr>
          <w:rFonts w:ascii="Titillium" w:hAnsi="Titillium"/>
          <w:bCs/>
          <w:sz w:val="20"/>
        </w:rPr>
        <w:t>Odwołanie zawiera elementy określone w przepisie art. 516 ustawy Pzp.</w:t>
      </w:r>
    </w:p>
    <w:p>
      <w:pPr>
        <w:pStyle w:val="Textbody"/>
        <w:numPr>
          <w:ilvl w:val="2"/>
          <w:numId w:val="8"/>
        </w:numPr>
        <w:tabs>
          <w:tab w:val="clear" w:pos="720"/>
          <w:tab w:val="left" w:pos="1135" w:leader="none"/>
        </w:tabs>
        <w:spacing w:lineRule="auto" w:line="276"/>
        <w:ind w:hanging="567" w:left="567"/>
        <w:jc w:val="both"/>
        <w:rPr>
          <w:rFonts w:ascii="Titillium" w:hAnsi="Titillium"/>
        </w:rPr>
      </w:pPr>
      <w:r>
        <w:rPr>
          <w:rFonts w:ascii="Titillium" w:hAnsi="Titillium"/>
          <w:bCs/>
          <w:sz w:val="20"/>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pPr>
        <w:pStyle w:val="Textbody"/>
        <w:numPr>
          <w:ilvl w:val="2"/>
          <w:numId w:val="8"/>
        </w:numPr>
        <w:tabs>
          <w:tab w:val="clear" w:pos="720"/>
          <w:tab w:val="left" w:pos="1135" w:leader="none"/>
        </w:tabs>
        <w:spacing w:lineRule="auto" w:line="276"/>
        <w:ind w:hanging="567" w:left="567"/>
        <w:jc w:val="both"/>
        <w:rPr>
          <w:rFonts w:ascii="Titillium" w:hAnsi="Titillium"/>
        </w:rPr>
      </w:pPr>
      <w:r>
        <w:rPr>
          <w:rFonts w:ascii="Titillium" w:hAnsi="Titillium"/>
          <w:sz w:val="20"/>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pPr>
        <w:pStyle w:val="Standard"/>
        <w:tabs>
          <w:tab w:val="left" w:pos="720" w:leader="none"/>
        </w:tabs>
        <w:spacing w:lineRule="auto" w:line="276"/>
        <w:ind w:hanging="360" w:left="360"/>
        <w:jc w:val="both"/>
        <w:rPr>
          <w:rFonts w:ascii="Titillium" w:hAnsi="Titillium"/>
        </w:rPr>
      </w:pPr>
      <w:r>
        <w:rPr>
          <w:rFonts w:ascii="Titillium" w:hAnsi="Titillium"/>
        </w:rPr>
      </w:r>
    </w:p>
    <w:p>
      <w:pPr>
        <w:pStyle w:val="Heading2"/>
        <w:numPr>
          <w:ilvl w:val="0"/>
          <w:numId w:val="0"/>
        </w:numPr>
        <w:ind w:hanging="576" w:left="576"/>
        <w:jc w:val="both"/>
        <w:rPr>
          <w:rFonts w:ascii="Titillium" w:hAnsi="Titillium"/>
        </w:rPr>
      </w:pPr>
      <w:r>
        <w:rPr>
          <w:rFonts w:ascii="Titillium" w:hAnsi="Titillium"/>
          <w:sz w:val="20"/>
          <w:szCs w:val="20"/>
        </w:rPr>
        <w:t>Skarga do sądu</w:t>
      </w:r>
    </w:p>
    <w:p>
      <w:pPr>
        <w:pStyle w:val="Standard"/>
        <w:numPr>
          <w:ilvl w:val="0"/>
          <w:numId w:val="40"/>
        </w:numPr>
        <w:tabs>
          <w:tab w:val="clear" w:pos="720"/>
          <w:tab w:val="left" w:pos="1135" w:leader="none"/>
        </w:tabs>
        <w:spacing w:lineRule="auto" w:line="276"/>
        <w:ind w:hanging="567" w:left="567"/>
        <w:jc w:val="both"/>
        <w:rPr>
          <w:rFonts w:ascii="Titillium" w:hAnsi="Titillium"/>
        </w:rPr>
      </w:pPr>
      <w:r>
        <w:rPr>
          <w:rFonts w:ascii="Titillium" w:hAnsi="Titillium"/>
        </w:rPr>
        <w:t>Na orzeczenie Izby oraz postanowienie Prezesa Izby, o którym mowa w art. 519 ust. 1 ustawy Pzp, stronom oraz uczestnikom postępowania odwoławczego przysługuje skarga do sądu.</w:t>
      </w:r>
    </w:p>
    <w:p>
      <w:pPr>
        <w:pStyle w:val="Standard"/>
        <w:numPr>
          <w:ilvl w:val="0"/>
          <w:numId w:val="40"/>
        </w:numPr>
        <w:tabs>
          <w:tab w:val="clear" w:pos="720"/>
          <w:tab w:val="left" w:pos="1135" w:leader="none"/>
        </w:tabs>
        <w:spacing w:lineRule="auto" w:line="276"/>
        <w:ind w:hanging="567" w:left="567"/>
        <w:jc w:val="both"/>
        <w:rPr>
          <w:rFonts w:ascii="Titillium" w:hAnsi="Titillium"/>
        </w:rPr>
      </w:pPr>
      <w:r>
        <w:rPr>
          <w:rFonts w:ascii="Titillium" w:hAnsi="Titillium"/>
        </w:rPr>
        <w:t>W postępowaniu toczącym się wskutek wniesienia skargi stosuje się odpowiednio przepisy ustawy z dnia 17 listopada 1964 r. - Kodeks postępowania cywilnego o apelacji, jeżeli przepisy niniejszego rozdziału nie stanowią inaczej.</w:t>
      </w:r>
    </w:p>
    <w:p>
      <w:pPr>
        <w:pStyle w:val="Standard"/>
        <w:numPr>
          <w:ilvl w:val="0"/>
          <w:numId w:val="40"/>
        </w:numPr>
        <w:tabs>
          <w:tab w:val="clear" w:pos="720"/>
          <w:tab w:val="left" w:pos="1135" w:leader="none"/>
        </w:tabs>
        <w:spacing w:lineRule="auto" w:line="276"/>
        <w:ind w:hanging="567" w:left="567"/>
        <w:jc w:val="both"/>
        <w:rPr>
          <w:rFonts w:ascii="Titillium" w:hAnsi="Titillium"/>
        </w:rPr>
      </w:pPr>
      <w:r>
        <w:rPr>
          <w:rFonts w:ascii="Titillium" w:hAnsi="Titillium"/>
          <w:bCs/>
        </w:rPr>
        <w:t>Skarg</w:t>
      </w:r>
      <w:r>
        <w:rPr>
          <w:rFonts w:eastAsia="TimesNewRoman,Bold" w:ascii="Titillium" w:hAnsi="Titillium"/>
          <w:bCs/>
        </w:rPr>
        <w:t xml:space="preserve">ę </w:t>
      </w:r>
      <w:r>
        <w:rPr>
          <w:rFonts w:ascii="Titillium" w:hAnsi="Titillium"/>
          <w:bCs/>
        </w:rPr>
        <w:t>wnosi si</w:t>
      </w:r>
      <w:r>
        <w:rPr>
          <w:rFonts w:eastAsia="TimesNewRoman,Bold" w:ascii="Titillium" w:hAnsi="Titillium"/>
          <w:bCs/>
        </w:rPr>
        <w:t xml:space="preserve">ę </w:t>
      </w:r>
      <w:r>
        <w:rPr>
          <w:rFonts w:ascii="Titillium" w:hAnsi="Titillium"/>
          <w:bCs/>
        </w:rPr>
        <w:t>do Sądu Okręgowego w Warszawie - sądu zamówień publicznych, zwanego dalej "sądem zamówień publicznych".</w:t>
      </w:r>
    </w:p>
    <w:p>
      <w:pPr>
        <w:pStyle w:val="Standard"/>
        <w:numPr>
          <w:ilvl w:val="0"/>
          <w:numId w:val="40"/>
        </w:numPr>
        <w:tabs>
          <w:tab w:val="clear" w:pos="720"/>
          <w:tab w:val="left" w:pos="1135" w:leader="none"/>
        </w:tabs>
        <w:spacing w:lineRule="auto" w:line="276"/>
        <w:ind w:hanging="567" w:left="567"/>
        <w:jc w:val="both"/>
        <w:rPr>
          <w:rFonts w:ascii="Titillium" w:hAnsi="Titillium"/>
        </w:rPr>
      </w:pPr>
      <w:r>
        <w:rPr>
          <w:rFonts w:ascii="Titillium" w:hAnsi="Titillium"/>
          <w:bCs/>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pPr>
        <w:pStyle w:val="Standard"/>
        <w:tabs>
          <w:tab w:val="clear" w:pos="720"/>
          <w:tab w:val="left" w:pos="700" w:leader="none"/>
        </w:tabs>
        <w:spacing w:lineRule="auto" w:line="276"/>
        <w:ind w:hanging="340" w:left="340"/>
        <w:jc w:val="both"/>
        <w:rPr>
          <w:rFonts w:ascii="Titillium" w:hAnsi="Titillium"/>
        </w:rPr>
      </w:pPr>
      <w:r>
        <w:rPr>
          <w:rFonts w:ascii="Titillium" w:hAnsi="Titillium"/>
          <w:b/>
          <w:bCs/>
        </w:rPr>
        <w:t>Skarga kasacyjna</w:t>
      </w:r>
    </w:p>
    <w:p>
      <w:pPr>
        <w:pStyle w:val="Standard"/>
        <w:numPr>
          <w:ilvl w:val="0"/>
          <w:numId w:val="41"/>
        </w:numPr>
        <w:tabs>
          <w:tab w:val="clear" w:pos="720"/>
          <w:tab w:val="left" w:pos="1135" w:leader="none"/>
        </w:tabs>
        <w:spacing w:lineRule="auto" w:line="276"/>
        <w:ind w:hanging="567" w:left="567"/>
        <w:jc w:val="both"/>
        <w:rPr>
          <w:rFonts w:ascii="Titillium" w:hAnsi="Titillium"/>
        </w:rPr>
      </w:pPr>
      <w:r>
        <w:rPr>
          <w:rFonts w:ascii="Titillium" w:hAnsi="Titillium"/>
          <w:bCs/>
        </w:rPr>
        <w:t>Od wyroku sądu lub postanowienia kończącego postępowanie w sprawie przysługuje skarga kasacyjna do Sądu Najwyższego.</w:t>
      </w:r>
    </w:p>
    <w:p>
      <w:pPr>
        <w:pStyle w:val="Standard"/>
        <w:numPr>
          <w:ilvl w:val="0"/>
          <w:numId w:val="41"/>
        </w:numPr>
        <w:tabs>
          <w:tab w:val="clear" w:pos="720"/>
          <w:tab w:val="left" w:pos="1135" w:leader="none"/>
        </w:tabs>
        <w:spacing w:lineRule="auto" w:line="276"/>
        <w:ind w:hanging="567" w:left="567"/>
        <w:jc w:val="both"/>
        <w:rPr>
          <w:rFonts w:ascii="Titillium" w:hAnsi="Titillium"/>
        </w:rPr>
      </w:pPr>
      <w:r>
        <w:rPr>
          <w:rFonts w:ascii="Titillium" w:hAnsi="Titillium"/>
        </w:rPr>
        <w:t>Skargę kasacyjną może wnieść strona oraz Prezes Urzędu. Przepisy części pierwszej księgi pierwszej tytułu VI działu Va ustawy z dnia 17 listopada 1964 r. - Kodeks postępowania cywilnego stosuje się.</w:t>
      </w:r>
    </w:p>
    <w:p>
      <w:pPr>
        <w:pStyle w:val="Standard"/>
        <w:numPr>
          <w:ilvl w:val="0"/>
          <w:numId w:val="41"/>
        </w:numPr>
        <w:tabs>
          <w:tab w:val="clear" w:pos="720"/>
          <w:tab w:val="left" w:pos="1135" w:leader="none"/>
        </w:tabs>
        <w:spacing w:lineRule="auto" w:line="276"/>
        <w:ind w:hanging="567" w:left="567"/>
        <w:jc w:val="both"/>
        <w:rPr>
          <w:rFonts w:ascii="Titillium" w:hAnsi="Titillium"/>
        </w:rPr>
      </w:pPr>
      <w:r>
        <w:rPr>
          <w:rFonts w:ascii="Titillium" w:hAnsi="Titillium"/>
        </w:rPr>
        <w:t>Do czynności podejmowanych przez Prezesa Urzędu stosuje się odpowiednio przepisy o</w:t>
      </w:r>
      <w:r>
        <w:rPr>
          <w:rFonts w:cs="Calibri" w:ascii="Titillium" w:hAnsi="Titillium"/>
        </w:rPr>
        <w:t> </w:t>
      </w:r>
      <w:r>
        <w:rPr>
          <w:rFonts w:ascii="Titillium" w:hAnsi="Titillium"/>
        </w:rPr>
        <w:t>Prokuratorze Generalnym, okre</w:t>
      </w:r>
      <w:r>
        <w:rPr>
          <w:rFonts w:cs="Titillium" w:ascii="Titillium" w:hAnsi="Titillium"/>
        </w:rPr>
        <w:t>ś</w:t>
      </w:r>
      <w:r>
        <w:rPr>
          <w:rFonts w:ascii="Titillium" w:hAnsi="Titillium"/>
        </w:rPr>
        <w:t>lone w cz</w:t>
      </w:r>
      <w:r>
        <w:rPr>
          <w:rFonts w:cs="Titillium" w:ascii="Titillium" w:hAnsi="Titillium"/>
        </w:rPr>
        <w:t>ęś</w:t>
      </w:r>
      <w:r>
        <w:rPr>
          <w:rFonts w:ascii="Titillium" w:hAnsi="Titillium"/>
        </w:rPr>
        <w:t>ci pierwszej w ksi</w:t>
      </w:r>
      <w:r>
        <w:rPr>
          <w:rFonts w:cs="Titillium" w:ascii="Titillium" w:hAnsi="Titillium"/>
        </w:rPr>
        <w:t>ę</w:t>
      </w:r>
      <w:r>
        <w:rPr>
          <w:rFonts w:ascii="Titillium" w:hAnsi="Titillium"/>
        </w:rPr>
        <w:t>dze pierwszej w tytule VI w dziale Va ustawy z dnia 17 listopada 1964 r. - Kodeks post</w:t>
      </w:r>
      <w:r>
        <w:rPr>
          <w:rFonts w:cs="Titillium" w:ascii="Titillium" w:hAnsi="Titillium"/>
        </w:rPr>
        <w:t>ę</w:t>
      </w:r>
      <w:r>
        <w:rPr>
          <w:rFonts w:ascii="Titillium" w:hAnsi="Titillium"/>
        </w:rPr>
        <w:t>powania cywilnego.</w:t>
      </w:r>
    </w:p>
    <w:p>
      <w:pPr>
        <w:pStyle w:val="Standard"/>
        <w:tabs>
          <w:tab w:val="clear" w:pos="720"/>
          <w:tab w:val="left" w:pos="360" w:leader="none"/>
        </w:tabs>
        <w:spacing w:lineRule="auto" w:line="276"/>
        <w:jc w:val="both"/>
        <w:rPr>
          <w:rFonts w:ascii="Titillium" w:hAnsi="Titillium"/>
          <w:bCs/>
        </w:rPr>
      </w:pPr>
      <w:r>
        <w:rPr>
          <w:rFonts w:ascii="Titillium" w:hAnsi="Titillium"/>
          <w:bCs/>
        </w:rPr>
      </w:r>
    </w:p>
    <w:p>
      <w:pPr>
        <w:pStyle w:val="Heading1"/>
        <w:numPr>
          <w:ilvl w:val="0"/>
          <w:numId w:val="46"/>
        </w:numPr>
        <w:jc w:val="both"/>
        <w:rPr>
          <w:rFonts w:ascii="Titillium" w:hAnsi="Titillium"/>
        </w:rPr>
      </w:pPr>
      <w:r>
        <w:rPr>
          <w:rFonts w:ascii="Titillium" w:hAnsi="Titillium"/>
        </w:rPr>
        <w:t xml:space="preserve">Podwykonawstwo i przejrzystość w łańcuchu podwykonawców </w:t>
      </w:r>
    </w:p>
    <w:p>
      <w:pPr>
        <w:pStyle w:val="Standard"/>
        <w:jc w:val="both"/>
        <w:rPr>
          <w:rFonts w:ascii="Titillium" w:hAnsi="Titillium"/>
        </w:rPr>
      </w:pPr>
      <w:r>
        <w:rPr>
          <w:rFonts w:ascii="Titillium" w:hAnsi="Titillium"/>
        </w:rPr>
      </w:r>
    </w:p>
    <w:p>
      <w:pPr>
        <w:pStyle w:val="ListParagraph"/>
        <w:numPr>
          <w:ilvl w:val="0"/>
          <w:numId w:val="42"/>
        </w:numPr>
        <w:tabs>
          <w:tab w:val="clear" w:pos="720"/>
          <w:tab w:val="left" w:pos="1135" w:leader="none"/>
        </w:tabs>
        <w:spacing w:lineRule="auto" w:line="276"/>
        <w:ind w:hanging="567" w:left="567"/>
        <w:jc w:val="both"/>
        <w:rPr>
          <w:rFonts w:ascii="Titillium" w:hAnsi="Titillium"/>
        </w:rPr>
      </w:pPr>
      <w:r>
        <w:rPr>
          <w:rFonts w:ascii="Titillium" w:hAnsi="Titillium"/>
          <w:sz w:val="20"/>
        </w:rPr>
        <w:t>Wykonawca może powierzyć wykonanie części zamówienia podwykonawcom. Zamawiający nie ustanawia obowiązku osobistego wykonania przez Wykonawcę kluczowych części niniejszego zamówienia.</w:t>
      </w:r>
    </w:p>
    <w:p>
      <w:pPr>
        <w:pStyle w:val="ListParagraph"/>
        <w:numPr>
          <w:ilvl w:val="0"/>
          <w:numId w:val="42"/>
        </w:numPr>
        <w:tabs>
          <w:tab w:val="clear" w:pos="720"/>
          <w:tab w:val="left" w:pos="1135" w:leader="none"/>
        </w:tabs>
        <w:spacing w:lineRule="auto" w:line="276"/>
        <w:ind w:hanging="567" w:left="567"/>
        <w:jc w:val="both"/>
        <w:rPr>
          <w:rFonts w:ascii="Titillium" w:hAnsi="Titillium"/>
        </w:rPr>
      </w:pPr>
      <w:r>
        <w:rPr>
          <w:rFonts w:ascii="Titillium" w:hAnsi="Titillium"/>
          <w:sz w:val="20"/>
        </w:rPr>
        <w:t>Zamawiający żąda wskazania przez Wykonawcę części zamówienia, których wykonanie zamierza powierzyć podwykonawcom, i podania nazw ewentualnych podwykonawców</w:t>
      </w:r>
      <w:r>
        <w:rPr>
          <w:rFonts w:ascii="Titillium" w:hAnsi="Titillium"/>
          <w:color w:val="000000"/>
          <w:sz w:val="20"/>
        </w:rPr>
        <w:t>, o ile są już znani.</w:t>
      </w:r>
    </w:p>
    <w:p>
      <w:pPr>
        <w:pStyle w:val="ListParagraph"/>
        <w:numPr>
          <w:ilvl w:val="0"/>
          <w:numId w:val="42"/>
        </w:numPr>
        <w:tabs>
          <w:tab w:val="clear" w:pos="720"/>
          <w:tab w:val="left" w:pos="1135" w:leader="none"/>
        </w:tabs>
        <w:spacing w:lineRule="auto" w:line="276"/>
        <w:ind w:hanging="567" w:left="567"/>
        <w:jc w:val="both"/>
        <w:rPr>
          <w:rFonts w:ascii="Titillium" w:hAnsi="Titillium"/>
        </w:rPr>
      </w:pPr>
      <w:r>
        <w:rPr>
          <w:rFonts w:ascii="Titillium" w:hAnsi="Titillium"/>
          <w:sz w:val="20"/>
        </w:rPr>
        <w:t xml:space="preserve">Ponieważ przedmiotem zamówienia są roboty budowlane, które mają być wykonane w miejscu podlegającym bezpośredniemu nadzorowi Zamawiającego, Zamawiający żąda, aby przed przystąpieniem do wykonania zamówienia Wykonawca, o ile są już znane, podał </w:t>
      </w:r>
      <w:r>
        <w:rPr>
          <w:rFonts w:ascii="Titillium" w:hAnsi="Titillium"/>
          <w:b/>
          <w:bCs/>
          <w:sz w:val="20"/>
        </w:rPr>
        <w:t>nazwy, dane kontaktowe przedstawicieli, podwykonawców zaangażowanych w takie roboty lub usługi, jeżeli są już znani.</w:t>
      </w:r>
      <w:r>
        <w:rPr>
          <w:rFonts w:ascii="Titillium" w:hAnsi="Titillium"/>
          <w:sz w:val="20"/>
        </w:rPr>
        <w:t xml:space="preserve"> Wykonawca zawiadamia Zamawiającego o wszelkich zmianach w odniesieniu do informacji, o których mowa w zdaniu poprzedzającym, w trakcie realizacji zamówienia, a także przekazuje wymagane informacje na temat nowych podwykonawców, którym w późniejszym okresie zamierza powierzyć realizację robót budowlanych lub usług.</w:t>
      </w:r>
    </w:p>
    <w:p>
      <w:pPr>
        <w:pStyle w:val="ListParagraph"/>
        <w:numPr>
          <w:ilvl w:val="0"/>
          <w:numId w:val="42"/>
        </w:numPr>
        <w:tabs>
          <w:tab w:val="clear" w:pos="720"/>
          <w:tab w:val="left" w:pos="1135" w:leader="none"/>
        </w:tabs>
        <w:spacing w:lineRule="auto" w:line="276"/>
        <w:ind w:hanging="567" w:left="567"/>
        <w:jc w:val="both"/>
        <w:rPr>
          <w:rFonts w:ascii="Titillium" w:hAnsi="Titillium"/>
        </w:rPr>
      </w:pPr>
      <w:r>
        <w:rPr>
          <w:rFonts w:ascii="Titillium" w:hAnsi="Titillium"/>
          <w:sz w:val="20"/>
        </w:rPr>
        <w:t>Zamawiający żąda informacji, o których mowa w ust. 3, dotyczących dalszych podwykonawców lub dostawców uczestniczących w wykonywaniu zamówienia na roboty budowlane.</w:t>
      </w:r>
    </w:p>
    <w:p>
      <w:pPr>
        <w:pStyle w:val="ListParagraph"/>
        <w:numPr>
          <w:ilvl w:val="0"/>
          <w:numId w:val="42"/>
        </w:numPr>
        <w:tabs>
          <w:tab w:val="clear" w:pos="720"/>
          <w:tab w:val="left" w:pos="1135" w:leader="none"/>
        </w:tabs>
        <w:spacing w:lineRule="auto" w:line="276"/>
        <w:ind w:hanging="567" w:left="567"/>
        <w:jc w:val="both"/>
        <w:rPr>
          <w:rFonts w:ascii="Titillium" w:hAnsi="Titillium"/>
        </w:rPr>
      </w:pPr>
      <w:r>
        <w:rPr>
          <w:rFonts w:ascii="Titillium" w:hAnsi="Titillium"/>
          <w:sz w:val="20"/>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w:t>
      </w:r>
      <w:r>
        <w:rPr>
          <w:rFonts w:cs="Calibri" w:ascii="Titillium" w:hAnsi="Titillium"/>
          <w:sz w:val="20"/>
        </w:rPr>
        <w:t> </w:t>
      </w:r>
      <w:r>
        <w:rPr>
          <w:rFonts w:ascii="Titillium" w:hAnsi="Titillium"/>
          <w:sz w:val="20"/>
        </w:rPr>
        <w:t>udzielenie zamówienia.</w:t>
      </w:r>
    </w:p>
    <w:p>
      <w:pPr>
        <w:pStyle w:val="ListParagraph"/>
        <w:numPr>
          <w:ilvl w:val="0"/>
          <w:numId w:val="42"/>
        </w:numPr>
        <w:tabs>
          <w:tab w:val="clear" w:pos="720"/>
          <w:tab w:val="left" w:pos="1135" w:leader="none"/>
        </w:tabs>
        <w:spacing w:lineRule="auto" w:line="276"/>
        <w:ind w:hanging="567" w:left="567"/>
        <w:jc w:val="both"/>
        <w:rPr>
          <w:rFonts w:ascii="Titillium" w:hAnsi="Titillium"/>
        </w:rPr>
      </w:pPr>
      <w:r>
        <w:rPr>
          <w:rFonts w:ascii="Titillium" w:hAnsi="Titillium"/>
          <w:sz w:val="20"/>
        </w:rPr>
        <w:t>Powierzenie wykonania części zamówienia podwykonawcom nie zwalnia Wykonawcy z</w:t>
      </w:r>
      <w:r>
        <w:rPr>
          <w:rFonts w:cs="Calibri" w:ascii="Titillium" w:hAnsi="Titillium"/>
          <w:sz w:val="20"/>
        </w:rPr>
        <w:t> </w:t>
      </w:r>
      <w:r>
        <w:rPr>
          <w:rFonts w:ascii="Titillium" w:hAnsi="Titillium"/>
          <w:sz w:val="20"/>
        </w:rPr>
        <w:t>odpowiedzialności za należyte wykonanie tego zamówienia.</w:t>
      </w:r>
    </w:p>
    <w:p>
      <w:pPr>
        <w:pStyle w:val="ListParagraph"/>
        <w:numPr>
          <w:ilvl w:val="0"/>
          <w:numId w:val="0"/>
        </w:numPr>
        <w:tabs>
          <w:tab w:val="clear" w:pos="720"/>
          <w:tab w:val="left" w:pos="1135" w:leader="none"/>
        </w:tabs>
        <w:spacing w:lineRule="auto" w:line="276"/>
        <w:ind w:hanging="0" w:left="567"/>
        <w:jc w:val="both"/>
        <w:rPr>
          <w:rFonts w:ascii="Titillium" w:hAnsi="Titillium"/>
        </w:rPr>
      </w:pPr>
      <w:r>
        <w:rPr>
          <w:rFonts w:ascii="Titillium" w:hAnsi="Titillium"/>
        </w:rPr>
      </w:r>
    </w:p>
    <w:p>
      <w:pPr>
        <w:pStyle w:val="Heading1"/>
        <w:numPr>
          <w:ilvl w:val="0"/>
          <w:numId w:val="46"/>
        </w:numPr>
        <w:jc w:val="both"/>
        <w:rPr>
          <w:rFonts w:ascii="Titillium" w:hAnsi="Titillium"/>
        </w:rPr>
      </w:pPr>
      <w:r>
        <w:rPr>
          <w:rFonts w:ascii="Titillium" w:hAnsi="Titillium"/>
        </w:rPr>
        <w:t>Postanowienia końcowe</w:t>
      </w:r>
    </w:p>
    <w:p>
      <w:pPr>
        <w:pStyle w:val="Standard"/>
        <w:spacing w:lineRule="auto" w:line="276"/>
        <w:jc w:val="both"/>
        <w:rPr>
          <w:rFonts w:ascii="Titillium" w:hAnsi="Titillium"/>
        </w:rPr>
      </w:pPr>
      <w:r>
        <w:rPr>
          <w:rFonts w:ascii="Titillium" w:hAnsi="Titillium"/>
          <w:color w:val="000000"/>
        </w:rPr>
        <w:t>Do spraw nieuregulowanych w niniejszej specyfikacji mają zastosowanie przepisy ustawy z dnia 11</w:t>
      </w:r>
      <w:r>
        <w:rPr>
          <w:rFonts w:cs="Calibri" w:ascii="Titillium" w:hAnsi="Titillium"/>
          <w:color w:val="000000"/>
        </w:rPr>
        <w:t> </w:t>
      </w:r>
      <w:r>
        <w:rPr>
          <w:rFonts w:ascii="Titillium" w:hAnsi="Titillium"/>
          <w:color w:val="000000"/>
        </w:rPr>
        <w:t>września</w:t>
      </w:r>
      <w:r>
        <w:rPr>
          <w:rFonts w:cs="Calibri" w:ascii="Titillium" w:hAnsi="Titillium"/>
          <w:color w:val="000000"/>
        </w:rPr>
        <w:t> </w:t>
      </w:r>
      <w:r>
        <w:rPr>
          <w:rFonts w:ascii="Titillium" w:hAnsi="Titillium"/>
          <w:color w:val="000000"/>
        </w:rPr>
        <w:t>2019 r. - Prawo zamówień publicznych (t. j. Dz. U. z 2023 poz. 1605  ze zm.).</w:t>
      </w:r>
    </w:p>
    <w:p>
      <w:pPr>
        <w:pStyle w:val="Standard"/>
        <w:spacing w:lineRule="auto" w:line="276"/>
        <w:jc w:val="both"/>
        <w:rPr>
          <w:rFonts w:ascii="Titillium" w:hAnsi="Titillium"/>
          <w:color w:val="000000"/>
        </w:rPr>
      </w:pPr>
      <w:r>
        <w:rPr>
          <w:rFonts w:ascii="Titillium" w:hAnsi="Titillium"/>
          <w:color w:val="000000"/>
        </w:rPr>
      </w:r>
    </w:p>
    <w:p>
      <w:pPr>
        <w:pStyle w:val="Standard"/>
        <w:spacing w:lineRule="auto" w:line="276"/>
        <w:jc w:val="both"/>
        <w:rPr>
          <w:rFonts w:ascii="Titillium" w:hAnsi="Titillium"/>
        </w:rPr>
      </w:pPr>
      <w:r>
        <w:rPr>
          <w:rFonts w:ascii="Titillium" w:hAnsi="Titillium"/>
          <w:color w:val="000000"/>
        </w:rPr>
        <w:t>Rydułtowy, dnia……………………</w:t>
        <w:tab/>
        <w:tab/>
        <w:tab/>
        <w:tab/>
        <w:tab/>
        <w:t>Zatwierdzam</w:t>
      </w:r>
    </w:p>
    <w:p>
      <w:pPr>
        <w:pStyle w:val="Standard"/>
        <w:spacing w:lineRule="auto" w:line="276"/>
        <w:jc w:val="both"/>
        <w:rPr>
          <w:rFonts w:ascii="Titillium" w:hAnsi="Titillium"/>
          <w:color w:val="000000"/>
        </w:rPr>
      </w:pPr>
      <w:r>
        <w:rPr>
          <w:rFonts w:ascii="Titillium" w:hAnsi="Titillium"/>
          <w:color w:val="000000"/>
        </w:rPr>
      </w:r>
    </w:p>
    <w:p>
      <w:pPr>
        <w:pStyle w:val="Standard"/>
        <w:tabs>
          <w:tab w:val="clear" w:pos="720"/>
          <w:tab w:val="left" w:pos="5812" w:leader="none"/>
        </w:tabs>
        <w:spacing w:lineRule="auto" w:line="276"/>
        <w:rPr>
          <w:rFonts w:ascii="Titillium" w:hAnsi="Titillium"/>
        </w:rPr>
      </w:pPr>
      <w:r>
        <w:rPr>
          <w:rFonts w:ascii="Titillium" w:hAnsi="Titillium"/>
          <w:color w:val="000000"/>
        </w:rPr>
        <w:tab/>
        <w:t>…………………………………………………</w:t>
      </w:r>
    </w:p>
    <w:p>
      <w:pPr>
        <w:pStyle w:val="Standard"/>
        <w:spacing w:lineRule="auto" w:line="276"/>
        <w:jc w:val="both"/>
        <w:rPr>
          <w:rFonts w:ascii="Titillium" w:hAnsi="Titillium"/>
        </w:rPr>
      </w:pPr>
      <w:r>
        <w:rPr>
          <w:rFonts w:ascii="Titillium" w:hAnsi="Titillium"/>
          <w:color w:val="000000"/>
        </w:rPr>
        <w:tab/>
        <w:tab/>
        <w:tab/>
        <w:tab/>
        <w:tab/>
        <w:tab/>
        <w:tab/>
        <w:tab/>
        <w:t>Kierownik Zamawiającego</w:t>
      </w:r>
    </w:p>
    <w:p>
      <w:pPr>
        <w:pStyle w:val="Standard"/>
        <w:spacing w:lineRule="auto" w:line="276" w:before="0" w:after="0"/>
        <w:jc w:val="right"/>
        <w:rPr>
          <w:rFonts w:ascii="Titillium" w:hAnsi="Titillium"/>
        </w:rPr>
      </w:pPr>
      <w:r>
        <w:br w:type="column"/>
      </w:r>
      <w:r>
        <w:rPr>
          <w:rFonts w:ascii="Titillium" w:hAnsi="Titillium"/>
        </w:rPr>
        <w:t>Załącznik nr 1</w:t>
      </w:r>
    </w:p>
    <w:p>
      <w:pPr>
        <w:pStyle w:val="Standard"/>
        <w:spacing w:lineRule="auto" w:line="276"/>
        <w:jc w:val="right"/>
        <w:rPr>
          <w:rFonts w:ascii="Titillium" w:hAnsi="Titillium"/>
        </w:rPr>
      </w:pPr>
      <w:r>
        <w:rPr>
          <w:rFonts w:ascii="Titillium" w:hAnsi="Titillium"/>
        </w:rPr>
      </w:r>
    </w:p>
    <w:p>
      <w:pPr>
        <w:pStyle w:val="Standard"/>
        <w:spacing w:lineRule="auto" w:line="276"/>
        <w:jc w:val="center"/>
        <w:rPr>
          <w:rFonts w:ascii="Titillium" w:hAnsi="Titillium"/>
        </w:rPr>
      </w:pPr>
      <w:r>
        <w:rPr>
          <w:rFonts w:ascii="Titillium" w:hAnsi="Titillium"/>
          <w:b/>
          <w:bCs/>
        </w:rPr>
        <w:t>FORMULARZ OFERTY</w:t>
      </w:r>
    </w:p>
    <w:p>
      <w:pPr>
        <w:pStyle w:val="Standard"/>
        <w:spacing w:lineRule="auto" w:line="276"/>
        <w:jc w:val="both"/>
        <w:rPr>
          <w:rFonts w:ascii="Titillium" w:hAnsi="Titillium"/>
        </w:rPr>
      </w:pPr>
      <w:r>
        <w:rPr>
          <w:rFonts w:ascii="Titillium" w:hAnsi="Titillium"/>
          <w:color w:val="000000"/>
        </w:rPr>
        <w:t xml:space="preserve">w trybie podstawowym </w:t>
      </w:r>
      <w:r>
        <w:rPr>
          <w:rFonts w:cs="Verdana" w:ascii="Titillium" w:hAnsi="Titillium"/>
          <w:color w:val="000000"/>
        </w:rPr>
        <w:t xml:space="preserve">dla zadania pod nazwą: </w:t>
      </w:r>
      <w:bookmarkStart w:id="7" w:name="_Hlk162441431"/>
      <w:r>
        <w:rPr>
          <w:rFonts w:ascii="Titillium" w:hAnsi="Titillium"/>
          <w:b/>
          <w:bCs/>
          <w:color w:val="000000"/>
        </w:rPr>
        <w:t>"Modernizacja ul. Niewiadomskiej w Rydułtowach”</w:t>
      </w:r>
      <w:r>
        <w:rPr>
          <w:rFonts w:ascii="Titillium" w:hAnsi="Titillium"/>
          <w:b w:val="false"/>
          <w:bCs w:val="false"/>
          <w:color w:val="000000"/>
        </w:rPr>
        <w:t xml:space="preserve">                  w formule zaprojektuj i wybuduj</w:t>
      </w:r>
      <w:bookmarkEnd w:id="7"/>
      <w:r>
        <w:rPr>
          <w:rFonts w:cs="Verdana" w:ascii="Titillium" w:hAnsi="Titillium"/>
          <w:b w:val="false"/>
          <w:bCs w:val="false"/>
          <w:color w:val="000000"/>
        </w:rPr>
        <w:t>.</w:t>
      </w:r>
    </w:p>
    <w:p>
      <w:pPr>
        <w:pStyle w:val="Standard"/>
        <w:spacing w:lineRule="auto" w:line="276"/>
        <w:jc w:val="both"/>
        <w:rPr>
          <w:rFonts w:ascii="Titillium" w:hAnsi="Titillium"/>
          <w:b/>
          <w:bCs/>
          <w:color w:val="000000"/>
        </w:rPr>
      </w:pPr>
      <w:r>
        <w:rPr>
          <w:rFonts w:ascii="Titillium" w:hAnsi="Titillium"/>
          <w:b/>
          <w:bCs/>
          <w:color w:val="000000"/>
        </w:rPr>
      </w:r>
    </w:p>
    <w:p>
      <w:pPr>
        <w:pStyle w:val="WW-Tekstkomentarza"/>
        <w:widowControl/>
        <w:tabs>
          <w:tab w:val="clear" w:pos="720"/>
          <w:tab w:val="left" w:pos="180" w:leader="none"/>
          <w:tab w:val="left" w:pos="360" w:leader="none"/>
          <w:tab w:val="left" w:pos="540" w:leader="none"/>
        </w:tabs>
        <w:spacing w:lineRule="auto" w:line="276"/>
        <w:jc w:val="both"/>
        <w:rPr>
          <w:rFonts w:ascii="Titillium" w:hAnsi="Titillium"/>
        </w:rPr>
      </w:pPr>
      <w:r>
        <w:rPr>
          <w:rFonts w:ascii="Titillium" w:hAnsi="Titillium"/>
        </w:rPr>
        <w:t xml:space="preserve">1. Zarejestrowana nazwa Wykonawcy </w:t>
      </w:r>
      <w:r>
        <w:rPr>
          <w:rFonts w:ascii="Titillium" w:hAnsi="Titillium"/>
          <w:i/>
        </w:rPr>
        <w:t>(jeżeli Wykonawca jest konsorcjum wpisać wszystkich członków)</w:t>
      </w:r>
    </w:p>
    <w:p>
      <w:pPr>
        <w:pStyle w:val="Standard"/>
        <w:spacing w:lineRule="auto" w:line="276"/>
        <w:jc w:val="both"/>
        <w:rPr>
          <w:rFonts w:ascii="Titillium" w:hAnsi="Titillium"/>
        </w:rPr>
      </w:pPr>
      <w:r>
        <w:rPr>
          <w:rFonts w:ascii="Titillium" w:hAnsi="Titillium"/>
        </w:rPr>
        <w:t>...............................................................................................………….................................................................................................</w:t>
      </w:r>
    </w:p>
    <w:p>
      <w:pPr>
        <w:pStyle w:val="Standard"/>
        <w:spacing w:lineRule="auto" w:line="276"/>
        <w:jc w:val="both"/>
        <w:rPr>
          <w:rFonts w:ascii="Titillium" w:hAnsi="Titillium"/>
        </w:rPr>
      </w:pPr>
      <w:r>
        <w:rPr>
          <w:rFonts w:ascii="Titillium" w:hAnsi="Titillium"/>
        </w:rPr>
        <w:t xml:space="preserve">2. Zarejestrowany adres Wykonawcy lub Pełnomocnika/Lidera Konsorcjum </w:t>
      </w:r>
      <w:r>
        <w:rPr>
          <w:rFonts w:ascii="Titillium" w:hAnsi="Titillium"/>
          <w:i/>
        </w:rPr>
        <w:t>(niepotrzebne skreślić)</w:t>
      </w:r>
    </w:p>
    <w:p>
      <w:pPr>
        <w:pStyle w:val="Standard"/>
        <w:spacing w:lineRule="auto" w:line="276"/>
        <w:jc w:val="both"/>
        <w:rPr>
          <w:rFonts w:ascii="Titillium" w:hAnsi="Titillium"/>
        </w:rPr>
      </w:pPr>
      <w:r>
        <w:rPr>
          <w:rFonts w:ascii="Titillium" w:hAnsi="Titillium"/>
        </w:rPr>
        <w:t>ulica ................................................................................... nr domu ..................................... kod ....................................... miejscowość ....................................................…………. województwo .............................................................................……</w:t>
      </w:r>
    </w:p>
    <w:p>
      <w:pPr>
        <w:pStyle w:val="Standard"/>
        <w:spacing w:lineRule="auto" w:line="276"/>
        <w:jc w:val="both"/>
        <w:rPr>
          <w:rFonts w:ascii="Titillium" w:hAnsi="Titillium"/>
        </w:rPr>
      </w:pPr>
      <w:r>
        <w:rPr>
          <w:rFonts w:ascii="Titillium" w:hAnsi="Titillium"/>
        </w:rPr>
        <w:t>tel.: ..................................……………..</w:t>
        <w:tab/>
        <w:t>………..                e-mail.................................................................</w:t>
      </w:r>
    </w:p>
    <w:p>
      <w:pPr>
        <w:pStyle w:val="Standard"/>
        <w:spacing w:lineRule="auto" w:line="276"/>
        <w:jc w:val="both"/>
        <w:rPr>
          <w:rFonts w:ascii="Titillium" w:hAnsi="Titillium"/>
        </w:rPr>
      </w:pPr>
      <w:r>
        <w:rPr>
          <w:rFonts w:ascii="Titillium" w:hAnsi="Titillium"/>
        </w:rPr>
        <w:t>REGON:.................…...................……………………...</w:t>
        <w:tab/>
        <w:t>NIP: ...................................………………..</w:t>
      </w:r>
    </w:p>
    <w:p>
      <w:pPr>
        <w:pStyle w:val="Standard"/>
        <w:spacing w:lineRule="auto" w:line="276"/>
        <w:jc w:val="both"/>
        <w:rPr>
          <w:rFonts w:ascii="Titillium" w:hAnsi="Titillium"/>
        </w:rPr>
      </w:pPr>
      <w:r>
        <w:rPr>
          <w:rFonts w:ascii="Titillium" w:hAnsi="Titillium"/>
        </w:rPr>
        <w:t>Nr rachunku bankowego założonego w związku z działalnością gospodarczą ………………………………………………………………………………………………….…………………………………………..</w:t>
      </w:r>
    </w:p>
    <w:p>
      <w:pPr>
        <w:pStyle w:val="Standard"/>
        <w:spacing w:lineRule="auto" w:line="276"/>
        <w:ind w:right="-110"/>
        <w:jc w:val="both"/>
        <w:rPr>
          <w:rFonts w:ascii="Titillium" w:hAnsi="Titillium"/>
        </w:rPr>
      </w:pPr>
      <w:r>
        <w:rPr>
          <w:rFonts w:ascii="Titillium" w:hAnsi="Titillium"/>
        </w:rPr>
        <w:t>3. Do kontaktów z Zamawiającym wyznaczamy:</w:t>
      </w:r>
    </w:p>
    <w:p>
      <w:pPr>
        <w:pStyle w:val="WW-Tekstkomentarza"/>
        <w:widowControl/>
        <w:spacing w:lineRule="auto" w:line="276"/>
        <w:jc w:val="both"/>
        <w:rPr>
          <w:rFonts w:ascii="Titillium" w:hAnsi="Titillium"/>
        </w:rPr>
      </w:pPr>
      <w:r>
        <w:rPr>
          <w:rFonts w:ascii="Titillium" w:hAnsi="Titillium"/>
        </w:rPr>
        <w:t>............................................................................................................... tel........................................................……………………….</w:t>
      </w:r>
    </w:p>
    <w:p>
      <w:pPr>
        <w:pStyle w:val="WW-Tekstkomentarza"/>
        <w:widowControl/>
        <w:spacing w:lineRule="auto" w:line="276"/>
        <w:jc w:val="both"/>
        <w:rPr>
          <w:rFonts w:ascii="Titillium" w:hAnsi="Titillium"/>
        </w:rPr>
      </w:pPr>
      <w:r>
        <w:rPr>
          <w:rFonts w:ascii="Titillium" w:hAnsi="Titillium"/>
        </w:rPr>
        <w:t>4. Oferujemy wykonanie przedmiotu zamówienia za kwotę: ...........................................................………………... (słownie: ……………………………………………………………………………………………..……………………………………………….….)</w:t>
      </w:r>
    </w:p>
    <w:p>
      <w:pPr>
        <w:pStyle w:val="Standard"/>
        <w:spacing w:lineRule="auto" w:line="276"/>
        <w:jc w:val="both"/>
        <w:rPr>
          <w:rFonts w:ascii="Titillium" w:hAnsi="Titillium"/>
        </w:rPr>
      </w:pPr>
      <w:r>
        <w:rPr>
          <w:rFonts w:ascii="Titillium" w:hAnsi="Titillium"/>
        </w:rPr>
        <w:t>z czego na kwotę brutto składają się kwoty:</w:t>
      </w:r>
    </w:p>
    <w:p>
      <w:pPr>
        <w:pStyle w:val="Standard"/>
        <w:numPr>
          <w:ilvl w:val="0"/>
          <w:numId w:val="43"/>
        </w:numPr>
        <w:spacing w:lineRule="auto" w:line="276"/>
        <w:jc w:val="both"/>
        <w:rPr>
          <w:rFonts w:ascii="Titillium" w:hAnsi="Titillium"/>
        </w:rPr>
      </w:pPr>
      <w:r>
        <w:rPr>
          <w:rFonts w:ascii="Titillium" w:hAnsi="Titillium"/>
        </w:rPr>
        <w:t>za opracowanie dokumentacji projektowej wraz uzyskaniem stosownych zezwoleń (nie więcej niż 3,5 %  kwoty z pkt. 4.3, tj. wartości robót budowlanych) ……………………………………………………....………zł (słownie: ……………..………………………………………………………………………………………………………….....….)</w:t>
      </w:r>
    </w:p>
    <w:p>
      <w:pPr>
        <w:pStyle w:val="Standard"/>
        <w:numPr>
          <w:ilvl w:val="0"/>
          <w:numId w:val="43"/>
        </w:numPr>
        <w:spacing w:lineRule="auto" w:line="276"/>
        <w:jc w:val="both"/>
        <w:rPr>
          <w:rFonts w:ascii="Titillium" w:hAnsi="Titillium"/>
        </w:rPr>
      </w:pPr>
      <w:r>
        <w:rPr>
          <w:rFonts w:ascii="Titillium" w:hAnsi="Titillium"/>
        </w:rPr>
        <w:t xml:space="preserve">za pełnienie nadzoru autorskiego (nie więcej niż </w:t>
      </w:r>
      <w:r>
        <w:rPr>
          <w:rFonts w:ascii="Titillium" w:hAnsi="Titillium"/>
          <w:strike w:val="false"/>
          <w:dstrike w:val="false"/>
        </w:rPr>
        <w:t>15%</w:t>
      </w:r>
      <w:r>
        <w:rPr>
          <w:rFonts w:ascii="Titillium" w:hAnsi="Titillium"/>
        </w:rPr>
        <w:t xml:space="preserve"> kwoty z pkt 4.1, tj. dokumentacji projektowej)</w:t>
      </w:r>
    </w:p>
    <w:p>
      <w:pPr>
        <w:pStyle w:val="Standard"/>
        <w:spacing w:lineRule="auto" w:line="276"/>
        <w:ind w:left="720"/>
        <w:jc w:val="both"/>
        <w:rPr>
          <w:rFonts w:ascii="Titillium" w:hAnsi="Titillium"/>
        </w:rPr>
      </w:pPr>
      <w:r>
        <w:rPr>
          <w:rFonts w:ascii="Titillium" w:hAnsi="Titillium"/>
        </w:rPr>
        <w:t xml:space="preserve"> </w:t>
      </w:r>
      <w:r>
        <w:rPr>
          <w:rFonts w:ascii="Titillium" w:hAnsi="Titillium"/>
        </w:rPr>
        <w:t>..……………………………….....zł (słownie: …………………………………………………..………………………..…………....)</w:t>
      </w:r>
    </w:p>
    <w:p>
      <w:pPr>
        <w:pStyle w:val="Standard"/>
        <w:numPr>
          <w:ilvl w:val="0"/>
          <w:numId w:val="43"/>
        </w:numPr>
        <w:spacing w:lineRule="auto" w:line="276"/>
        <w:jc w:val="both"/>
        <w:rPr>
          <w:rFonts w:ascii="Titillium" w:hAnsi="Titillium"/>
        </w:rPr>
      </w:pPr>
      <w:r>
        <w:rPr>
          <w:rFonts w:ascii="Titillium" w:hAnsi="Titillium"/>
        </w:rPr>
        <w:t xml:space="preserve">za roboty budowlane ..................................................................................................................... ………………..zł  </w:t>
      </w:r>
    </w:p>
    <w:p>
      <w:pPr>
        <w:pStyle w:val="Standard"/>
        <w:numPr>
          <w:ilvl w:val="0"/>
          <w:numId w:val="0"/>
        </w:numPr>
        <w:spacing w:lineRule="auto" w:line="276"/>
        <w:ind w:hanging="0" w:left="720"/>
        <w:jc w:val="both"/>
        <w:rPr>
          <w:rFonts w:ascii="Titillium" w:hAnsi="Titillium"/>
        </w:rPr>
      </w:pPr>
      <w:r>
        <w:rPr>
          <w:rFonts w:ascii="Titillium" w:hAnsi="Titillium"/>
        </w:rPr>
        <w:t>(słownie: ……....……………….......……………………………………………..………………………………………..……...….).</w:t>
      </w:r>
    </w:p>
    <w:p>
      <w:pPr>
        <w:pStyle w:val="Standard"/>
        <w:tabs>
          <w:tab w:val="clear" w:pos="720"/>
          <w:tab w:val="left" w:pos="120" w:leader="none"/>
          <w:tab w:val="left" w:pos="180" w:leader="none"/>
          <w:tab w:val="left" w:pos="225" w:leader="none"/>
          <w:tab w:val="left" w:pos="285" w:leader="none"/>
          <w:tab w:val="left" w:pos="345" w:leader="none"/>
          <w:tab w:val="left" w:pos="390" w:leader="none"/>
        </w:tabs>
        <w:spacing w:lineRule="auto" w:line="276"/>
        <w:jc w:val="both"/>
        <w:rPr>
          <w:rFonts w:ascii="Titillium" w:hAnsi="Titillium"/>
        </w:rPr>
      </w:pPr>
      <w:r>
        <w:rPr>
          <w:rFonts w:ascii="Titillium" w:hAnsi="Titillium"/>
        </w:rPr>
        <w:t xml:space="preserve">5. Oświadczam(y), że wykonam(y) przedmiot zamówienia w terminie do </w:t>
      </w:r>
      <w:r>
        <w:rPr>
          <w:rFonts w:ascii="Titillium" w:hAnsi="Titillium"/>
          <w:b/>
          <w:bCs/>
        </w:rPr>
        <w:t>15</w:t>
      </w:r>
      <w:r>
        <w:rPr>
          <w:rFonts w:ascii="Titillium" w:hAnsi="Titillium"/>
        </w:rPr>
        <w:t xml:space="preserve"> miesięcy od dnia podpisania umowy.</w:t>
      </w:r>
    </w:p>
    <w:p>
      <w:pPr>
        <w:pStyle w:val="Standard"/>
        <w:tabs>
          <w:tab w:val="clear" w:pos="720"/>
          <w:tab w:val="left" w:pos="279" w:leader="none"/>
          <w:tab w:val="left" w:pos="343" w:leader="none"/>
        </w:tabs>
        <w:spacing w:lineRule="auto" w:line="276"/>
        <w:jc w:val="both"/>
        <w:rPr>
          <w:rFonts w:ascii="Titillium" w:hAnsi="Titillium"/>
        </w:rPr>
      </w:pPr>
      <w:r>
        <w:rPr>
          <w:rFonts w:ascii="Titillium" w:hAnsi="Titillium"/>
        </w:rPr>
        <w:t>6. Oświadczamy, że udzielamy …………………………. gwarancji na przedmiot zamówienia.</w:t>
      </w:r>
    </w:p>
    <w:p>
      <w:pPr>
        <w:pStyle w:val="Standard"/>
        <w:tabs>
          <w:tab w:val="clear" w:pos="720"/>
          <w:tab w:val="left" w:pos="279" w:leader="none"/>
          <w:tab w:val="left" w:pos="343" w:leader="none"/>
        </w:tabs>
        <w:spacing w:lineRule="auto" w:line="276"/>
        <w:jc w:val="both"/>
        <w:rPr>
          <w:rFonts w:ascii="Titillium" w:hAnsi="Titillium"/>
        </w:rPr>
      </w:pPr>
      <w:r>
        <w:rPr>
          <w:rFonts w:ascii="Titillium" w:hAnsi="Titillium"/>
          <w:i/>
          <w:iCs/>
        </w:rPr>
        <w:t>(W przypadku nie wypełnienia pozycji Zamawiający przyjmie minimalny dopuszczalny okres gwarancji                              a Wykonawca otrzyma 0 pkt w tym kryterium)</w:t>
      </w:r>
    </w:p>
    <w:p>
      <w:pPr>
        <w:pStyle w:val="Standard"/>
        <w:tabs>
          <w:tab w:val="clear" w:pos="720"/>
          <w:tab w:val="left" w:pos="-2835" w:leader="none"/>
        </w:tabs>
        <w:spacing w:lineRule="auto" w:line="276"/>
        <w:jc w:val="both"/>
        <w:rPr>
          <w:rFonts w:ascii="Titillium" w:hAnsi="Titillium"/>
        </w:rPr>
      </w:pPr>
      <w:r>
        <w:rPr>
          <w:rFonts w:ascii="Titillium" w:hAnsi="Titillium"/>
        </w:rPr>
        <w:t>7. Przyjmujemy warunki płatności – zgodnie z projektem umowy.</w:t>
      </w:r>
    </w:p>
    <w:p>
      <w:pPr>
        <w:pStyle w:val="Standard"/>
        <w:tabs>
          <w:tab w:val="clear" w:pos="720"/>
          <w:tab w:val="left" w:pos="-2835" w:leader="none"/>
        </w:tabs>
        <w:spacing w:lineRule="auto" w:line="276"/>
        <w:jc w:val="both"/>
        <w:rPr>
          <w:rFonts w:ascii="Titillium" w:hAnsi="Titillium"/>
        </w:rPr>
      </w:pPr>
      <w:r>
        <w:rPr>
          <w:rFonts w:ascii="Titillium" w:hAnsi="Titillium"/>
        </w:rPr>
        <w:t>8. Oświadczam(y), że zapoznałem/liśmy się ze specyfikacją warunków zamówienia i nie wnosimy do niej zastrzeżeń oraz zdobyłem/liśmy konieczne informacje potrzebne do właściwego wykonania zamówienia.</w:t>
      </w:r>
    </w:p>
    <w:p>
      <w:pPr>
        <w:pStyle w:val="Standard"/>
        <w:tabs>
          <w:tab w:val="clear" w:pos="720"/>
          <w:tab w:val="left" w:pos="-2835" w:leader="none"/>
        </w:tabs>
        <w:spacing w:lineRule="auto" w:line="276"/>
        <w:jc w:val="both"/>
        <w:rPr>
          <w:rFonts w:ascii="Titillium" w:hAnsi="Titillium"/>
        </w:rPr>
      </w:pPr>
      <w:r>
        <w:rPr>
          <w:rFonts w:ascii="Titillium" w:hAnsi="Titillium"/>
        </w:rPr>
        <w:t>9. Uważam(y) się za związanego(ych) niniejszą ofertą przez 30 dni od dnia upływu terminu składania ofert, tj. do dnia określonego w SWZ.</w:t>
      </w:r>
    </w:p>
    <w:p>
      <w:pPr>
        <w:pStyle w:val="Standard"/>
        <w:tabs>
          <w:tab w:val="clear" w:pos="720"/>
          <w:tab w:val="left" w:pos="-2835" w:leader="none"/>
        </w:tabs>
        <w:spacing w:lineRule="auto" w:line="276"/>
        <w:jc w:val="both"/>
        <w:rPr>
          <w:rFonts w:ascii="Titillium" w:hAnsi="Titillium"/>
        </w:rPr>
      </w:pPr>
      <w:r>
        <w:rPr>
          <w:rFonts w:ascii="Titillium" w:hAnsi="Titillium"/>
          <w:iCs/>
          <w:color w:val="000000"/>
        </w:rPr>
        <w:t>10. Potwierdzamy, iż nie uczestniczymy w innej ofercie dotyczącej tego samego postępowania.</w:t>
      </w:r>
    </w:p>
    <w:p>
      <w:pPr>
        <w:pStyle w:val="Tekstost"/>
        <w:widowControl/>
        <w:tabs>
          <w:tab w:val="clear" w:pos="720"/>
          <w:tab w:val="left" w:pos="0" w:leader="none"/>
        </w:tabs>
        <w:spacing w:lineRule="auto" w:line="276"/>
        <w:rPr>
          <w:rFonts w:ascii="Titillium" w:hAnsi="Titillium"/>
        </w:rPr>
      </w:pPr>
      <w:r>
        <w:rPr>
          <w:rFonts w:ascii="Titillium" w:hAnsi="Titillium"/>
        </w:rPr>
        <w:t>11. Oświadczam(y), że akceptuję (my) istotne postanowienia umowy i zobowiązuję (my) się, w przypadku dokonania wyboru mojej/naszej oferty, do zawarcia umowy na wyżej wymienionych warunkach w miejscu i</w:t>
      </w:r>
      <w:r>
        <w:rPr>
          <w:rFonts w:cs="Calibri" w:ascii="Titillium" w:hAnsi="Titillium"/>
        </w:rPr>
        <w:t> </w:t>
      </w:r>
      <w:r>
        <w:rPr>
          <w:rFonts w:ascii="Titillium" w:hAnsi="Titillium"/>
        </w:rPr>
        <w:t>w terminie wyznaczonym przez Zamawiającego.</w:t>
      </w:r>
    </w:p>
    <w:p>
      <w:pPr>
        <w:pStyle w:val="Tekstost"/>
        <w:widowControl/>
        <w:tabs>
          <w:tab w:val="clear" w:pos="720"/>
          <w:tab w:val="left" w:pos="0" w:leader="none"/>
        </w:tabs>
        <w:spacing w:lineRule="auto" w:line="276"/>
        <w:rPr>
          <w:rFonts w:ascii="Titillium" w:hAnsi="Titillium"/>
        </w:rPr>
      </w:pPr>
      <w:r>
        <w:rPr>
          <w:rFonts w:ascii="Titillium" w:hAnsi="Titillium"/>
        </w:rPr>
        <w:t>12.Oświadczam(y), że następujący zakres prac objętych przedmiotem zamówienia powierzę/my podwykonawcom *</w:t>
      </w:r>
    </w:p>
    <w:tbl>
      <w:tblPr>
        <w:tblW w:w="8870"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4514"/>
        <w:gridCol w:w="4355"/>
      </w:tblGrid>
      <w:tr>
        <w:trPr>
          <w:trHeight w:val="717" w:hRule="atLeast"/>
        </w:trPr>
        <w:tc>
          <w:tcPr>
            <w:tcW w:w="4514"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76"/>
              <w:jc w:val="both"/>
              <w:rPr>
                <w:rFonts w:ascii="Titillium" w:hAnsi="Titillium"/>
              </w:rPr>
            </w:pPr>
            <w:r>
              <w:rPr>
                <w:rFonts w:ascii="Titillium" w:hAnsi="Titillium"/>
              </w:rPr>
              <w:t>Część zamówienia powierzona do wykonania podwykonawcom</w:t>
            </w:r>
          </w:p>
        </w:tc>
        <w:tc>
          <w:tcPr>
            <w:tcW w:w="4355"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Standard"/>
              <w:spacing w:lineRule="auto" w:line="276"/>
              <w:jc w:val="both"/>
              <w:rPr>
                <w:rFonts w:ascii="Titillium" w:hAnsi="Titillium"/>
              </w:rPr>
            </w:pPr>
            <w:r>
              <w:rPr>
                <w:rFonts w:ascii="Titillium" w:hAnsi="Titillium"/>
              </w:rPr>
              <w:t>Firma podwykonawcy*</w:t>
            </w:r>
          </w:p>
        </w:tc>
      </w:tr>
      <w:tr>
        <w:trPr>
          <w:trHeight w:val="717" w:hRule="atLeast"/>
        </w:trPr>
        <w:tc>
          <w:tcPr>
            <w:tcW w:w="4514"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tc>
        <w:tc>
          <w:tcPr>
            <w:tcW w:w="4355"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Standard"/>
              <w:snapToGrid w:val="false"/>
              <w:spacing w:lineRule="auto" w:line="276"/>
              <w:jc w:val="both"/>
              <w:rPr>
                <w:rFonts w:ascii="Titillium" w:hAnsi="Titillium"/>
              </w:rPr>
            </w:pPr>
            <w:r>
              <w:rPr>
                <w:rFonts w:ascii="Titillium" w:hAnsi="Titillium"/>
              </w:rPr>
            </w:r>
          </w:p>
        </w:tc>
      </w:tr>
      <w:tr>
        <w:trPr>
          <w:trHeight w:val="717" w:hRule="atLeast"/>
        </w:trPr>
        <w:tc>
          <w:tcPr>
            <w:tcW w:w="4514"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tc>
        <w:tc>
          <w:tcPr>
            <w:tcW w:w="4355"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Standard"/>
              <w:snapToGrid w:val="false"/>
              <w:spacing w:lineRule="auto" w:line="276"/>
              <w:jc w:val="both"/>
              <w:rPr>
                <w:rFonts w:ascii="Titillium" w:hAnsi="Titillium"/>
              </w:rPr>
            </w:pPr>
            <w:r>
              <w:rPr>
                <w:rFonts w:ascii="Titillium" w:hAnsi="Titillium"/>
              </w:rPr>
            </w:r>
          </w:p>
        </w:tc>
      </w:tr>
    </w:tbl>
    <w:p>
      <w:pPr>
        <w:pStyle w:val="Standard"/>
        <w:tabs>
          <w:tab w:val="clear" w:pos="720"/>
          <w:tab w:val="left" w:pos="180" w:leader="none"/>
          <w:tab w:val="left" w:pos="284" w:leader="none"/>
        </w:tabs>
        <w:spacing w:lineRule="auto" w:line="276"/>
        <w:jc w:val="both"/>
        <w:rPr>
          <w:rFonts w:ascii="Titillium" w:hAnsi="Titillium"/>
        </w:rPr>
      </w:pPr>
      <w:r>
        <w:rPr>
          <w:rFonts w:ascii="Titillium" w:hAnsi="Titillium"/>
          <w:b/>
        </w:rPr>
        <w:t>* o ile są już znane</w:t>
      </w:r>
    </w:p>
    <w:p>
      <w:pPr>
        <w:pStyle w:val="Standard"/>
        <w:tabs>
          <w:tab w:val="clear" w:pos="720"/>
          <w:tab w:val="left" w:pos="180" w:leader="none"/>
        </w:tabs>
        <w:spacing w:lineRule="auto" w:line="276"/>
        <w:jc w:val="both"/>
        <w:rPr>
          <w:rFonts w:ascii="Titillium" w:hAnsi="Titillium"/>
        </w:rPr>
      </w:pPr>
      <w:r>
        <w:rPr>
          <w:rFonts w:ascii="Titillium" w:hAnsi="Titillium"/>
          <w:b/>
          <w:i/>
          <w:u w:val="single"/>
        </w:rPr>
        <w:t>12.** w przypadku nie skorzystania z usług podwykonawców wypełnia się poniższe oświadczenie</w:t>
      </w:r>
    </w:p>
    <w:p>
      <w:pPr>
        <w:pStyle w:val="Tekstost"/>
        <w:widowControl/>
        <w:tabs>
          <w:tab w:val="clear" w:pos="720"/>
          <w:tab w:val="left" w:pos="180" w:leader="none"/>
          <w:tab w:val="left" w:pos="360" w:leader="none"/>
          <w:tab w:val="left" w:pos="540" w:leader="none"/>
        </w:tabs>
        <w:spacing w:lineRule="auto" w:line="276"/>
        <w:rPr>
          <w:rFonts w:ascii="Titillium" w:hAnsi="Titillium"/>
        </w:rPr>
      </w:pPr>
      <w:r>
        <w:rPr>
          <w:rFonts w:ascii="Titillium" w:hAnsi="Titillium"/>
        </w:rPr>
        <w:t>Oświadczam(y), że nasza firma (należy wpisać nazwę  Wykonawcy) ………………………......................………………..</w:t>
      </w:r>
    </w:p>
    <w:p>
      <w:pPr>
        <w:pStyle w:val="Tekstost"/>
        <w:widowControl/>
        <w:tabs>
          <w:tab w:val="clear" w:pos="720"/>
          <w:tab w:val="left" w:pos="180" w:leader="none"/>
          <w:tab w:val="left" w:pos="360" w:leader="none"/>
        </w:tabs>
        <w:spacing w:lineRule="auto" w:line="276"/>
        <w:rPr>
          <w:rFonts w:ascii="Titillium" w:hAnsi="Titillium"/>
        </w:rPr>
      </w:pPr>
      <w:r>
        <w:rPr>
          <w:rFonts w:ascii="Titillium" w:hAnsi="Titillium"/>
        </w:rPr>
        <w:t>…………………</w:t>
      </w:r>
      <w:r>
        <w:rPr>
          <w:rFonts w:ascii="Titillium" w:hAnsi="Titillium"/>
        </w:rPr>
        <w:t>.......................................................................................................................................................................................wykona całość robót i usług składających się na przedmiot zamówienia we własnym zakresie, nie korzystając z</w:t>
      </w:r>
      <w:r>
        <w:rPr>
          <w:rFonts w:cs="Calibri" w:ascii="Titillium" w:hAnsi="Titillium"/>
        </w:rPr>
        <w:t> </w:t>
      </w:r>
      <w:r>
        <w:rPr>
          <w:rFonts w:ascii="Titillium" w:hAnsi="Titillium"/>
        </w:rPr>
        <w:t>us</w:t>
      </w:r>
      <w:r>
        <w:rPr>
          <w:rFonts w:cs="Titillium" w:ascii="Titillium" w:hAnsi="Titillium"/>
        </w:rPr>
        <w:t>ł</w:t>
      </w:r>
      <w:r>
        <w:rPr>
          <w:rFonts w:ascii="Titillium" w:hAnsi="Titillium"/>
        </w:rPr>
        <w:t>ug podwykonawc</w:t>
      </w:r>
      <w:r>
        <w:rPr>
          <w:rFonts w:cs="Titillium" w:ascii="Titillium" w:hAnsi="Titillium"/>
        </w:rPr>
        <w:t>ó</w:t>
      </w:r>
      <w:r>
        <w:rPr>
          <w:rFonts w:ascii="Titillium" w:hAnsi="Titillium"/>
        </w:rPr>
        <w:t xml:space="preserve">w.  </w:t>
      </w:r>
    </w:p>
    <w:p>
      <w:pPr>
        <w:pStyle w:val="Tekstost"/>
        <w:widowControl/>
        <w:tabs>
          <w:tab w:val="clear" w:pos="720"/>
          <w:tab w:val="left" w:pos="338" w:leader="none"/>
          <w:tab w:val="left" w:pos="360" w:leader="none"/>
        </w:tabs>
        <w:spacing w:lineRule="auto" w:line="276"/>
        <w:rPr>
          <w:rFonts w:ascii="Titillium" w:hAnsi="Titillium"/>
        </w:rPr>
      </w:pPr>
      <w:r>
        <w:rPr>
          <w:rFonts w:ascii="Titillium" w:hAnsi="Titillium"/>
        </w:rPr>
        <w:t xml:space="preserve">13. </w:t>
      </w:r>
      <w:r>
        <w:rPr>
          <w:rFonts w:cs="Arial" w:ascii="Titillium" w:hAnsi="Titillium"/>
          <w:b/>
          <w:bCs/>
          <w:color w:val="000000"/>
        </w:rPr>
        <w:t xml:space="preserve">Oświadczam(y), że wypełniłem/liśmy obowiązki informacyjne przewidziane w art. 13 lub art. 14 RODO wobec osób fizycznych, </w:t>
      </w:r>
      <w:r>
        <w:rPr>
          <w:rFonts w:cs="Arial" w:ascii="Titillium" w:hAnsi="Titillium"/>
          <w:b/>
          <w:bCs/>
        </w:rPr>
        <w:t>od których dane osobowe bezpośrednio lub pośrednio pozyskałem/liśmy</w:t>
      </w:r>
      <w:r>
        <w:rPr>
          <w:rFonts w:cs="Arial" w:ascii="Titillium" w:hAnsi="Titillium"/>
          <w:b/>
          <w:bCs/>
          <w:color w:val="000000"/>
        </w:rPr>
        <w:t xml:space="preserve"> w celu ubiegania się o udzielenie zamówienia publicznego w niniejszym postępowaniu.</w:t>
      </w:r>
    </w:p>
    <w:p>
      <w:pPr>
        <w:pStyle w:val="Tekstost"/>
        <w:widowControl/>
        <w:tabs>
          <w:tab w:val="clear" w:pos="720"/>
          <w:tab w:val="left" w:pos="180" w:leader="none"/>
          <w:tab w:val="left" w:pos="360" w:leader="none"/>
        </w:tabs>
        <w:spacing w:lineRule="auto" w:line="276"/>
        <w:rPr>
          <w:rFonts w:ascii="Titillium" w:hAnsi="Titillium"/>
        </w:rPr>
      </w:pPr>
      <w:r>
        <w:rPr>
          <w:rFonts w:ascii="Titillium" w:hAnsi="Titillium"/>
        </w:rPr>
        <w:t>14. Oświadczam(y), iż  Wykonawcy przysługuje status:</w:t>
      </w:r>
    </w:p>
    <w:p>
      <w:pPr>
        <w:pStyle w:val="Standard"/>
        <w:numPr>
          <w:ilvl w:val="0"/>
          <w:numId w:val="44"/>
        </w:numPr>
        <w:jc w:val="both"/>
        <w:rPr>
          <w:rFonts w:ascii="Titillium" w:hAnsi="Titillium"/>
        </w:rPr>
      </w:pPr>
      <w:r>
        <w:rPr>
          <w:rFonts w:ascii="Titillium" w:hAnsi="Titillium"/>
        </w:rPr>
        <w:t xml:space="preserve"> </w:t>
      </w:r>
      <w:r>
        <w:rPr>
          <w:rFonts w:ascii="Titillium" w:hAnsi="Titillium"/>
        </w:rPr>
        <w:t>mikroprzedsiębiorcy (*),</w:t>
      </w:r>
    </w:p>
    <w:p>
      <w:pPr>
        <w:pStyle w:val="Standard"/>
        <w:numPr>
          <w:ilvl w:val="0"/>
          <w:numId w:val="44"/>
        </w:numPr>
        <w:jc w:val="both"/>
        <w:rPr>
          <w:rFonts w:ascii="Titillium" w:hAnsi="Titillium"/>
        </w:rPr>
      </w:pPr>
      <w:r>
        <w:rPr>
          <w:rFonts w:ascii="Titillium" w:hAnsi="Titillium"/>
        </w:rPr>
        <w:t>małego przedsiębiorcy (*),</w:t>
      </w:r>
    </w:p>
    <w:p>
      <w:pPr>
        <w:pStyle w:val="Standard"/>
        <w:numPr>
          <w:ilvl w:val="0"/>
          <w:numId w:val="44"/>
        </w:numPr>
        <w:jc w:val="both"/>
        <w:rPr>
          <w:rFonts w:ascii="Titillium" w:hAnsi="Titillium"/>
        </w:rPr>
      </w:pPr>
      <w:r>
        <w:rPr>
          <w:rFonts w:ascii="Titillium" w:hAnsi="Titillium"/>
        </w:rPr>
        <w:t>średniego przedsiębiorcy(*),</w:t>
      </w:r>
    </w:p>
    <w:p>
      <w:pPr>
        <w:pStyle w:val="Standard"/>
        <w:numPr>
          <w:ilvl w:val="0"/>
          <w:numId w:val="44"/>
        </w:numPr>
        <w:jc w:val="both"/>
        <w:rPr>
          <w:rFonts w:ascii="Titillium" w:hAnsi="Titillium"/>
        </w:rPr>
      </w:pPr>
      <w:r>
        <w:rPr>
          <w:rFonts w:ascii="Titillium" w:hAnsi="Titillium"/>
        </w:rPr>
        <w:t>dużego przedsiębiorcy (*).</w:t>
      </w:r>
    </w:p>
    <w:p>
      <w:pPr>
        <w:pStyle w:val="Tekstost"/>
        <w:widowControl/>
        <w:tabs>
          <w:tab w:val="clear" w:pos="720"/>
          <w:tab w:val="left" w:pos="180" w:leader="none"/>
          <w:tab w:val="left" w:pos="360" w:leader="none"/>
        </w:tabs>
        <w:spacing w:lineRule="auto" w:line="276"/>
        <w:rPr>
          <w:rFonts w:ascii="Titillium" w:hAnsi="Titillium"/>
        </w:rPr>
      </w:pPr>
      <w:r>
        <w:rPr>
          <w:rFonts w:ascii="Titillium" w:hAnsi="Titillium"/>
        </w:rPr>
        <w:t>(*niepotrzebne skreślić).</w:t>
      </w:r>
    </w:p>
    <w:p>
      <w:pPr>
        <w:pStyle w:val="Tekstost"/>
        <w:widowControl/>
        <w:tabs>
          <w:tab w:val="clear" w:pos="720"/>
          <w:tab w:val="left" w:pos="180" w:leader="none"/>
          <w:tab w:val="left" w:pos="360" w:leader="none"/>
        </w:tabs>
        <w:rPr>
          <w:rFonts w:ascii="Titillium" w:hAnsi="Titillium"/>
        </w:rPr>
      </w:pPr>
      <w:r>
        <w:rPr>
          <w:rFonts w:ascii="Titillium" w:hAnsi="Titillium"/>
          <w:sz w:val="18"/>
          <w:szCs w:val="18"/>
        </w:rPr>
        <w:t>Definicje zgodnie z zaleceniami Komisji z dnia 6 maja 2003 r. dotyczące definicji mikroprzedsiębiorstw oraz małych i</w:t>
      </w:r>
      <w:r>
        <w:rPr>
          <w:rFonts w:cs="Calibri" w:ascii="Titillium" w:hAnsi="Titillium"/>
          <w:sz w:val="18"/>
          <w:szCs w:val="18"/>
        </w:rPr>
        <w:t> </w:t>
      </w:r>
      <w:r>
        <w:rPr>
          <w:rFonts w:ascii="Titillium" w:hAnsi="Titillium"/>
          <w:sz w:val="18"/>
          <w:szCs w:val="18"/>
        </w:rPr>
        <w:t>średnich przedsiębiorstw (Dz. U. L 124 z 20.5.2003, s. 36). Te informacje są wymagane wyłącznie do celów statystycznych.</w:t>
      </w:r>
    </w:p>
    <w:p>
      <w:pPr>
        <w:pStyle w:val="Tekstost"/>
        <w:widowControl/>
        <w:tabs>
          <w:tab w:val="clear" w:pos="720"/>
          <w:tab w:val="left" w:pos="180" w:leader="none"/>
          <w:tab w:val="left" w:pos="360" w:leader="none"/>
        </w:tabs>
        <w:rPr>
          <w:rFonts w:ascii="Titillium" w:hAnsi="Titillium"/>
        </w:rPr>
      </w:pPr>
      <w:r>
        <w:rPr>
          <w:rFonts w:ascii="Titillium" w:hAnsi="Titillium"/>
          <w:sz w:val="18"/>
          <w:szCs w:val="18"/>
        </w:rPr>
        <w:t>*Mikroprzedsiębiorstwo: przedsiębiorstwo, które zatrudnia mniej niż 10 osób i którego roczny obrót lub roczna suma bilansowa nie przekracza 2 milionów EUR.</w:t>
      </w:r>
    </w:p>
    <w:p>
      <w:pPr>
        <w:pStyle w:val="Tekstost"/>
        <w:widowControl/>
        <w:tabs>
          <w:tab w:val="clear" w:pos="720"/>
          <w:tab w:val="left" w:pos="180" w:leader="none"/>
          <w:tab w:val="left" w:pos="360" w:leader="none"/>
        </w:tabs>
        <w:rPr>
          <w:rFonts w:ascii="Titillium" w:hAnsi="Titillium"/>
        </w:rPr>
      </w:pPr>
      <w:r>
        <w:rPr>
          <w:rFonts w:ascii="Titillium" w:hAnsi="Titillium"/>
          <w:sz w:val="18"/>
          <w:szCs w:val="18"/>
        </w:rPr>
        <w:t>*Małe przedsiębiorstwo: przedsiębiorstwo, które zatrudnia mniej niż 50 osób i którego roczny obrót lub roczna suma bilansowa nie przekracza 10 milionów EUR.</w:t>
      </w:r>
    </w:p>
    <w:p>
      <w:pPr>
        <w:pStyle w:val="Tekstost"/>
        <w:widowControl/>
        <w:tabs>
          <w:tab w:val="clear" w:pos="720"/>
          <w:tab w:val="left" w:pos="180" w:leader="none"/>
          <w:tab w:val="left" w:pos="360" w:leader="none"/>
        </w:tabs>
        <w:rPr>
          <w:rFonts w:ascii="Titillium" w:hAnsi="Titillium"/>
        </w:rPr>
      </w:pPr>
      <w:r>
        <w:rPr>
          <w:rFonts w:ascii="Titillium" w:hAnsi="Titillium"/>
          <w:sz w:val="18"/>
          <w:szCs w:val="18"/>
        </w:rPr>
        <w:t>*Średnie przedsiębiorstwa: przedsiębiorstwa, które nie są mikroprzedsiębiorstwami ani małymi przedsiębiorstwami i</w:t>
      </w:r>
      <w:r>
        <w:rPr>
          <w:rFonts w:cs="Calibri" w:ascii="Titillium" w:hAnsi="Titillium"/>
          <w:sz w:val="18"/>
          <w:szCs w:val="18"/>
        </w:rPr>
        <w:t> </w:t>
      </w:r>
      <w:r>
        <w:rPr>
          <w:rFonts w:ascii="Titillium" w:hAnsi="Titillium"/>
          <w:sz w:val="18"/>
          <w:szCs w:val="18"/>
        </w:rPr>
        <w:t>które zatrudniają mniej niż 250 osób i których roczny obrót nie przekracza 50 milionów EUR lub roczna suma bilansowa nie przekracza 43 milionów EUR.</w:t>
      </w:r>
    </w:p>
    <w:p>
      <w:pPr>
        <w:pStyle w:val="Standard"/>
        <w:spacing w:lineRule="auto" w:line="276"/>
        <w:jc w:val="both"/>
        <w:rPr>
          <w:rFonts w:ascii="Titillium" w:hAnsi="Titillium"/>
          <w:shd w:fill="FFFF00" w:val="clear"/>
        </w:rPr>
      </w:pPr>
      <w:r>
        <w:rPr>
          <w:rFonts w:ascii="Titillium" w:hAnsi="Titillium"/>
          <w:shd w:fill="FFFF00" w:val="clear"/>
        </w:rPr>
      </w:r>
    </w:p>
    <w:p>
      <w:pPr>
        <w:pStyle w:val="Standard"/>
        <w:spacing w:lineRule="auto" w:line="276"/>
        <w:jc w:val="both"/>
        <w:rPr>
          <w:rFonts w:ascii="Titillium" w:hAnsi="Titillium"/>
        </w:rPr>
      </w:pPr>
      <w:r>
        <w:rPr>
          <w:rFonts w:ascii="Titillium" w:hAnsi="Titillium"/>
          <w:iCs/>
          <w:u w:val="single"/>
        </w:rPr>
        <w:t>Uwaga! Wypełnić jedynie, jeżeli Wykonawca zamierza dokonać zastrzeżenia informacji jako tajemnicy przedsiębiorstwa</w:t>
      </w:r>
    </w:p>
    <w:p>
      <w:pPr>
        <w:pStyle w:val="Standard"/>
        <w:tabs>
          <w:tab w:val="clear" w:pos="720"/>
          <w:tab w:val="left" w:pos="180" w:leader="none"/>
        </w:tabs>
        <w:spacing w:lineRule="auto" w:line="276"/>
        <w:jc w:val="both"/>
        <w:rPr>
          <w:rFonts w:ascii="Titillium" w:hAnsi="Titillium"/>
        </w:rPr>
      </w:pPr>
      <w:r>
        <w:rPr>
          <w:rFonts w:ascii="Titillium" w:hAnsi="Titillium"/>
        </w:rPr>
        <w:t xml:space="preserve">15. </w:t>
      </w:r>
      <w:r>
        <w:rPr>
          <w:rFonts w:ascii="Titillium" w:hAnsi="Titillium"/>
          <w:iCs/>
        </w:rPr>
        <w:t>Wskazane i wydzielone w odrębnym pliku informacje stanowią tajemnicę przedsiębiorstwa w</w:t>
      </w:r>
      <w:r>
        <w:rPr>
          <w:rFonts w:cs="Calibri" w:ascii="Titillium" w:hAnsi="Titillium"/>
          <w:iCs/>
        </w:rPr>
        <w:t> </w:t>
      </w:r>
      <w:r>
        <w:rPr>
          <w:rFonts w:ascii="Titillium" w:hAnsi="Titillium"/>
          <w:iCs/>
        </w:rPr>
        <w:t>rozumieniu przepisów o zwalczaniu nieuczciwej konkurencji i w związku z</w:t>
      </w:r>
      <w:r>
        <w:rPr>
          <w:rFonts w:cs="Calibri" w:ascii="Titillium" w:hAnsi="Titillium"/>
          <w:iCs/>
        </w:rPr>
        <w:t> </w:t>
      </w:r>
      <w:r>
        <w:rPr>
          <w:rFonts w:ascii="Titillium" w:hAnsi="Titillium"/>
          <w:iCs/>
        </w:rPr>
        <w:t>niniejszym nie mog</w:t>
      </w:r>
      <w:r>
        <w:rPr>
          <w:rFonts w:cs="Titillium" w:ascii="Titillium" w:hAnsi="Titillium"/>
          <w:iCs/>
        </w:rPr>
        <w:t>ą</w:t>
      </w:r>
      <w:r>
        <w:rPr>
          <w:rFonts w:ascii="Titillium" w:hAnsi="Titillium"/>
          <w:iCs/>
        </w:rPr>
        <w:t xml:space="preserve"> by</w:t>
      </w:r>
      <w:r>
        <w:rPr>
          <w:rFonts w:cs="Titillium" w:ascii="Titillium" w:hAnsi="Titillium"/>
          <w:iCs/>
        </w:rPr>
        <w:t>ć</w:t>
      </w:r>
      <w:r>
        <w:rPr>
          <w:rFonts w:ascii="Titillium" w:hAnsi="Titillium"/>
          <w:iCs/>
        </w:rPr>
        <w:t xml:space="preserve"> one udost</w:t>
      </w:r>
      <w:r>
        <w:rPr>
          <w:rFonts w:cs="Titillium" w:ascii="Titillium" w:hAnsi="Titillium"/>
          <w:iCs/>
        </w:rPr>
        <w:t>ę</w:t>
      </w:r>
      <w:r>
        <w:rPr>
          <w:rFonts w:ascii="Titillium" w:hAnsi="Titillium"/>
          <w:iCs/>
        </w:rPr>
        <w:t>pniane  na potwierdzenie czego za</w:t>
      </w:r>
      <w:r>
        <w:rPr>
          <w:rFonts w:cs="Titillium" w:ascii="Titillium" w:hAnsi="Titillium"/>
          <w:iCs/>
        </w:rPr>
        <w:t>łą</w:t>
      </w:r>
      <w:r>
        <w:rPr>
          <w:rFonts w:ascii="Titillium" w:hAnsi="Titillium"/>
          <w:iCs/>
        </w:rPr>
        <w:t>czam poni</w:t>
      </w:r>
      <w:r>
        <w:rPr>
          <w:rFonts w:cs="Titillium" w:ascii="Titillium" w:hAnsi="Titillium"/>
          <w:iCs/>
        </w:rPr>
        <w:t>ż</w:t>
      </w:r>
      <w:r>
        <w:rPr>
          <w:rFonts w:ascii="Titillium" w:hAnsi="Titillium"/>
          <w:iCs/>
        </w:rPr>
        <w:t>sz</w:t>
      </w:r>
      <w:r>
        <w:rPr>
          <w:rFonts w:cs="Titillium" w:ascii="Titillium" w:hAnsi="Titillium"/>
          <w:iCs/>
        </w:rPr>
        <w:t>ą</w:t>
      </w:r>
      <w:r>
        <w:rPr>
          <w:rFonts w:ascii="Titillium" w:hAnsi="Titillium"/>
          <w:iCs/>
        </w:rPr>
        <w:t xml:space="preserve"> argumentacj</w:t>
      </w:r>
      <w:r>
        <w:rPr>
          <w:rFonts w:cs="Titillium" w:ascii="Titillium" w:hAnsi="Titillium"/>
          <w:iCs/>
        </w:rPr>
        <w:t>ę:</w:t>
      </w:r>
    </w:p>
    <w:p>
      <w:pPr>
        <w:pStyle w:val="Standard"/>
        <w:spacing w:lineRule="auto" w:line="276"/>
        <w:jc w:val="both"/>
        <w:rPr>
          <w:rFonts w:ascii="Titillium" w:hAnsi="Titillium"/>
        </w:rPr>
      </w:pPr>
      <w:r>
        <w:rPr>
          <w:rFonts w:ascii="Titillium" w:hAnsi="Titillium"/>
          <w:iCs/>
        </w:rPr>
        <w:t>………………………………………</w:t>
      </w:r>
      <w:r>
        <w:rPr>
          <w:rFonts w:ascii="Titillium" w:hAnsi="Titillium"/>
          <w:iCs/>
        </w:rPr>
        <w:t>..............................................................................................................…………………………………..………………………………………………………………………………………………………………………………………………………………….</w:t>
      </w:r>
    </w:p>
    <w:p>
      <w:pPr>
        <w:pStyle w:val="Standard"/>
        <w:spacing w:lineRule="auto" w:line="276"/>
        <w:jc w:val="both"/>
        <w:rPr>
          <w:rFonts w:ascii="Titillium" w:hAnsi="Titillium"/>
        </w:rPr>
      </w:pPr>
      <w:r>
        <w:rPr>
          <w:rFonts w:ascii="Titillium" w:hAnsi="Titillium"/>
          <w:iCs/>
        </w:rPr>
        <w:t>………………………………………</w:t>
      </w:r>
      <w:r>
        <w:rPr>
          <w:rFonts w:ascii="Titillium" w:hAnsi="Titillium"/>
          <w:iCs/>
        </w:rPr>
        <w:t>..................................................................................................................……………………………….</w:t>
      </w:r>
    </w:p>
    <w:p>
      <w:pPr>
        <w:pStyle w:val="Standard"/>
        <w:spacing w:lineRule="auto" w:line="276"/>
        <w:jc w:val="both"/>
        <w:rPr>
          <w:rFonts w:ascii="Titillium" w:hAnsi="Titillium"/>
        </w:rPr>
      </w:pPr>
      <w:r>
        <w:rPr>
          <w:rFonts w:ascii="Titillium" w:hAnsi="Titillium"/>
          <w:b/>
          <w:bCs/>
        </w:rPr>
        <w:t>*, ** (wypełnia się alternatywnie)</w:t>
      </w:r>
    </w:p>
    <w:p>
      <w:pPr>
        <w:pStyle w:val="Standard"/>
        <w:spacing w:lineRule="auto" w:line="276"/>
        <w:jc w:val="both"/>
        <w:rPr>
          <w:rFonts w:ascii="Titillium" w:hAnsi="Titillium"/>
          <w:b/>
          <w:bCs/>
        </w:rPr>
      </w:pPr>
      <w:r>
        <w:rPr>
          <w:rFonts w:ascii="Titillium" w:hAnsi="Titillium"/>
          <w:b/>
          <w:bCs/>
        </w:rPr>
      </w:r>
    </w:p>
    <w:p>
      <w:pPr>
        <w:pStyle w:val="Standard"/>
        <w:spacing w:lineRule="auto" w:line="276"/>
        <w:jc w:val="both"/>
        <w:rPr>
          <w:rFonts w:ascii="Titillium" w:hAnsi="Titillium"/>
        </w:rPr>
      </w:pPr>
      <w:r>
        <w:rPr>
          <w:rFonts w:ascii="Titillium" w:hAnsi="Titillium"/>
          <w:b/>
          <w:bCs/>
        </w:rPr>
        <w:t>UWAGA! Podpisujemy kwalifikowanym podpisem elektronicznym albo profilem zaufanym albo podpisem osobistym.</w:t>
      </w:r>
    </w:p>
    <w:p>
      <w:pPr>
        <w:pStyle w:val="Standard"/>
        <w:spacing w:lineRule="auto" w:line="276"/>
        <w:jc w:val="both"/>
        <w:rPr>
          <w:b/>
          <w:bCs/>
        </w:rPr>
      </w:pPr>
      <w:r>
        <w:rPr>
          <w:b/>
          <w:bCs/>
        </w:rPr>
      </w:r>
    </w:p>
    <w:p>
      <w:pPr>
        <w:pStyle w:val="Standard"/>
        <w:spacing w:lineRule="auto" w:line="276"/>
        <w:jc w:val="both"/>
        <w:rPr>
          <w:b/>
          <w:bCs/>
        </w:rPr>
      </w:pPr>
      <w:r>
        <w:rPr>
          <w:b/>
          <w:bCs/>
        </w:rPr>
      </w:r>
    </w:p>
    <w:p>
      <w:pPr>
        <w:pStyle w:val="Standard"/>
        <w:spacing w:lineRule="auto" w:line="276"/>
        <w:jc w:val="both"/>
        <w:rPr>
          <w:b/>
          <w:bCs/>
        </w:rPr>
      </w:pPr>
      <w:r>
        <w:rPr>
          <w:b/>
          <w:bCs/>
        </w:rPr>
      </w:r>
    </w:p>
    <w:p>
      <w:pPr>
        <w:pStyle w:val="Standard"/>
        <w:spacing w:lineRule="auto" w:line="276"/>
        <w:jc w:val="both"/>
        <w:rPr>
          <w:b/>
          <w:bCs/>
        </w:rPr>
      </w:pPr>
      <w:r>
        <w:rPr>
          <w:b/>
          <w:bCs/>
        </w:rPr>
      </w:r>
    </w:p>
    <w:p>
      <w:pPr>
        <w:pStyle w:val="Standard"/>
        <w:spacing w:lineRule="auto" w:line="276"/>
        <w:jc w:val="both"/>
        <w:rPr>
          <w:b/>
          <w:bCs/>
        </w:rPr>
      </w:pPr>
      <w:r>
        <w:rPr>
          <w:b/>
          <w:bCs/>
        </w:rPr>
      </w:r>
    </w:p>
    <w:p>
      <w:pPr>
        <w:pStyle w:val="Standard"/>
        <w:spacing w:lineRule="auto" w:line="276"/>
        <w:jc w:val="both"/>
        <w:rPr>
          <w:b/>
          <w:bCs/>
        </w:rPr>
      </w:pPr>
      <w:r>
        <w:rPr>
          <w:b/>
          <w:bCs/>
        </w:rPr>
      </w:r>
    </w:p>
    <w:p>
      <w:pPr>
        <w:pStyle w:val="Standard"/>
        <w:spacing w:lineRule="auto" w:line="276"/>
        <w:jc w:val="both"/>
        <w:rPr>
          <w:b/>
          <w:bCs/>
        </w:rPr>
      </w:pPr>
      <w:r>
        <w:rPr>
          <w:b/>
          <w:bCs/>
        </w:rPr>
      </w:r>
    </w:p>
    <w:p>
      <w:pPr>
        <w:pStyle w:val="Standard"/>
        <w:spacing w:lineRule="auto" w:line="276"/>
        <w:jc w:val="both"/>
        <w:rPr>
          <w:b/>
          <w:bCs/>
        </w:rPr>
      </w:pPr>
      <w:r>
        <w:rPr>
          <w:b/>
          <w:bCs/>
        </w:rPr>
      </w:r>
    </w:p>
    <w:p>
      <w:pPr>
        <w:pStyle w:val="Standard"/>
        <w:spacing w:lineRule="auto" w:line="276"/>
        <w:jc w:val="both"/>
        <w:rPr>
          <w:b/>
          <w:bCs/>
        </w:rPr>
      </w:pPr>
      <w:r>
        <w:rPr>
          <w:b/>
          <w:bCs/>
        </w:rPr>
      </w:r>
    </w:p>
    <w:p>
      <w:pPr>
        <w:pStyle w:val="Standard"/>
        <w:spacing w:lineRule="auto" w:line="276"/>
        <w:jc w:val="both"/>
        <w:rPr>
          <w:b/>
          <w:bCs/>
        </w:rPr>
      </w:pPr>
      <w:r>
        <w:rPr>
          <w:b/>
          <w:bCs/>
        </w:rPr>
      </w:r>
    </w:p>
    <w:p>
      <w:pPr>
        <w:pStyle w:val="Standard"/>
        <w:spacing w:lineRule="auto" w:line="276"/>
        <w:jc w:val="both"/>
        <w:rPr>
          <w:b/>
          <w:bCs/>
        </w:rPr>
      </w:pPr>
      <w:r>
        <w:rPr>
          <w:b/>
          <w:bCs/>
        </w:rPr>
      </w:r>
    </w:p>
    <w:p>
      <w:pPr>
        <w:pStyle w:val="Standard"/>
        <w:spacing w:lineRule="auto" w:line="276"/>
        <w:jc w:val="both"/>
        <w:rPr>
          <w:b/>
          <w:bCs/>
        </w:rPr>
      </w:pPr>
      <w:r>
        <w:rPr>
          <w:b/>
          <w:bCs/>
        </w:rPr>
      </w:r>
    </w:p>
    <w:p>
      <w:pPr>
        <w:pStyle w:val="Standard"/>
        <w:spacing w:lineRule="auto" w:line="276"/>
        <w:jc w:val="both"/>
        <w:rPr>
          <w:b/>
          <w:bCs/>
        </w:rPr>
      </w:pPr>
      <w:r>
        <w:rPr>
          <w:b/>
          <w:bCs/>
        </w:rPr>
      </w:r>
    </w:p>
    <w:p>
      <w:pPr>
        <w:pStyle w:val="Standard"/>
        <w:spacing w:lineRule="auto" w:line="276"/>
        <w:jc w:val="both"/>
        <w:rPr>
          <w:b/>
          <w:bCs/>
        </w:rPr>
      </w:pPr>
      <w:r>
        <w:rPr>
          <w:b/>
          <w:bCs/>
        </w:rPr>
      </w:r>
    </w:p>
    <w:p>
      <w:pPr>
        <w:pStyle w:val="Standard"/>
        <w:spacing w:lineRule="auto" w:line="276"/>
        <w:jc w:val="both"/>
        <w:rPr>
          <w:b/>
          <w:bCs/>
        </w:rPr>
      </w:pPr>
      <w:r>
        <w:rPr>
          <w:b/>
          <w:bCs/>
        </w:rPr>
      </w:r>
    </w:p>
    <w:p>
      <w:pPr>
        <w:pStyle w:val="Standard"/>
        <w:spacing w:lineRule="auto" w:line="276"/>
        <w:jc w:val="both"/>
        <w:rPr>
          <w:b/>
          <w:bCs/>
        </w:rPr>
      </w:pPr>
      <w:r>
        <w:rPr>
          <w:b/>
          <w:bCs/>
        </w:rPr>
      </w:r>
    </w:p>
    <w:p>
      <w:pPr>
        <w:pStyle w:val="Standard"/>
        <w:spacing w:lineRule="auto" w:line="276"/>
        <w:jc w:val="both"/>
        <w:rPr>
          <w:b/>
          <w:bCs/>
        </w:rPr>
      </w:pPr>
      <w:r>
        <w:rPr>
          <w:b/>
          <w:bCs/>
        </w:rPr>
      </w:r>
    </w:p>
    <w:p>
      <w:pPr>
        <w:pStyle w:val="Standard"/>
        <w:spacing w:lineRule="auto" w:line="276"/>
        <w:jc w:val="both"/>
        <w:rPr>
          <w:b/>
          <w:bCs/>
        </w:rPr>
      </w:pPr>
      <w:r>
        <w:rPr>
          <w:b/>
          <w:bCs/>
        </w:rPr>
      </w:r>
    </w:p>
    <w:p>
      <w:pPr>
        <w:pStyle w:val="Standard"/>
        <w:spacing w:lineRule="auto" w:line="276"/>
        <w:jc w:val="both"/>
        <w:rPr>
          <w:b/>
          <w:bCs/>
        </w:rPr>
      </w:pPr>
      <w:r>
        <w:rPr>
          <w:b/>
          <w:bCs/>
        </w:rPr>
      </w:r>
    </w:p>
    <w:p>
      <w:pPr>
        <w:pStyle w:val="Standard"/>
        <w:spacing w:lineRule="auto" w:line="276"/>
        <w:jc w:val="both"/>
        <w:rPr>
          <w:b/>
          <w:bCs/>
        </w:rPr>
      </w:pPr>
      <w:r>
        <w:rPr>
          <w:b/>
          <w:bCs/>
        </w:rPr>
      </w:r>
    </w:p>
    <w:p>
      <w:pPr>
        <w:pStyle w:val="Standard"/>
        <w:spacing w:lineRule="auto" w:line="276" w:before="0" w:after="0"/>
        <w:jc w:val="right"/>
        <w:rPr>
          <w:rFonts w:ascii="Titillium" w:hAnsi="Titillium"/>
        </w:rPr>
      </w:pPr>
      <w:r>
        <w:rPr>
          <w:rFonts w:ascii="Titillium" w:hAnsi="Titillium"/>
        </w:rPr>
        <w:t>Załącznik nr 1b</w:t>
      </w:r>
    </w:p>
    <w:p>
      <w:pPr>
        <w:pStyle w:val="Standard"/>
        <w:spacing w:lineRule="auto" w:line="276"/>
        <w:jc w:val="right"/>
        <w:rPr>
          <w:rFonts w:ascii="Titillium" w:hAnsi="Titillium"/>
        </w:rPr>
      </w:pPr>
      <w:r>
        <w:rPr>
          <w:rFonts w:ascii="Titillium" w:hAnsi="Titillium"/>
        </w:rPr>
      </w:r>
    </w:p>
    <w:p>
      <w:pPr>
        <w:pStyle w:val="Standard"/>
        <w:spacing w:lineRule="auto" w:line="276"/>
        <w:jc w:val="center"/>
        <w:rPr>
          <w:rFonts w:ascii="Titillium" w:hAnsi="Titillium"/>
        </w:rPr>
      </w:pPr>
      <w:r>
        <w:rPr>
          <w:rFonts w:ascii="Titillium" w:hAnsi="Titillium"/>
          <w:b/>
          <w:bCs/>
        </w:rPr>
        <w:t>FORMULARZ OFERTY</w:t>
      </w:r>
    </w:p>
    <w:p>
      <w:pPr>
        <w:pStyle w:val="Standard"/>
        <w:spacing w:lineRule="auto" w:line="276"/>
        <w:jc w:val="both"/>
        <w:rPr>
          <w:rFonts w:ascii="Titillium" w:hAnsi="Titillium"/>
        </w:rPr>
      </w:pPr>
      <w:r>
        <w:rPr>
          <w:rFonts w:ascii="Titillium" w:hAnsi="Titillium"/>
          <w:color w:val="000000"/>
        </w:rPr>
        <w:t xml:space="preserve">w trybie podstawowym </w:t>
      </w:r>
      <w:r>
        <w:rPr>
          <w:rFonts w:cs="Verdana" w:ascii="Titillium" w:hAnsi="Titillium"/>
          <w:color w:val="000000"/>
        </w:rPr>
        <w:t xml:space="preserve">dla zadania pod nazwą: </w:t>
      </w:r>
      <w:bookmarkStart w:id="8" w:name="_Hlk162441431_kopia_1"/>
      <w:r>
        <w:rPr>
          <w:rFonts w:ascii="Titillium" w:hAnsi="Titillium"/>
          <w:b/>
          <w:bCs/>
          <w:color w:val="000000"/>
        </w:rPr>
        <w:t xml:space="preserve">"Modernizacja ul. </w:t>
      </w:r>
      <w:bookmarkEnd w:id="8"/>
      <w:r>
        <w:rPr>
          <w:rFonts w:cs="Verdana" w:ascii="Titillium" w:hAnsi="Titillium"/>
          <w:b/>
          <w:bCs/>
          <w:color w:val="000000"/>
        </w:rPr>
        <w:t>Osiedle na Wzgórzu w Rydułtowach”</w:t>
      </w:r>
    </w:p>
    <w:p>
      <w:pPr>
        <w:pStyle w:val="Standard"/>
        <w:spacing w:lineRule="auto" w:line="276"/>
        <w:jc w:val="both"/>
        <w:rPr>
          <w:rFonts w:ascii="Titillium" w:hAnsi="Titillium"/>
          <w:b/>
          <w:bCs/>
          <w:color w:val="000000"/>
        </w:rPr>
      </w:pPr>
      <w:r>
        <w:rPr>
          <w:rFonts w:ascii="Titillium" w:hAnsi="Titillium"/>
          <w:b/>
          <w:bCs/>
          <w:color w:val="000000"/>
        </w:rPr>
      </w:r>
    </w:p>
    <w:p>
      <w:pPr>
        <w:pStyle w:val="WW-Tekstkomentarza"/>
        <w:widowControl/>
        <w:tabs>
          <w:tab w:val="clear" w:pos="720"/>
          <w:tab w:val="left" w:pos="180" w:leader="none"/>
          <w:tab w:val="left" w:pos="360" w:leader="none"/>
          <w:tab w:val="left" w:pos="540" w:leader="none"/>
        </w:tabs>
        <w:spacing w:lineRule="auto" w:line="276"/>
        <w:jc w:val="both"/>
        <w:rPr>
          <w:rFonts w:ascii="Titillium" w:hAnsi="Titillium"/>
        </w:rPr>
      </w:pPr>
      <w:r>
        <w:rPr>
          <w:rFonts w:ascii="Titillium" w:hAnsi="Titillium"/>
        </w:rPr>
        <w:t xml:space="preserve">1. Zarejestrowana nazwa Wykonawcy </w:t>
      </w:r>
      <w:r>
        <w:rPr>
          <w:rFonts w:ascii="Titillium" w:hAnsi="Titillium"/>
          <w:i/>
        </w:rPr>
        <w:t>(jeżeli Wykonawca jest konsorcjum wpisać wszystkich członków)</w:t>
      </w:r>
    </w:p>
    <w:p>
      <w:pPr>
        <w:pStyle w:val="Standard"/>
        <w:spacing w:lineRule="auto" w:line="276"/>
        <w:jc w:val="both"/>
        <w:rPr>
          <w:rFonts w:ascii="Titillium" w:hAnsi="Titillium"/>
        </w:rPr>
      </w:pPr>
      <w:r>
        <w:rPr>
          <w:rFonts w:ascii="Titillium" w:hAnsi="Titillium"/>
        </w:rPr>
        <w:t>...............................................................................................………….................................................................................................</w:t>
      </w:r>
    </w:p>
    <w:p>
      <w:pPr>
        <w:pStyle w:val="Standard"/>
        <w:spacing w:lineRule="auto" w:line="276"/>
        <w:jc w:val="both"/>
        <w:rPr>
          <w:rFonts w:ascii="Titillium" w:hAnsi="Titillium"/>
        </w:rPr>
      </w:pPr>
      <w:r>
        <w:rPr>
          <w:rFonts w:ascii="Titillium" w:hAnsi="Titillium"/>
        </w:rPr>
        <w:t xml:space="preserve">2. Zarejestrowany adres Wykonawcy lub Pełnomocnika/Lidera Konsorcjum </w:t>
      </w:r>
      <w:r>
        <w:rPr>
          <w:rFonts w:ascii="Titillium" w:hAnsi="Titillium"/>
          <w:i/>
        </w:rPr>
        <w:t>(niepotrzebne skreślić)</w:t>
      </w:r>
    </w:p>
    <w:p>
      <w:pPr>
        <w:pStyle w:val="Standard"/>
        <w:spacing w:lineRule="auto" w:line="276"/>
        <w:jc w:val="both"/>
        <w:rPr>
          <w:rFonts w:ascii="Titillium" w:hAnsi="Titillium"/>
        </w:rPr>
      </w:pPr>
      <w:r>
        <w:rPr>
          <w:rFonts w:ascii="Titillium" w:hAnsi="Titillium"/>
        </w:rPr>
        <w:t>ulica ................................................................................... nr domu ..................................... kod ....................................... miejscowość ....................................................…………. województwo .............................................................................……</w:t>
      </w:r>
    </w:p>
    <w:p>
      <w:pPr>
        <w:pStyle w:val="Standard"/>
        <w:spacing w:lineRule="auto" w:line="276"/>
        <w:jc w:val="both"/>
        <w:rPr>
          <w:rFonts w:ascii="Titillium" w:hAnsi="Titillium"/>
        </w:rPr>
      </w:pPr>
      <w:r>
        <w:rPr>
          <w:rFonts w:ascii="Titillium" w:hAnsi="Titillium"/>
        </w:rPr>
        <w:t>tel.: ..................................……………………………....</w:t>
        <w:tab/>
        <w:t xml:space="preserve"> e-mail..............................................................…………………………………...</w:t>
      </w:r>
    </w:p>
    <w:p>
      <w:pPr>
        <w:pStyle w:val="Standard"/>
        <w:spacing w:lineRule="auto" w:line="276"/>
        <w:jc w:val="both"/>
        <w:rPr>
          <w:rFonts w:ascii="Titillium" w:hAnsi="Titillium"/>
        </w:rPr>
      </w:pPr>
      <w:r>
        <w:rPr>
          <w:rFonts w:ascii="Titillium" w:hAnsi="Titillium"/>
        </w:rPr>
        <w:t>REGON:......................................…………………………...</w:t>
        <w:tab/>
        <w:t>NIP: ...................................……………………………………………….</w:t>
      </w:r>
    </w:p>
    <w:p>
      <w:pPr>
        <w:pStyle w:val="Standard"/>
        <w:spacing w:lineRule="auto" w:line="276"/>
        <w:jc w:val="both"/>
        <w:rPr>
          <w:rFonts w:ascii="Titillium" w:hAnsi="Titillium"/>
        </w:rPr>
      </w:pPr>
      <w:r>
        <w:rPr>
          <w:rFonts w:ascii="Titillium" w:hAnsi="Titillium"/>
        </w:rPr>
        <w:t>Nr rachunku bankowego założonego w związku z działalnością gospodarczą ………………………………………………………………………………………………….…………………………………………..</w:t>
      </w:r>
    </w:p>
    <w:p>
      <w:pPr>
        <w:pStyle w:val="Standard"/>
        <w:spacing w:lineRule="auto" w:line="276"/>
        <w:ind w:right="-110"/>
        <w:jc w:val="both"/>
        <w:rPr>
          <w:rFonts w:ascii="Titillium" w:hAnsi="Titillium"/>
        </w:rPr>
      </w:pPr>
      <w:r>
        <w:rPr>
          <w:rFonts w:ascii="Titillium" w:hAnsi="Titillium"/>
        </w:rPr>
        <w:t>3. Do kontaktów z Zamawiającym wyznaczamy:</w:t>
      </w:r>
    </w:p>
    <w:p>
      <w:pPr>
        <w:pStyle w:val="WW-Tekstkomentarza"/>
        <w:widowControl/>
        <w:spacing w:lineRule="auto" w:line="276"/>
        <w:jc w:val="both"/>
        <w:rPr>
          <w:rFonts w:ascii="Titillium" w:hAnsi="Titillium"/>
        </w:rPr>
      </w:pPr>
      <w:r>
        <w:rPr>
          <w:rFonts w:ascii="Titillium" w:hAnsi="Titillium"/>
        </w:rPr>
        <w:t>............................................................................................................... tel........................................................…………………..</w:t>
      </w:r>
    </w:p>
    <w:p>
      <w:pPr>
        <w:pStyle w:val="WW-Tekstkomentarza"/>
        <w:widowControl/>
        <w:spacing w:lineRule="auto" w:line="276"/>
        <w:jc w:val="both"/>
        <w:rPr>
          <w:rFonts w:ascii="Titillium" w:hAnsi="Titillium"/>
        </w:rPr>
      </w:pPr>
      <w:r>
        <w:rPr>
          <w:rFonts w:ascii="Titillium" w:hAnsi="Titillium"/>
        </w:rPr>
        <w:t>4. Oferujemy wykonanie przedmiotu zamówienia za kwotę: .</w:t>
      </w:r>
    </w:p>
    <w:p>
      <w:pPr>
        <w:pStyle w:val="WW-Tekstkomentarza"/>
        <w:widowControl/>
        <w:spacing w:lineRule="auto" w:line="276"/>
        <w:jc w:val="both"/>
        <w:rPr>
          <w:rFonts w:ascii="Titillium" w:hAnsi="Titillium"/>
        </w:rPr>
      </w:pPr>
      <w:r>
        <w:rPr>
          <w:rFonts w:ascii="Titillium" w:hAnsi="Titillium"/>
        </w:rPr>
        <w:t>……………………………………………………………………………………………………………………………</w:t>
      </w:r>
      <w:r>
        <w:rPr>
          <w:rFonts w:ascii="Titillium" w:hAnsi="Titillium"/>
        </w:rPr>
        <w:t>...zł netto</w:t>
      </w:r>
    </w:p>
    <w:p>
      <w:pPr>
        <w:pStyle w:val="WW-Tekstkomentarza"/>
        <w:widowControl/>
        <w:spacing w:lineRule="auto" w:line="276"/>
        <w:jc w:val="both"/>
        <w:rPr>
          <w:rFonts w:ascii="Titillium" w:hAnsi="Titillium"/>
        </w:rPr>
      </w:pPr>
      <w:r>
        <w:rPr>
          <w:rFonts w:ascii="Titillium" w:hAnsi="Titillium"/>
        </w:rPr>
        <w:t>..........................................................…………….podatek VAT</w:t>
      </w:r>
    </w:p>
    <w:p>
      <w:pPr>
        <w:pStyle w:val="WW-Tekstkomentarza"/>
        <w:widowControl/>
        <w:spacing w:lineRule="auto" w:line="276"/>
        <w:jc w:val="both"/>
        <w:rPr>
          <w:rFonts w:ascii="Titillium" w:hAnsi="Titillium"/>
        </w:rPr>
      </w:pPr>
      <w:r>
        <w:rPr>
          <w:rFonts w:ascii="Titillium" w:hAnsi="Titillium"/>
        </w:rPr>
        <w:t>………………………………………………………………………………………………………………………………</w:t>
      </w:r>
      <w:r>
        <w:rPr>
          <w:rFonts w:ascii="Titillium" w:hAnsi="Titillium"/>
        </w:rPr>
        <w:t>.zł brutto</w:t>
      </w:r>
    </w:p>
    <w:p>
      <w:pPr>
        <w:pStyle w:val="WW-Tekstkomentarza"/>
        <w:widowControl/>
        <w:spacing w:lineRule="auto" w:line="276"/>
        <w:jc w:val="both"/>
        <w:rPr>
          <w:rFonts w:ascii="Titillium" w:hAnsi="Titillium"/>
        </w:rPr>
      </w:pPr>
      <w:r>
        <w:rPr>
          <w:rFonts w:ascii="Titillium" w:hAnsi="Titillium"/>
        </w:rPr>
        <w:t>(słownie: …………....……………….......……………………………………………..………………………………………..……...….).</w:t>
      </w:r>
    </w:p>
    <w:p>
      <w:pPr>
        <w:pStyle w:val="Standard"/>
        <w:tabs>
          <w:tab w:val="clear" w:pos="720"/>
          <w:tab w:val="left" w:pos="120" w:leader="none"/>
          <w:tab w:val="left" w:pos="180" w:leader="none"/>
          <w:tab w:val="left" w:pos="225" w:leader="none"/>
          <w:tab w:val="left" w:pos="285" w:leader="none"/>
          <w:tab w:val="left" w:pos="345" w:leader="none"/>
          <w:tab w:val="left" w:pos="390" w:leader="none"/>
        </w:tabs>
        <w:spacing w:lineRule="auto" w:line="276"/>
        <w:jc w:val="both"/>
        <w:rPr>
          <w:rFonts w:ascii="Titillium" w:hAnsi="Titillium"/>
        </w:rPr>
      </w:pPr>
      <w:r>
        <w:rPr>
          <w:rFonts w:ascii="Titillium" w:hAnsi="Titillium"/>
        </w:rPr>
        <w:t xml:space="preserve">5. Oświadczam(y), że wykonam(y) przedmiot zamówienia w terminie do </w:t>
      </w:r>
      <w:r>
        <w:rPr>
          <w:rFonts w:ascii="Titillium" w:hAnsi="Titillium"/>
          <w:b/>
          <w:bCs/>
        </w:rPr>
        <w:t>9</w:t>
      </w:r>
      <w:r>
        <w:rPr>
          <w:rFonts w:ascii="Titillium" w:hAnsi="Titillium"/>
        </w:rPr>
        <w:t xml:space="preserve"> miesięcy od dnia podpisania umowy.</w:t>
      </w:r>
    </w:p>
    <w:p>
      <w:pPr>
        <w:pStyle w:val="Standard"/>
        <w:tabs>
          <w:tab w:val="clear" w:pos="720"/>
          <w:tab w:val="left" w:pos="279" w:leader="none"/>
          <w:tab w:val="left" w:pos="343" w:leader="none"/>
        </w:tabs>
        <w:spacing w:lineRule="auto" w:line="276"/>
        <w:jc w:val="both"/>
        <w:rPr>
          <w:rFonts w:ascii="Titillium" w:hAnsi="Titillium"/>
        </w:rPr>
      </w:pPr>
      <w:r>
        <w:rPr>
          <w:rFonts w:ascii="Titillium" w:hAnsi="Titillium"/>
        </w:rPr>
        <w:t>6. Oświadczamy, że udzielamy …………………………. gwarancji na przedmiot zamówienia.</w:t>
      </w:r>
    </w:p>
    <w:p>
      <w:pPr>
        <w:pStyle w:val="Standard"/>
        <w:tabs>
          <w:tab w:val="clear" w:pos="720"/>
          <w:tab w:val="left" w:pos="279" w:leader="none"/>
          <w:tab w:val="left" w:pos="343" w:leader="none"/>
        </w:tabs>
        <w:spacing w:lineRule="auto" w:line="276"/>
        <w:jc w:val="both"/>
        <w:rPr>
          <w:rFonts w:ascii="Titillium" w:hAnsi="Titillium"/>
        </w:rPr>
      </w:pPr>
      <w:r>
        <w:rPr>
          <w:rFonts w:ascii="Titillium" w:hAnsi="Titillium"/>
          <w:i/>
          <w:iCs/>
        </w:rPr>
        <w:t>(W przypadku nie wypełnienia pozycji Zamawiający przyjmie minimalny dopuszczalny okres gwarancji                              a Wykonawca otrzyma 0 pkt w tym kryterium)</w:t>
      </w:r>
    </w:p>
    <w:p>
      <w:pPr>
        <w:pStyle w:val="Standard"/>
        <w:tabs>
          <w:tab w:val="clear" w:pos="720"/>
          <w:tab w:val="left" w:pos="-2835" w:leader="none"/>
        </w:tabs>
        <w:spacing w:lineRule="auto" w:line="276"/>
        <w:jc w:val="both"/>
        <w:rPr>
          <w:rFonts w:ascii="Titillium" w:hAnsi="Titillium"/>
        </w:rPr>
      </w:pPr>
      <w:r>
        <w:rPr>
          <w:rFonts w:ascii="Titillium" w:hAnsi="Titillium"/>
        </w:rPr>
        <w:t>7. Przyjmujemy warunki płatności – zgodnie z projektem umowy.</w:t>
      </w:r>
    </w:p>
    <w:p>
      <w:pPr>
        <w:pStyle w:val="Standard"/>
        <w:tabs>
          <w:tab w:val="clear" w:pos="720"/>
          <w:tab w:val="left" w:pos="-2835" w:leader="none"/>
        </w:tabs>
        <w:spacing w:lineRule="auto" w:line="276"/>
        <w:jc w:val="both"/>
        <w:rPr>
          <w:rFonts w:ascii="Titillium" w:hAnsi="Titillium"/>
        </w:rPr>
      </w:pPr>
      <w:r>
        <w:rPr>
          <w:rFonts w:ascii="Titillium" w:hAnsi="Titillium"/>
        </w:rPr>
        <w:t>8. Oświadczam(y), że zapoznałem/liśmy się ze specyfikacją warunków zamówienia i nie wnosimy do niej zastrzeżeń oraz zdobyłem/liśmy konieczne informacje potrzebne do właściwego wykonania zamówienia.</w:t>
      </w:r>
    </w:p>
    <w:p>
      <w:pPr>
        <w:pStyle w:val="Standard"/>
        <w:tabs>
          <w:tab w:val="clear" w:pos="720"/>
          <w:tab w:val="left" w:pos="-2835" w:leader="none"/>
        </w:tabs>
        <w:spacing w:lineRule="auto" w:line="276"/>
        <w:jc w:val="both"/>
        <w:rPr>
          <w:rFonts w:ascii="Titillium" w:hAnsi="Titillium"/>
        </w:rPr>
      </w:pPr>
      <w:r>
        <w:rPr>
          <w:rFonts w:ascii="Titillium" w:hAnsi="Titillium"/>
        </w:rPr>
        <w:t>9. Uważam(y) się za związanego(ych) niniejszą ofertą przez 30 dni od dnia upływu terminu składania ofert, tj. do dnia określonego w SWZ.</w:t>
      </w:r>
    </w:p>
    <w:p>
      <w:pPr>
        <w:pStyle w:val="Standard"/>
        <w:tabs>
          <w:tab w:val="clear" w:pos="720"/>
          <w:tab w:val="left" w:pos="-2835" w:leader="none"/>
        </w:tabs>
        <w:spacing w:lineRule="auto" w:line="276"/>
        <w:jc w:val="both"/>
        <w:rPr>
          <w:rFonts w:ascii="Titillium" w:hAnsi="Titillium"/>
        </w:rPr>
      </w:pPr>
      <w:r>
        <w:rPr>
          <w:rFonts w:ascii="Titillium" w:hAnsi="Titillium"/>
          <w:iCs/>
          <w:color w:val="000000"/>
        </w:rPr>
        <w:t>10. Potwierdzamy, iż nie uczestniczymy w innej ofercie dotyczącej tego samego postępowania.</w:t>
      </w:r>
    </w:p>
    <w:p>
      <w:pPr>
        <w:pStyle w:val="Tekstost"/>
        <w:widowControl/>
        <w:tabs>
          <w:tab w:val="clear" w:pos="720"/>
          <w:tab w:val="left" w:pos="0" w:leader="none"/>
        </w:tabs>
        <w:spacing w:lineRule="auto" w:line="276"/>
        <w:rPr>
          <w:rFonts w:ascii="Titillium" w:hAnsi="Titillium"/>
        </w:rPr>
      </w:pPr>
      <w:r>
        <w:rPr>
          <w:rFonts w:ascii="Titillium" w:hAnsi="Titillium"/>
        </w:rPr>
        <w:t>11. Oświadczam(y), że akceptuję (my) istotne postanowienia umowy i zobowiązuję (my) się, w przypadku dokonania wyboru mojej/naszej oferty, do zawarcia umowy na wyżej wymienionych warunkach w miejscu i</w:t>
      </w:r>
      <w:r>
        <w:rPr>
          <w:rFonts w:cs="Calibri" w:ascii="Titillium" w:hAnsi="Titillium"/>
        </w:rPr>
        <w:t> </w:t>
      </w:r>
      <w:r>
        <w:rPr>
          <w:rFonts w:ascii="Titillium" w:hAnsi="Titillium"/>
        </w:rPr>
        <w:t>w terminie wyznaczonym przez Zamawiającego.</w:t>
      </w:r>
    </w:p>
    <w:p>
      <w:pPr>
        <w:pStyle w:val="Tekstost"/>
        <w:widowControl/>
        <w:tabs>
          <w:tab w:val="clear" w:pos="720"/>
          <w:tab w:val="left" w:pos="0" w:leader="none"/>
        </w:tabs>
        <w:spacing w:lineRule="auto" w:line="276"/>
        <w:rPr>
          <w:rFonts w:ascii="Titillium" w:hAnsi="Titillium"/>
        </w:rPr>
      </w:pPr>
      <w:r>
        <w:rPr>
          <w:rFonts w:ascii="Titillium" w:hAnsi="Titillium"/>
        </w:rPr>
        <w:t>12.Oświadczam(y), że następujący zakres prac objętych przedmiotem zamówienia powierzę/my podwykonawcom *</w:t>
      </w:r>
    </w:p>
    <w:tbl>
      <w:tblPr>
        <w:tblW w:w="8870"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4514"/>
        <w:gridCol w:w="4355"/>
      </w:tblGrid>
      <w:tr>
        <w:trPr>
          <w:trHeight w:val="717" w:hRule="atLeast"/>
        </w:trPr>
        <w:tc>
          <w:tcPr>
            <w:tcW w:w="4514"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76"/>
              <w:jc w:val="both"/>
              <w:rPr>
                <w:rFonts w:ascii="Titillium" w:hAnsi="Titillium"/>
              </w:rPr>
            </w:pPr>
            <w:r>
              <w:rPr>
                <w:rFonts w:ascii="Titillium" w:hAnsi="Titillium"/>
              </w:rPr>
              <w:t>Część zamówienia powierzona do wykonania podwykonawcom</w:t>
            </w:r>
          </w:p>
        </w:tc>
        <w:tc>
          <w:tcPr>
            <w:tcW w:w="4355"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Standard"/>
              <w:spacing w:lineRule="auto" w:line="276"/>
              <w:jc w:val="both"/>
              <w:rPr>
                <w:rFonts w:ascii="Titillium" w:hAnsi="Titillium"/>
              </w:rPr>
            </w:pPr>
            <w:r>
              <w:rPr>
                <w:rFonts w:ascii="Titillium" w:hAnsi="Titillium"/>
              </w:rPr>
              <w:t>Firma podwykonawcy*</w:t>
            </w:r>
          </w:p>
        </w:tc>
      </w:tr>
      <w:tr>
        <w:trPr>
          <w:trHeight w:val="717" w:hRule="atLeast"/>
        </w:trPr>
        <w:tc>
          <w:tcPr>
            <w:tcW w:w="4514"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tc>
        <w:tc>
          <w:tcPr>
            <w:tcW w:w="4355"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Standard"/>
              <w:snapToGrid w:val="false"/>
              <w:spacing w:lineRule="auto" w:line="276"/>
              <w:jc w:val="both"/>
              <w:rPr>
                <w:rFonts w:ascii="Titillium" w:hAnsi="Titillium"/>
              </w:rPr>
            </w:pPr>
            <w:r>
              <w:rPr>
                <w:rFonts w:ascii="Titillium" w:hAnsi="Titillium"/>
              </w:rPr>
            </w:r>
          </w:p>
        </w:tc>
      </w:tr>
      <w:tr>
        <w:trPr>
          <w:trHeight w:val="717" w:hRule="atLeast"/>
        </w:trPr>
        <w:tc>
          <w:tcPr>
            <w:tcW w:w="4514"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tc>
        <w:tc>
          <w:tcPr>
            <w:tcW w:w="4355"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Standard"/>
              <w:snapToGrid w:val="false"/>
              <w:spacing w:lineRule="auto" w:line="276"/>
              <w:jc w:val="both"/>
              <w:rPr>
                <w:rFonts w:ascii="Titillium" w:hAnsi="Titillium"/>
              </w:rPr>
            </w:pPr>
            <w:r>
              <w:rPr>
                <w:rFonts w:ascii="Titillium" w:hAnsi="Titillium"/>
              </w:rPr>
            </w:r>
          </w:p>
        </w:tc>
      </w:tr>
    </w:tbl>
    <w:p>
      <w:pPr>
        <w:pStyle w:val="Standard"/>
        <w:tabs>
          <w:tab w:val="clear" w:pos="720"/>
          <w:tab w:val="left" w:pos="180" w:leader="none"/>
          <w:tab w:val="left" w:pos="284" w:leader="none"/>
        </w:tabs>
        <w:spacing w:lineRule="auto" w:line="276"/>
        <w:jc w:val="both"/>
        <w:rPr>
          <w:rFonts w:ascii="Titillium" w:hAnsi="Titillium"/>
        </w:rPr>
      </w:pPr>
      <w:r>
        <w:rPr>
          <w:rFonts w:ascii="Titillium" w:hAnsi="Titillium"/>
          <w:b/>
        </w:rPr>
        <w:t>* o ile są już znane</w:t>
      </w:r>
    </w:p>
    <w:p>
      <w:pPr>
        <w:pStyle w:val="Standard"/>
        <w:tabs>
          <w:tab w:val="clear" w:pos="720"/>
          <w:tab w:val="left" w:pos="180" w:leader="none"/>
        </w:tabs>
        <w:spacing w:lineRule="auto" w:line="276"/>
        <w:jc w:val="both"/>
        <w:rPr>
          <w:rFonts w:ascii="Titillium" w:hAnsi="Titillium"/>
        </w:rPr>
      </w:pPr>
      <w:r>
        <w:rPr>
          <w:rFonts w:ascii="Titillium" w:hAnsi="Titillium"/>
          <w:b/>
          <w:i/>
          <w:u w:val="single"/>
        </w:rPr>
        <w:t>12.** w przypadku nie skorzystania z usług podwykonawców wypełnia się poniższe oświadczenie</w:t>
      </w:r>
    </w:p>
    <w:p>
      <w:pPr>
        <w:pStyle w:val="Tekstost"/>
        <w:widowControl/>
        <w:tabs>
          <w:tab w:val="clear" w:pos="720"/>
          <w:tab w:val="left" w:pos="180" w:leader="none"/>
          <w:tab w:val="left" w:pos="360" w:leader="none"/>
          <w:tab w:val="left" w:pos="540" w:leader="none"/>
        </w:tabs>
        <w:spacing w:lineRule="auto" w:line="276"/>
        <w:rPr>
          <w:rFonts w:ascii="Titillium" w:hAnsi="Titillium"/>
        </w:rPr>
      </w:pPr>
      <w:r>
        <w:rPr>
          <w:rFonts w:ascii="Titillium" w:hAnsi="Titillium"/>
        </w:rPr>
        <w:t>Oświadczam(y), że nasza firma (należy wpisać nazwę  Wykonawcy) ……………………….........................………………………………………………………………………………………………………………………………………………………………….</w:t>
      </w:r>
    </w:p>
    <w:p>
      <w:pPr>
        <w:pStyle w:val="Tekstost"/>
        <w:widowControl/>
        <w:tabs>
          <w:tab w:val="clear" w:pos="720"/>
          <w:tab w:val="left" w:pos="180" w:leader="none"/>
          <w:tab w:val="left" w:pos="360" w:leader="none"/>
        </w:tabs>
        <w:spacing w:lineRule="auto" w:line="276"/>
        <w:rPr>
          <w:rFonts w:ascii="Titillium" w:hAnsi="Titillium"/>
        </w:rPr>
      </w:pPr>
      <w:r>
        <w:rPr>
          <w:rFonts w:ascii="Titillium" w:hAnsi="Titillium"/>
        </w:rPr>
        <w:t>…………………</w:t>
      </w:r>
      <w:r>
        <w:rPr>
          <w:rFonts w:ascii="Titillium" w:hAnsi="Titillium"/>
        </w:rPr>
        <w:t>.......................................................................................................................................................................................wykona całość robót i usług składających się na przedmiot zamówienia we własnym zakresie, nie korzystając z</w:t>
      </w:r>
      <w:r>
        <w:rPr>
          <w:rFonts w:cs="Calibri" w:ascii="Titillium" w:hAnsi="Titillium"/>
        </w:rPr>
        <w:t> </w:t>
      </w:r>
      <w:r>
        <w:rPr>
          <w:rFonts w:ascii="Titillium" w:hAnsi="Titillium"/>
        </w:rPr>
        <w:t>us</w:t>
      </w:r>
      <w:r>
        <w:rPr>
          <w:rFonts w:cs="Titillium" w:ascii="Titillium" w:hAnsi="Titillium"/>
        </w:rPr>
        <w:t>ł</w:t>
      </w:r>
      <w:r>
        <w:rPr>
          <w:rFonts w:ascii="Titillium" w:hAnsi="Titillium"/>
        </w:rPr>
        <w:t>ug podwykonawc</w:t>
      </w:r>
      <w:r>
        <w:rPr>
          <w:rFonts w:cs="Titillium" w:ascii="Titillium" w:hAnsi="Titillium"/>
        </w:rPr>
        <w:t>ó</w:t>
      </w:r>
      <w:r>
        <w:rPr>
          <w:rFonts w:ascii="Titillium" w:hAnsi="Titillium"/>
        </w:rPr>
        <w:t xml:space="preserve">w.  </w:t>
      </w:r>
    </w:p>
    <w:p>
      <w:pPr>
        <w:pStyle w:val="Tekstost"/>
        <w:widowControl/>
        <w:tabs>
          <w:tab w:val="clear" w:pos="720"/>
          <w:tab w:val="left" w:pos="338" w:leader="none"/>
          <w:tab w:val="left" w:pos="360" w:leader="none"/>
        </w:tabs>
        <w:spacing w:lineRule="auto" w:line="276"/>
        <w:rPr>
          <w:rFonts w:ascii="Titillium" w:hAnsi="Titillium"/>
        </w:rPr>
      </w:pPr>
      <w:r>
        <w:rPr>
          <w:rFonts w:ascii="Titillium" w:hAnsi="Titillium"/>
        </w:rPr>
        <w:t xml:space="preserve">13. </w:t>
      </w:r>
      <w:r>
        <w:rPr>
          <w:rFonts w:cs="Arial" w:ascii="Titillium" w:hAnsi="Titillium"/>
          <w:b/>
          <w:bCs/>
          <w:color w:val="000000"/>
        </w:rPr>
        <w:t xml:space="preserve">Oświadczam(y), że wypełniłem/liśmy obowiązki informacyjne przewidziane w art. 13 lub art. 14 RODO wobec osób fizycznych, </w:t>
      </w:r>
      <w:r>
        <w:rPr>
          <w:rFonts w:cs="Arial" w:ascii="Titillium" w:hAnsi="Titillium"/>
          <w:b/>
          <w:bCs/>
        </w:rPr>
        <w:t>od których dane osobowe bezpośrednio lub pośrednio pozyskałem/liśmy</w:t>
      </w:r>
      <w:r>
        <w:rPr>
          <w:rFonts w:cs="Arial" w:ascii="Titillium" w:hAnsi="Titillium"/>
          <w:b/>
          <w:bCs/>
          <w:color w:val="000000"/>
        </w:rPr>
        <w:t xml:space="preserve"> w celu ubiegania się o udzielenie zamówienia publicznego w niniejszym postępowaniu.</w:t>
      </w:r>
    </w:p>
    <w:p>
      <w:pPr>
        <w:pStyle w:val="Tekstost"/>
        <w:widowControl/>
        <w:tabs>
          <w:tab w:val="clear" w:pos="720"/>
          <w:tab w:val="left" w:pos="180" w:leader="none"/>
          <w:tab w:val="left" w:pos="360" w:leader="none"/>
        </w:tabs>
        <w:spacing w:lineRule="auto" w:line="276"/>
        <w:rPr>
          <w:rFonts w:ascii="Titillium" w:hAnsi="Titillium"/>
        </w:rPr>
      </w:pPr>
      <w:r>
        <w:rPr>
          <w:rFonts w:ascii="Titillium" w:hAnsi="Titillium"/>
        </w:rPr>
        <w:t>14. Oświadczam(y), iż  Wykonawcy przysługuje status:</w:t>
      </w:r>
    </w:p>
    <w:p>
      <w:pPr>
        <w:pStyle w:val="Standard"/>
        <w:numPr>
          <w:ilvl w:val="0"/>
          <w:numId w:val="227"/>
        </w:numPr>
        <w:jc w:val="both"/>
        <w:rPr>
          <w:rFonts w:ascii="Titillium" w:hAnsi="Titillium"/>
        </w:rPr>
      </w:pPr>
      <w:r>
        <w:rPr>
          <w:rFonts w:ascii="Titillium" w:hAnsi="Titillium"/>
        </w:rPr>
        <w:t xml:space="preserve"> </w:t>
      </w:r>
      <w:r>
        <w:rPr>
          <w:rFonts w:ascii="Titillium" w:hAnsi="Titillium"/>
        </w:rPr>
        <w:t>mikroprzedsiębiorcy (*),</w:t>
      </w:r>
    </w:p>
    <w:p>
      <w:pPr>
        <w:pStyle w:val="Standard"/>
        <w:numPr>
          <w:ilvl w:val="0"/>
          <w:numId w:val="44"/>
        </w:numPr>
        <w:jc w:val="both"/>
        <w:rPr>
          <w:rFonts w:ascii="Titillium" w:hAnsi="Titillium"/>
        </w:rPr>
      </w:pPr>
      <w:r>
        <w:rPr>
          <w:rFonts w:ascii="Titillium" w:hAnsi="Titillium"/>
        </w:rPr>
        <w:t>małego przedsiębiorcy (*),</w:t>
      </w:r>
    </w:p>
    <w:p>
      <w:pPr>
        <w:pStyle w:val="Standard"/>
        <w:numPr>
          <w:ilvl w:val="0"/>
          <w:numId w:val="44"/>
        </w:numPr>
        <w:jc w:val="both"/>
        <w:rPr>
          <w:rFonts w:ascii="Titillium" w:hAnsi="Titillium"/>
        </w:rPr>
      </w:pPr>
      <w:r>
        <w:rPr>
          <w:rFonts w:ascii="Titillium" w:hAnsi="Titillium"/>
        </w:rPr>
        <w:t>średniego przedsiębiorcy(*),</w:t>
      </w:r>
    </w:p>
    <w:p>
      <w:pPr>
        <w:pStyle w:val="Standard"/>
        <w:numPr>
          <w:ilvl w:val="0"/>
          <w:numId w:val="44"/>
        </w:numPr>
        <w:jc w:val="both"/>
        <w:rPr>
          <w:rFonts w:ascii="Titillium" w:hAnsi="Titillium"/>
        </w:rPr>
      </w:pPr>
      <w:r>
        <w:rPr>
          <w:rFonts w:ascii="Titillium" w:hAnsi="Titillium"/>
        </w:rPr>
        <w:t>dużego przedsiębiorcy (*).</w:t>
      </w:r>
    </w:p>
    <w:p>
      <w:pPr>
        <w:pStyle w:val="Tekstost"/>
        <w:widowControl/>
        <w:tabs>
          <w:tab w:val="clear" w:pos="720"/>
          <w:tab w:val="left" w:pos="180" w:leader="none"/>
          <w:tab w:val="left" w:pos="360" w:leader="none"/>
        </w:tabs>
        <w:spacing w:lineRule="auto" w:line="276"/>
        <w:rPr>
          <w:rFonts w:ascii="Titillium" w:hAnsi="Titillium"/>
        </w:rPr>
      </w:pPr>
      <w:r>
        <w:rPr>
          <w:rFonts w:ascii="Titillium" w:hAnsi="Titillium"/>
        </w:rPr>
        <w:t>(*niepotrzebne skreślić).</w:t>
      </w:r>
    </w:p>
    <w:p>
      <w:pPr>
        <w:pStyle w:val="Tekstost"/>
        <w:widowControl/>
        <w:tabs>
          <w:tab w:val="clear" w:pos="720"/>
          <w:tab w:val="left" w:pos="180" w:leader="none"/>
          <w:tab w:val="left" w:pos="360" w:leader="none"/>
        </w:tabs>
        <w:rPr>
          <w:rFonts w:ascii="Titillium" w:hAnsi="Titillium"/>
        </w:rPr>
      </w:pPr>
      <w:r>
        <w:rPr>
          <w:rFonts w:ascii="Titillium" w:hAnsi="Titillium"/>
          <w:sz w:val="18"/>
          <w:szCs w:val="18"/>
        </w:rPr>
        <w:t>Definicje zgodnie z zaleceniami Komisji z dnia 6 maja 2003 r. dotyczące definicji mikroprzedsiębiorstw oraz małych i</w:t>
      </w:r>
      <w:r>
        <w:rPr>
          <w:rFonts w:cs="Calibri" w:ascii="Titillium" w:hAnsi="Titillium"/>
          <w:sz w:val="18"/>
          <w:szCs w:val="18"/>
        </w:rPr>
        <w:t> </w:t>
      </w:r>
      <w:r>
        <w:rPr>
          <w:rFonts w:ascii="Titillium" w:hAnsi="Titillium"/>
          <w:sz w:val="18"/>
          <w:szCs w:val="18"/>
        </w:rPr>
        <w:t>średnich przedsiębiorstw (Dz. U. L 124 z 20.5.2003, s. 36). Te informacje są wymagane wyłącznie do celów statystycznych.</w:t>
      </w:r>
    </w:p>
    <w:p>
      <w:pPr>
        <w:pStyle w:val="Tekstost"/>
        <w:widowControl/>
        <w:tabs>
          <w:tab w:val="clear" w:pos="720"/>
          <w:tab w:val="left" w:pos="180" w:leader="none"/>
          <w:tab w:val="left" w:pos="360" w:leader="none"/>
        </w:tabs>
        <w:rPr>
          <w:rFonts w:ascii="Titillium" w:hAnsi="Titillium"/>
        </w:rPr>
      </w:pPr>
      <w:r>
        <w:rPr>
          <w:rFonts w:ascii="Titillium" w:hAnsi="Titillium"/>
          <w:sz w:val="18"/>
          <w:szCs w:val="18"/>
        </w:rPr>
        <w:t>*Mikroprzedsiębiorstwo: przedsiębiorstwo, które zatrudnia mniej niż 10 osób i którego roczny obrót lub roczna suma bilansowa nie przekracza 2 milionów EUR.</w:t>
      </w:r>
    </w:p>
    <w:p>
      <w:pPr>
        <w:pStyle w:val="Tekstost"/>
        <w:widowControl/>
        <w:tabs>
          <w:tab w:val="clear" w:pos="720"/>
          <w:tab w:val="left" w:pos="180" w:leader="none"/>
          <w:tab w:val="left" w:pos="360" w:leader="none"/>
        </w:tabs>
        <w:rPr>
          <w:rFonts w:ascii="Titillium" w:hAnsi="Titillium"/>
        </w:rPr>
      </w:pPr>
      <w:r>
        <w:rPr>
          <w:rFonts w:ascii="Titillium" w:hAnsi="Titillium"/>
          <w:sz w:val="18"/>
          <w:szCs w:val="18"/>
        </w:rPr>
        <w:t>*Małe przedsiębiorstwo: przedsiębiorstwo, które zatrudnia mniej niż 50 osób i którego roczny obrót lub roczna suma bilansowa nie przekracza 10 milionów EUR.</w:t>
      </w:r>
    </w:p>
    <w:p>
      <w:pPr>
        <w:pStyle w:val="Tekstost"/>
        <w:widowControl/>
        <w:tabs>
          <w:tab w:val="clear" w:pos="720"/>
          <w:tab w:val="left" w:pos="180" w:leader="none"/>
          <w:tab w:val="left" w:pos="360" w:leader="none"/>
        </w:tabs>
        <w:rPr>
          <w:rFonts w:ascii="Titillium" w:hAnsi="Titillium"/>
        </w:rPr>
      </w:pPr>
      <w:r>
        <w:rPr>
          <w:rFonts w:ascii="Titillium" w:hAnsi="Titillium"/>
          <w:sz w:val="18"/>
          <w:szCs w:val="18"/>
        </w:rPr>
        <w:t>*Średnie przedsiębiorstwa: przedsiębiorstwa, które nie są mikroprzedsiębiorstwami ani małymi przedsiębiorstwami i</w:t>
      </w:r>
      <w:r>
        <w:rPr>
          <w:rFonts w:cs="Calibri" w:ascii="Titillium" w:hAnsi="Titillium"/>
          <w:sz w:val="18"/>
          <w:szCs w:val="18"/>
        </w:rPr>
        <w:t> </w:t>
      </w:r>
      <w:r>
        <w:rPr>
          <w:rFonts w:ascii="Titillium" w:hAnsi="Titillium"/>
          <w:sz w:val="18"/>
          <w:szCs w:val="18"/>
        </w:rPr>
        <w:t>które zatrudniają mniej niż 250 osób i których roczny obrót nie przekracza 50 milionów EUR lub roczna suma bilansowa nie przekracza 43 milionów EUR.</w:t>
      </w:r>
    </w:p>
    <w:p>
      <w:pPr>
        <w:pStyle w:val="Standard"/>
        <w:spacing w:lineRule="auto" w:line="276"/>
        <w:jc w:val="both"/>
        <w:rPr>
          <w:rFonts w:ascii="Titillium" w:hAnsi="Titillium"/>
          <w:shd w:fill="FFFF00" w:val="clear"/>
        </w:rPr>
      </w:pPr>
      <w:r>
        <w:rPr>
          <w:rFonts w:ascii="Titillium" w:hAnsi="Titillium"/>
          <w:shd w:fill="FFFF00" w:val="clear"/>
        </w:rPr>
      </w:r>
    </w:p>
    <w:p>
      <w:pPr>
        <w:pStyle w:val="Standard"/>
        <w:spacing w:lineRule="auto" w:line="276"/>
        <w:jc w:val="both"/>
        <w:rPr>
          <w:rFonts w:ascii="Titillium" w:hAnsi="Titillium"/>
        </w:rPr>
      </w:pPr>
      <w:r>
        <w:rPr>
          <w:rFonts w:ascii="Titillium" w:hAnsi="Titillium"/>
          <w:iCs/>
          <w:u w:val="single"/>
        </w:rPr>
        <w:t>Uwaga! Wypełnić jedynie, jeżeli Wykonawca zamierza dokonać zastrzeżenia informacji jako tajemnicy przedsiębiorstwa</w:t>
      </w:r>
    </w:p>
    <w:p>
      <w:pPr>
        <w:pStyle w:val="Standard"/>
        <w:tabs>
          <w:tab w:val="clear" w:pos="720"/>
          <w:tab w:val="left" w:pos="180" w:leader="none"/>
        </w:tabs>
        <w:spacing w:lineRule="auto" w:line="276"/>
        <w:jc w:val="both"/>
        <w:rPr>
          <w:rFonts w:ascii="Titillium" w:hAnsi="Titillium"/>
        </w:rPr>
      </w:pPr>
      <w:r>
        <w:rPr>
          <w:rFonts w:ascii="Titillium" w:hAnsi="Titillium"/>
        </w:rPr>
        <w:t xml:space="preserve">15. </w:t>
      </w:r>
      <w:r>
        <w:rPr>
          <w:rFonts w:ascii="Titillium" w:hAnsi="Titillium"/>
          <w:iCs/>
        </w:rPr>
        <w:t>Wskazane i wydzielone w odrębnym pliku informacje stanowią tajemnicę przedsiębiorstwa w</w:t>
      </w:r>
      <w:r>
        <w:rPr>
          <w:rFonts w:cs="Calibri" w:ascii="Titillium" w:hAnsi="Titillium"/>
          <w:iCs/>
        </w:rPr>
        <w:t> </w:t>
      </w:r>
      <w:r>
        <w:rPr>
          <w:rFonts w:ascii="Titillium" w:hAnsi="Titillium"/>
          <w:iCs/>
        </w:rPr>
        <w:t>rozumieniu przepisów o zwalczaniu nieuczciwej konkurencji i w związku z</w:t>
      </w:r>
      <w:r>
        <w:rPr>
          <w:rFonts w:cs="Calibri" w:ascii="Titillium" w:hAnsi="Titillium"/>
          <w:iCs/>
        </w:rPr>
        <w:t> </w:t>
      </w:r>
      <w:r>
        <w:rPr>
          <w:rFonts w:ascii="Titillium" w:hAnsi="Titillium"/>
          <w:iCs/>
        </w:rPr>
        <w:t>niniejszym nie mog</w:t>
      </w:r>
      <w:r>
        <w:rPr>
          <w:rFonts w:cs="Titillium" w:ascii="Titillium" w:hAnsi="Titillium"/>
          <w:iCs/>
        </w:rPr>
        <w:t>ą</w:t>
      </w:r>
      <w:r>
        <w:rPr>
          <w:rFonts w:ascii="Titillium" w:hAnsi="Titillium"/>
          <w:iCs/>
        </w:rPr>
        <w:t xml:space="preserve"> by</w:t>
      </w:r>
      <w:r>
        <w:rPr>
          <w:rFonts w:cs="Titillium" w:ascii="Titillium" w:hAnsi="Titillium"/>
          <w:iCs/>
        </w:rPr>
        <w:t>ć</w:t>
      </w:r>
      <w:r>
        <w:rPr>
          <w:rFonts w:ascii="Titillium" w:hAnsi="Titillium"/>
          <w:iCs/>
        </w:rPr>
        <w:t xml:space="preserve"> one udost</w:t>
      </w:r>
      <w:r>
        <w:rPr>
          <w:rFonts w:cs="Titillium" w:ascii="Titillium" w:hAnsi="Titillium"/>
          <w:iCs/>
        </w:rPr>
        <w:t>ę</w:t>
      </w:r>
      <w:r>
        <w:rPr>
          <w:rFonts w:ascii="Titillium" w:hAnsi="Titillium"/>
          <w:iCs/>
        </w:rPr>
        <w:t>pniane  na potwierdzenie czego za</w:t>
      </w:r>
      <w:r>
        <w:rPr>
          <w:rFonts w:cs="Titillium" w:ascii="Titillium" w:hAnsi="Titillium"/>
          <w:iCs/>
        </w:rPr>
        <w:t>łą</w:t>
      </w:r>
      <w:r>
        <w:rPr>
          <w:rFonts w:ascii="Titillium" w:hAnsi="Titillium"/>
          <w:iCs/>
        </w:rPr>
        <w:t>czam poni</w:t>
      </w:r>
      <w:r>
        <w:rPr>
          <w:rFonts w:cs="Titillium" w:ascii="Titillium" w:hAnsi="Titillium"/>
          <w:iCs/>
        </w:rPr>
        <w:t>ż</w:t>
      </w:r>
      <w:r>
        <w:rPr>
          <w:rFonts w:ascii="Titillium" w:hAnsi="Titillium"/>
          <w:iCs/>
        </w:rPr>
        <w:t>sz</w:t>
      </w:r>
      <w:r>
        <w:rPr>
          <w:rFonts w:cs="Titillium" w:ascii="Titillium" w:hAnsi="Titillium"/>
          <w:iCs/>
        </w:rPr>
        <w:t>ą</w:t>
      </w:r>
      <w:r>
        <w:rPr>
          <w:rFonts w:ascii="Titillium" w:hAnsi="Titillium"/>
          <w:iCs/>
        </w:rPr>
        <w:t xml:space="preserve"> argumentacj</w:t>
      </w:r>
      <w:r>
        <w:rPr>
          <w:rFonts w:cs="Titillium" w:ascii="Titillium" w:hAnsi="Titillium"/>
          <w:iCs/>
        </w:rPr>
        <w:t>ę:</w:t>
      </w:r>
    </w:p>
    <w:p>
      <w:pPr>
        <w:pStyle w:val="Standard"/>
        <w:spacing w:lineRule="auto" w:line="276"/>
        <w:jc w:val="both"/>
        <w:rPr>
          <w:rFonts w:ascii="Titillium" w:hAnsi="Titillium"/>
        </w:rPr>
      </w:pPr>
      <w:r>
        <w:rPr>
          <w:rFonts w:ascii="Titillium" w:hAnsi="Titillium"/>
          <w:iCs/>
        </w:rPr>
        <w:t>………………………………………</w:t>
      </w:r>
      <w:r>
        <w:rPr>
          <w:rFonts w:ascii="Titillium" w:hAnsi="Titillium"/>
          <w:iCs/>
        </w:rPr>
        <w:t>...............................................................................................................………………………………....</w:t>
      </w:r>
    </w:p>
    <w:p>
      <w:pPr>
        <w:pStyle w:val="Standard"/>
        <w:spacing w:lineRule="auto" w:line="276"/>
        <w:jc w:val="both"/>
        <w:rPr>
          <w:rFonts w:ascii="Titillium" w:hAnsi="Titillium"/>
        </w:rPr>
      </w:pPr>
      <w:r>
        <w:rPr>
          <w:rFonts w:ascii="Titillium" w:hAnsi="Titillium"/>
          <w:iCs/>
        </w:rPr>
        <w:t>………………………………………</w:t>
      </w:r>
      <w:r>
        <w:rPr>
          <w:rFonts w:ascii="Titillium" w:hAnsi="Titillium"/>
          <w:iCs/>
        </w:rPr>
        <w:t>..............................................................................................................…………………………………..</w:t>
      </w:r>
    </w:p>
    <w:p>
      <w:pPr>
        <w:pStyle w:val="Standard"/>
        <w:spacing w:lineRule="auto" w:line="276"/>
        <w:jc w:val="both"/>
        <w:rPr>
          <w:rFonts w:ascii="Titillium" w:hAnsi="Titillium"/>
        </w:rPr>
      </w:pPr>
      <w:r>
        <w:rPr>
          <w:rFonts w:ascii="Titillium" w:hAnsi="Titillium"/>
          <w:iCs/>
        </w:rPr>
        <w:t>………………………………………</w:t>
      </w:r>
      <w:r>
        <w:rPr>
          <w:rFonts w:ascii="Titillium" w:hAnsi="Titillium"/>
          <w:iCs/>
        </w:rPr>
        <w:t>...............................................................................................................………………………………….</w:t>
      </w:r>
    </w:p>
    <w:p>
      <w:pPr>
        <w:pStyle w:val="Standard"/>
        <w:spacing w:lineRule="auto" w:line="276"/>
        <w:jc w:val="both"/>
        <w:rPr>
          <w:rFonts w:ascii="Titillium" w:hAnsi="Titillium"/>
        </w:rPr>
      </w:pPr>
      <w:r>
        <w:rPr>
          <w:rFonts w:ascii="Titillium" w:hAnsi="Titillium"/>
          <w:iCs/>
        </w:rPr>
        <w:t>………………………………………</w:t>
      </w:r>
      <w:r>
        <w:rPr>
          <w:rFonts w:ascii="Titillium" w:hAnsi="Titillium"/>
          <w:iCs/>
        </w:rPr>
        <w:t>..................................................................................................................……………………………….</w:t>
      </w:r>
    </w:p>
    <w:p>
      <w:pPr>
        <w:pStyle w:val="Standard"/>
        <w:spacing w:lineRule="auto" w:line="276"/>
        <w:jc w:val="both"/>
        <w:rPr>
          <w:rFonts w:ascii="Titillium" w:hAnsi="Titillium"/>
        </w:rPr>
      </w:pPr>
      <w:r>
        <w:rPr>
          <w:rFonts w:ascii="Titillium" w:hAnsi="Titillium"/>
          <w:b/>
          <w:bCs/>
        </w:rPr>
        <w:t>*, ** (wypełnia się alternatywnie)</w:t>
      </w:r>
    </w:p>
    <w:p>
      <w:pPr>
        <w:pStyle w:val="Standard"/>
        <w:spacing w:lineRule="auto" w:line="276"/>
        <w:jc w:val="both"/>
        <w:rPr>
          <w:rFonts w:ascii="Titillium" w:hAnsi="Titillium"/>
          <w:b/>
          <w:bCs/>
        </w:rPr>
      </w:pPr>
      <w:r>
        <w:rPr>
          <w:rFonts w:ascii="Titillium" w:hAnsi="Titillium"/>
          <w:b/>
          <w:bCs/>
        </w:rPr>
      </w:r>
    </w:p>
    <w:p>
      <w:pPr>
        <w:pStyle w:val="Standard"/>
        <w:spacing w:lineRule="auto" w:line="276"/>
        <w:jc w:val="both"/>
        <w:rPr>
          <w:rFonts w:ascii="Titillium" w:hAnsi="Titillium"/>
        </w:rPr>
      </w:pPr>
      <w:r>
        <w:rPr>
          <w:rFonts w:ascii="Titillium" w:hAnsi="Titillium"/>
          <w:b/>
          <w:bCs/>
        </w:rPr>
        <w:t>UWAGA! Podpisujemy kwalifikowanym podpisem elektronicznym albo profilem zaufanym albo podpisem osobistym.</w:t>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b/>
          <w:bCs/>
        </w:rPr>
      </w:pPr>
      <w:r>
        <w:rPr>
          <w:b/>
          <w:bCs/>
        </w:rPr>
      </w:r>
    </w:p>
    <w:p>
      <w:pPr>
        <w:pStyle w:val="Standard"/>
        <w:spacing w:lineRule="auto" w:line="276" w:before="0" w:after="0"/>
        <w:jc w:val="both"/>
        <w:rPr>
          <w:rFonts w:ascii="Titillium" w:hAnsi="Titillium"/>
        </w:rPr>
      </w:pPr>
      <w:r>
        <w:rPr>
          <w:rFonts w:ascii="Titillium" w:hAnsi="Titillium"/>
        </w:rPr>
        <w:tab/>
        <w:tab/>
        <w:tab/>
        <w:tab/>
        <w:tab/>
        <w:tab/>
        <w:tab/>
        <w:tab/>
        <w:tab/>
        <w:tab/>
        <w:t>Załącznik nr 2</w:t>
      </w:r>
    </w:p>
    <w:p>
      <w:pPr>
        <w:pStyle w:val="Standard"/>
        <w:spacing w:lineRule="auto" w:line="276"/>
        <w:jc w:val="both"/>
        <w:rPr>
          <w:rFonts w:ascii="Titillium" w:hAnsi="Titillium"/>
        </w:rPr>
      </w:pPr>
      <w:r>
        <w:rPr>
          <w:rFonts w:ascii="Titillium" w:hAnsi="Titillium"/>
        </w:rPr>
        <w:t xml:space="preserve"> </w:t>
      </w:r>
    </w:p>
    <w:p>
      <w:pPr>
        <w:pStyle w:val="Standard"/>
        <w:spacing w:lineRule="auto" w:line="276"/>
        <w:jc w:val="both"/>
        <w:rPr>
          <w:rFonts w:ascii="Titillium" w:hAnsi="Titillium"/>
        </w:rPr>
      </w:pPr>
      <w:r>
        <w:rPr>
          <w:rFonts w:ascii="Titillium" w:hAnsi="Titillium"/>
        </w:rPr>
      </w:r>
    </w:p>
    <w:p>
      <w:pPr>
        <w:pStyle w:val="Standard"/>
        <w:spacing w:lineRule="auto" w:line="276"/>
        <w:ind w:right="51"/>
        <w:jc w:val="center"/>
        <w:rPr>
          <w:rFonts w:ascii="Titillium" w:hAnsi="Titillium"/>
        </w:rPr>
      </w:pPr>
      <w:r>
        <w:rPr>
          <w:rFonts w:ascii="Titillium" w:hAnsi="Titillium"/>
          <w:b/>
          <w:sz w:val="22"/>
          <w:szCs w:val="22"/>
        </w:rPr>
        <w:t>Oświadczenie</w:t>
      </w:r>
    </w:p>
    <w:p>
      <w:pPr>
        <w:pStyle w:val="Standard"/>
        <w:spacing w:lineRule="auto" w:line="276"/>
        <w:ind w:right="51"/>
        <w:jc w:val="center"/>
        <w:rPr>
          <w:rFonts w:ascii="Titillium" w:hAnsi="Titillium"/>
        </w:rPr>
      </w:pPr>
      <w:r>
        <w:rPr>
          <w:rFonts w:ascii="Titillium" w:hAnsi="Titillium"/>
          <w:b/>
        </w:rPr>
        <w:t>o niepodleganiu wykluczenia i</w:t>
      </w:r>
      <w:r>
        <w:rPr>
          <w:rFonts w:cs="Segoe UI" w:ascii="Titillium" w:hAnsi="Titillium"/>
          <w:b/>
        </w:rPr>
        <w:t xml:space="preserve"> spełnianiu warunków udziału w postępowaniu</w:t>
      </w:r>
      <w:r>
        <w:rPr>
          <w:rFonts w:ascii="Titillium" w:hAnsi="Titillium"/>
          <w:b/>
        </w:rPr>
        <w:t xml:space="preserve"> </w:t>
      </w:r>
      <w:r>
        <w:rPr>
          <w:rFonts w:cs="Arial" w:ascii="Titillium" w:hAnsi="Titillium"/>
          <w:b/>
        </w:rPr>
        <w:t>składane na podstawie art. 125 ust. 1 ustawy Pzp</w:t>
      </w:r>
    </w:p>
    <w:p>
      <w:pPr>
        <w:pStyle w:val="Standard"/>
        <w:spacing w:lineRule="auto" w:line="276"/>
        <w:ind w:right="51"/>
        <w:jc w:val="both"/>
        <w:rPr>
          <w:rFonts w:ascii="Titillium" w:hAnsi="Titillium" w:cs="Arial"/>
          <w:b/>
        </w:rPr>
      </w:pPr>
      <w:r>
        <w:rPr>
          <w:rFonts w:cs="Arial" w:ascii="Titillium" w:hAnsi="Titillium"/>
          <w:b/>
        </w:rPr>
      </w:r>
    </w:p>
    <w:p>
      <w:pPr>
        <w:pStyle w:val="Standard"/>
        <w:tabs>
          <w:tab w:val="clear" w:pos="720"/>
          <w:tab w:val="left" w:pos="360" w:leader="none"/>
        </w:tabs>
        <w:spacing w:lineRule="auto" w:line="276"/>
        <w:jc w:val="both"/>
        <w:rPr>
          <w:rFonts w:ascii="Titillium" w:hAnsi="Titillium"/>
        </w:rPr>
      </w:pPr>
      <w:r>
        <w:rPr>
          <w:rFonts w:ascii="Titillium" w:hAnsi="Titillium"/>
        </w:rPr>
        <w:t xml:space="preserve">Składając ofertę w postępowaniu o udzielenie zamówienia publicznego prowadzonym w trybie podstawowym </w:t>
      </w:r>
      <w:r>
        <w:rPr>
          <w:rFonts w:cs="Verdana" w:ascii="Titillium" w:hAnsi="Titillium"/>
          <w:color w:val="000000"/>
        </w:rPr>
        <w:t>dla zadania pod nazwą:</w:t>
      </w:r>
      <w:r>
        <w:rPr>
          <w:rFonts w:ascii="Titillium" w:hAnsi="Titillium"/>
          <w:b/>
          <w:bCs/>
          <w:color w:val="000000"/>
        </w:rPr>
        <w:t xml:space="preserve"> "Modernizacja ul. Niewiadomskiej i Osiedle na Wzgórzu                         w Rydułtowach” </w:t>
      </w:r>
      <w:r>
        <w:rPr>
          <w:rFonts w:ascii="Titillium" w:hAnsi="Titillium"/>
          <w:color w:val="000000"/>
        </w:rPr>
        <w:t>o</w:t>
      </w:r>
      <w:r>
        <w:rPr>
          <w:rFonts w:cs="Segoe UI" w:ascii="Titillium" w:hAnsi="Titillium"/>
          <w:color w:val="000000"/>
        </w:rPr>
        <w:t xml:space="preserve">świadczam, że na dzień składania ofert:  </w:t>
      </w:r>
    </w:p>
    <w:p>
      <w:pPr>
        <w:pStyle w:val="ListParagraph"/>
        <w:numPr>
          <w:ilvl w:val="0"/>
          <w:numId w:val="45"/>
        </w:numPr>
        <w:tabs>
          <w:tab w:val="clear" w:pos="720"/>
          <w:tab w:val="left" w:pos="685" w:leader="none"/>
        </w:tabs>
        <w:spacing w:lineRule="auto" w:line="276" w:before="0" w:after="0"/>
        <w:ind w:hanging="340" w:left="340"/>
        <w:contextualSpacing/>
        <w:jc w:val="both"/>
        <w:rPr>
          <w:rFonts w:ascii="Titillium" w:hAnsi="Titillium"/>
        </w:rPr>
      </w:pPr>
      <w:r>
        <w:rPr>
          <w:rFonts w:cs="Arial" w:ascii="Titillium" w:hAnsi="Titillium"/>
          <w:color w:val="000000"/>
          <w:sz w:val="20"/>
        </w:rPr>
        <w:t>spełniam warunki udziału w postępowaniu w zakresie określonym przez Zamawiającego,</w:t>
      </w:r>
    </w:p>
    <w:p>
      <w:pPr>
        <w:pStyle w:val="ListParagraph"/>
        <w:numPr>
          <w:ilvl w:val="0"/>
          <w:numId w:val="45"/>
        </w:numPr>
        <w:tabs>
          <w:tab w:val="clear" w:pos="720"/>
          <w:tab w:val="left" w:pos="685" w:leader="none"/>
        </w:tabs>
        <w:spacing w:lineRule="auto" w:line="276" w:before="0" w:after="0"/>
        <w:ind w:hanging="340" w:left="340"/>
        <w:contextualSpacing/>
        <w:jc w:val="both"/>
        <w:rPr>
          <w:rFonts w:ascii="Titillium" w:hAnsi="Titillium"/>
        </w:rPr>
      </w:pPr>
      <w:r>
        <w:rPr>
          <w:rFonts w:cs="Arial" w:ascii="Titillium" w:hAnsi="Titillium"/>
          <w:color w:val="000000"/>
          <w:sz w:val="20"/>
        </w:rPr>
        <w:t>nie podlegam wykluczeniu z postępowania na podstawie przepisów art. 108 ust. 1 ustawy Pzp oraz  art. 7 ust. 1 ustawy o szczególnych rozwiązaniach w zakresie przeciwdziałania wspieraniu agresji na Ukrainę oraz służących ochronie bezpieczeństwa narodowego.</w:t>
      </w:r>
    </w:p>
    <w:p>
      <w:pPr>
        <w:pStyle w:val="ListParagraph"/>
        <w:tabs>
          <w:tab w:val="clear" w:pos="720"/>
          <w:tab w:val="left" w:pos="345" w:leader="none"/>
        </w:tabs>
        <w:spacing w:lineRule="auto" w:line="276" w:before="0" w:after="0"/>
        <w:ind w:left="0"/>
        <w:contextualSpacing/>
        <w:jc w:val="both"/>
        <w:rPr>
          <w:rFonts w:ascii="Titillium" w:hAnsi="Titillium"/>
        </w:rPr>
      </w:pPr>
      <w:r>
        <w:rPr>
          <w:rFonts w:cs="Arial" w:ascii="Titillium" w:hAnsi="Titillium"/>
          <w:sz w:val="20"/>
        </w:rPr>
        <w:t>W przypadku skorzystania z przepisu art. 110 ust. 2 ustawy Pzp (samooczyszczenie) Wykonawca składa oświadczenie zgodnie z wymogami określonymi w ww. przepisie.</w:t>
      </w:r>
    </w:p>
    <w:p>
      <w:pPr>
        <w:pStyle w:val="ListParagraph"/>
        <w:tabs>
          <w:tab w:val="clear" w:pos="720"/>
          <w:tab w:val="left" w:pos="685" w:leader="none"/>
        </w:tabs>
        <w:spacing w:lineRule="auto" w:line="276" w:before="0" w:after="0"/>
        <w:ind w:hanging="340" w:left="340"/>
        <w:contextualSpacing/>
        <w:jc w:val="both"/>
        <w:rPr>
          <w:rFonts w:ascii="Titillium" w:hAnsi="Titillium" w:cs="Arial"/>
          <w:color w:val="000000"/>
          <w:sz w:val="20"/>
        </w:rPr>
      </w:pPr>
      <w:r>
        <w:rPr>
          <w:rFonts w:cs="Arial" w:ascii="Titillium" w:hAnsi="Titillium"/>
          <w:color w:val="000000"/>
          <w:sz w:val="20"/>
        </w:rPr>
      </w:r>
    </w:p>
    <w:p>
      <w:pPr>
        <w:pStyle w:val="Standard"/>
        <w:spacing w:lineRule="auto" w:line="276"/>
        <w:ind w:hanging="340" w:left="1020"/>
        <w:jc w:val="both"/>
        <w:rPr>
          <w:rFonts w:ascii="Titillium" w:hAnsi="Titillium" w:cs="Segoe UI"/>
          <w:i/>
          <w:i/>
          <w:iCs/>
          <w:color w:val="000000"/>
        </w:rPr>
      </w:pPr>
      <w:r>
        <w:rPr>
          <w:rFonts w:cs="Segoe UI" w:ascii="Titillium" w:hAnsi="Titillium"/>
          <w:i/>
          <w:iCs/>
          <w:color w:val="000000"/>
        </w:rPr>
      </w:r>
    </w:p>
    <w:p>
      <w:pPr>
        <w:pStyle w:val="Standard"/>
        <w:spacing w:lineRule="auto" w:line="276"/>
        <w:jc w:val="both"/>
        <w:rPr>
          <w:rFonts w:ascii="Titillium" w:hAnsi="Titillium" w:cs="Segoe UI"/>
          <w:color w:val="000000"/>
        </w:rPr>
      </w:pPr>
      <w:r>
        <w:rPr>
          <w:rFonts w:cs="Segoe UI" w:ascii="Titillium" w:hAnsi="Titillium"/>
          <w:color w:val="000000"/>
        </w:rPr>
      </w:r>
    </w:p>
    <w:p>
      <w:pPr>
        <w:pStyle w:val="Standard"/>
        <w:spacing w:lineRule="auto" w:line="276"/>
        <w:jc w:val="both"/>
        <w:rPr>
          <w:rFonts w:ascii="Titillium" w:hAnsi="Titillium" w:cs="Segoe UI"/>
          <w:color w:val="000000"/>
        </w:rPr>
      </w:pPr>
      <w:r>
        <w:rPr>
          <w:rFonts w:cs="Segoe UI" w:ascii="Titillium" w:hAnsi="Titillium"/>
          <w:color w:val="000000"/>
        </w:rPr>
      </w:r>
    </w:p>
    <w:p>
      <w:pPr>
        <w:pStyle w:val="Standard"/>
        <w:spacing w:lineRule="auto" w:line="276"/>
        <w:jc w:val="both"/>
        <w:rPr>
          <w:rFonts w:ascii="Titillium" w:hAnsi="Titillium"/>
          <w:iCs/>
        </w:rPr>
      </w:pPr>
      <w:r>
        <w:rPr>
          <w:rFonts w:ascii="Titillium" w:hAnsi="Titillium"/>
          <w:iCs/>
        </w:rPr>
      </w:r>
    </w:p>
    <w:p>
      <w:pPr>
        <w:pStyle w:val="Textbody"/>
        <w:spacing w:lineRule="auto" w:line="276"/>
        <w:jc w:val="both"/>
        <w:rPr>
          <w:rFonts w:ascii="Titillium" w:hAnsi="Titillium"/>
          <w:sz w:val="20"/>
        </w:rPr>
      </w:pPr>
      <w:r>
        <w:rPr>
          <w:rFonts w:ascii="Titillium" w:hAnsi="Titillium"/>
          <w:sz w:val="20"/>
        </w:rPr>
      </w:r>
    </w:p>
    <w:p>
      <w:pPr>
        <w:pStyle w:val="Standard"/>
        <w:spacing w:lineRule="auto" w:line="276"/>
        <w:jc w:val="both"/>
        <w:rPr>
          <w:rFonts w:ascii="Titillium" w:hAnsi="Titillium"/>
          <w:b/>
          <w:bCs/>
        </w:rPr>
      </w:pPr>
      <w:r>
        <w:rPr>
          <w:rFonts w:ascii="Titillium" w:hAnsi="Titillium"/>
          <w:b/>
          <w:bCs/>
        </w:rPr>
      </w:r>
    </w:p>
    <w:p>
      <w:pPr>
        <w:pStyle w:val="Standard"/>
        <w:spacing w:lineRule="auto" w:line="276"/>
        <w:jc w:val="left"/>
        <w:rPr>
          <w:rFonts w:ascii="Titillium" w:hAnsi="Titillium"/>
        </w:rPr>
      </w:pPr>
      <w:r>
        <w:rPr>
          <w:rFonts w:ascii="Titillium" w:hAnsi="Titillium"/>
          <w:b/>
          <w:bCs/>
        </w:rPr>
        <w:t>UWAGA! Podpisujemy kwalifikowanym podpisem elektronicznym albo profilem zaufanym albo podpisem osobistym.</w:t>
        <w:br/>
      </w:r>
    </w:p>
    <w:p>
      <w:pPr>
        <w:pStyle w:val="Standard"/>
        <w:spacing w:lineRule="auto" w:line="276" w:before="0" w:after="0"/>
        <w:jc w:val="both"/>
        <w:rPr>
          <w:rFonts w:ascii="Titillium" w:hAnsi="Titillium"/>
        </w:rPr>
      </w:pPr>
      <w:r>
        <w:br w:type="column"/>
      </w:r>
      <w:r>
        <w:rPr>
          <w:rFonts w:ascii="Titillium" w:hAnsi="Titillium"/>
        </w:rPr>
      </w:r>
    </w:p>
    <w:p>
      <w:pPr>
        <w:pStyle w:val="Standard"/>
        <w:tabs>
          <w:tab w:val="clear" w:pos="720"/>
          <w:tab w:val="left" w:pos="7031" w:leader="none"/>
          <w:tab w:val="left" w:pos="8280" w:leader="dot"/>
        </w:tabs>
        <w:spacing w:lineRule="auto" w:line="276"/>
        <w:jc w:val="right"/>
        <w:rPr>
          <w:rFonts w:ascii="Titillium" w:hAnsi="Titillium"/>
        </w:rPr>
      </w:pPr>
      <w:r>
        <w:rPr>
          <w:rFonts w:ascii="Titillium" w:hAnsi="Titillium"/>
        </w:rPr>
        <w:t>Załącznik nr 2a</w:t>
      </w:r>
    </w:p>
    <w:p>
      <w:pPr>
        <w:pStyle w:val="Standard"/>
        <w:tabs>
          <w:tab w:val="clear" w:pos="720"/>
          <w:tab w:val="left" w:pos="7031" w:leader="none"/>
          <w:tab w:val="left" w:pos="8280" w:leader="dot"/>
        </w:tabs>
        <w:spacing w:lineRule="auto" w:line="276"/>
        <w:jc w:val="both"/>
        <w:rPr>
          <w:rFonts w:ascii="Titillium" w:hAnsi="Titillium"/>
        </w:rPr>
      </w:pPr>
      <w:r>
        <w:rPr>
          <w:rFonts w:ascii="Titillium" w:hAnsi="Titillium"/>
        </w:rPr>
      </w:r>
    </w:p>
    <w:p>
      <w:pPr>
        <w:pStyle w:val="Textbody"/>
        <w:spacing w:lineRule="auto" w:line="276"/>
        <w:jc w:val="both"/>
        <w:rPr>
          <w:rFonts w:ascii="Titillium" w:hAnsi="Titillium"/>
          <w:sz w:val="20"/>
        </w:rPr>
      </w:pPr>
      <w:r>
        <w:rPr>
          <w:rFonts w:ascii="Titillium" w:hAnsi="Titillium"/>
          <w:sz w:val="20"/>
        </w:rPr>
      </w:r>
    </w:p>
    <w:p>
      <w:pPr>
        <w:pStyle w:val="Standard"/>
        <w:spacing w:lineRule="auto" w:line="276"/>
        <w:jc w:val="center"/>
        <w:rPr>
          <w:rFonts w:ascii="Titillium" w:hAnsi="Titillium"/>
        </w:rPr>
      </w:pPr>
      <w:r>
        <w:rPr>
          <w:rFonts w:cs="Arial" w:ascii="Titillium" w:hAnsi="Titillium"/>
          <w:b/>
          <w:bCs/>
          <w:color w:val="000000"/>
        </w:rPr>
        <w:t>Oświadczenie podmiotu trzeciego,</w:t>
      </w:r>
    </w:p>
    <w:p>
      <w:pPr>
        <w:pStyle w:val="Standard"/>
        <w:spacing w:lineRule="auto" w:line="276"/>
        <w:jc w:val="center"/>
        <w:rPr>
          <w:rFonts w:ascii="Titillium" w:hAnsi="Titillium"/>
        </w:rPr>
      </w:pPr>
      <w:r>
        <w:rPr>
          <w:rFonts w:cs="Arial" w:ascii="Titillium" w:hAnsi="Titillium"/>
          <w:b/>
          <w:bCs/>
          <w:color w:val="000000"/>
        </w:rPr>
        <w:t>na którego zasoby powołuje się Wykonawca</w:t>
      </w:r>
    </w:p>
    <w:p>
      <w:pPr>
        <w:pStyle w:val="Standard"/>
        <w:spacing w:lineRule="auto" w:line="276"/>
        <w:jc w:val="both"/>
        <w:rPr>
          <w:rFonts w:ascii="Titillium" w:hAnsi="Titillium" w:cs="Segoe UI"/>
          <w:color w:val="000000"/>
        </w:rPr>
      </w:pPr>
      <w:r>
        <w:rPr>
          <w:rFonts w:cs="Segoe UI" w:ascii="Titillium" w:hAnsi="Titillium"/>
          <w:color w:val="000000"/>
        </w:rPr>
      </w:r>
    </w:p>
    <w:p>
      <w:pPr>
        <w:pStyle w:val="Standard"/>
        <w:spacing w:lineRule="auto" w:line="276"/>
        <w:jc w:val="both"/>
        <w:rPr>
          <w:rFonts w:ascii="Titillium" w:hAnsi="Titillium"/>
        </w:rPr>
      </w:pPr>
      <w:r>
        <w:rPr>
          <w:rFonts w:cs="Arial" w:ascii="Titillium" w:hAnsi="Titillium"/>
          <w:color w:val="000000"/>
        </w:rPr>
        <w:t>Udostępniając zasoby Wykonawcy w postępowaniu prowadzonym w trybie podstawowym</w:t>
      </w:r>
      <w:r>
        <w:rPr>
          <w:rFonts w:ascii="Titillium" w:hAnsi="Titillium"/>
          <w:b/>
          <w:bCs/>
          <w:color w:val="000000"/>
        </w:rPr>
        <w:t xml:space="preserve"> </w:t>
      </w:r>
      <w:r>
        <w:rPr>
          <w:rFonts w:ascii="Titillium" w:hAnsi="Titillium"/>
          <w:color w:val="000000"/>
        </w:rPr>
        <w:t>dla zadania pod</w:t>
      </w:r>
      <w:r>
        <w:rPr>
          <w:rFonts w:ascii="Titillium" w:hAnsi="Titillium"/>
          <w:b/>
          <w:bCs/>
          <w:color w:val="000000"/>
        </w:rPr>
        <w:t xml:space="preserve"> </w:t>
      </w:r>
      <w:r>
        <w:rPr>
          <w:rFonts w:ascii="Titillium" w:hAnsi="Titillium"/>
          <w:color w:val="000000"/>
        </w:rPr>
        <w:t xml:space="preserve">nazwą: </w:t>
      </w:r>
      <w:r>
        <w:rPr>
          <w:rFonts w:ascii="Titillium" w:hAnsi="Titillium"/>
          <w:b/>
          <w:bCs/>
          <w:color w:val="000000"/>
        </w:rPr>
        <w:t xml:space="preserve"> </w:t>
      </w:r>
      <w:r>
        <w:rPr>
          <w:rFonts w:cs="Arial" w:ascii="Titillium" w:hAnsi="Titillium"/>
          <w:b/>
          <w:bCs/>
          <w:color w:val="000000"/>
        </w:rPr>
        <w:t xml:space="preserve">"Modernizacja ul. Niewiadomskiej i Osiedle na Wzgórzu w Rydułtowach” </w:t>
      </w:r>
      <w:r>
        <w:rPr>
          <w:rFonts w:cs="Arial" w:ascii="Titillium" w:hAnsi="Titillium"/>
          <w:color w:val="000000"/>
        </w:rPr>
        <w:t xml:space="preserve">oświadczam, </w:t>
      </w:r>
      <w:r>
        <w:rPr>
          <w:rFonts w:cs="Segoe UI" w:ascii="Titillium" w:hAnsi="Titillium"/>
          <w:color w:val="000000"/>
        </w:rPr>
        <w:t>że na dzień składania ofert:</w:t>
      </w:r>
    </w:p>
    <w:p>
      <w:pPr>
        <w:pStyle w:val="ListParagraph"/>
        <w:numPr>
          <w:ilvl w:val="0"/>
          <w:numId w:val="228"/>
        </w:numPr>
        <w:tabs>
          <w:tab w:val="clear" w:pos="720"/>
          <w:tab w:val="left" w:pos="345" w:leader="none"/>
        </w:tabs>
        <w:spacing w:lineRule="auto" w:line="276" w:before="0" w:after="0"/>
        <w:ind w:hanging="0" w:left="0"/>
        <w:contextualSpacing/>
        <w:jc w:val="both"/>
        <w:rPr>
          <w:rFonts w:ascii="Titillium" w:hAnsi="Titillium"/>
        </w:rPr>
      </w:pPr>
      <w:r>
        <w:rPr>
          <w:rFonts w:cs="Arial" w:ascii="Titillium" w:hAnsi="Titillium"/>
          <w:color w:val="000000"/>
          <w:sz w:val="20"/>
        </w:rPr>
        <w:t>spełniam warunki udziału w postępowaniu w zakresie (wskazać zakres)…………………………..………………….</w:t>
      </w:r>
    </w:p>
    <w:p>
      <w:pPr>
        <w:pStyle w:val="ListParagraph"/>
        <w:numPr>
          <w:ilvl w:val="0"/>
          <w:numId w:val="45"/>
        </w:numPr>
        <w:tabs>
          <w:tab w:val="clear" w:pos="720"/>
          <w:tab w:val="left" w:pos="345" w:leader="none"/>
        </w:tabs>
        <w:spacing w:lineRule="auto" w:line="276" w:before="0" w:after="0"/>
        <w:ind w:hanging="0" w:left="0"/>
        <w:contextualSpacing/>
        <w:jc w:val="both"/>
        <w:rPr>
          <w:rFonts w:ascii="Titillium" w:hAnsi="Titillium"/>
        </w:rPr>
      </w:pPr>
      <w:r>
        <w:rPr>
          <w:rFonts w:cs="Arial" w:ascii="Titillium" w:hAnsi="Titillium"/>
          <w:color w:val="000000"/>
          <w:sz w:val="20"/>
        </w:rPr>
        <w:t>nie podlegam wykluczeniu z postępowania na podstawie przepisów art. 108 ust. 1 ustawy Pzp oraz art. 7 ust. 1 ustawy o szczególnych rozwiązaniach w zakresie przeciwdziałania wspieraniu agresji na Ukrainę oraz służących ochronie bezpieczeństwa narodowego.</w:t>
      </w:r>
    </w:p>
    <w:p>
      <w:pPr>
        <w:pStyle w:val="Standard"/>
        <w:spacing w:lineRule="auto" w:line="276"/>
        <w:jc w:val="both"/>
        <w:rPr>
          <w:rFonts w:ascii="Titillium" w:hAnsi="Titillium" w:cs="Segoe UI"/>
          <w:color w:val="000000"/>
        </w:rPr>
      </w:pPr>
      <w:r>
        <w:rPr>
          <w:rFonts w:cs="Segoe UI" w:ascii="Titillium" w:hAnsi="Titillium"/>
          <w:color w:val="000000"/>
        </w:rPr>
      </w:r>
    </w:p>
    <w:p>
      <w:pPr>
        <w:pStyle w:val="Textbody"/>
        <w:spacing w:lineRule="auto" w:line="276"/>
        <w:jc w:val="both"/>
        <w:rPr>
          <w:rFonts w:ascii="Titillium" w:hAnsi="Titillium"/>
          <w:sz w:val="20"/>
        </w:rPr>
      </w:pPr>
      <w:r>
        <w:rPr>
          <w:rFonts w:ascii="Titillium" w:hAnsi="Titillium"/>
          <w:sz w:val="20"/>
        </w:rPr>
      </w:r>
    </w:p>
    <w:p>
      <w:pPr>
        <w:pStyle w:val="Textbody"/>
        <w:spacing w:lineRule="auto" w:line="276"/>
        <w:jc w:val="both"/>
        <w:rPr>
          <w:rFonts w:ascii="Titillium" w:hAnsi="Titillium"/>
          <w:sz w:val="20"/>
        </w:rPr>
      </w:pPr>
      <w:r>
        <w:rPr>
          <w:rFonts w:ascii="Titillium" w:hAnsi="Titillium"/>
          <w:sz w:val="20"/>
        </w:rPr>
      </w:r>
    </w:p>
    <w:p>
      <w:pPr>
        <w:pStyle w:val="Textbody"/>
        <w:spacing w:lineRule="auto" w:line="276"/>
        <w:jc w:val="both"/>
        <w:rPr>
          <w:rFonts w:ascii="Titillium" w:hAnsi="Titillium"/>
        </w:rPr>
      </w:pPr>
      <w:r>
        <w:rPr>
          <w:rFonts w:ascii="Titillium" w:hAnsi="Titillium"/>
          <w:sz w:val="20"/>
        </w:rPr>
        <w:t>(podpisuje podmiot trzeci wg zasad z art 63 ust. 2 ustawy Pzp)</w:t>
      </w:r>
    </w:p>
    <w:p>
      <w:pPr>
        <w:pStyle w:val="Textbody"/>
        <w:spacing w:lineRule="auto" w:line="276" w:before="0" w:after="0"/>
        <w:jc w:val="both"/>
        <w:rPr>
          <w:rFonts w:ascii="Titillium" w:hAnsi="Titillium"/>
          <w:sz w:val="20"/>
        </w:rPr>
      </w:pPr>
      <w:r>
        <w:br w:type="column"/>
      </w:r>
      <w:r>
        <w:rPr>
          <w:rFonts w:ascii="Titillium" w:hAnsi="Titillium"/>
          <w:sz w:val="20"/>
        </w:rPr>
      </w:r>
    </w:p>
    <w:p>
      <w:pPr>
        <w:pStyle w:val="Standard"/>
        <w:spacing w:lineRule="auto" w:line="276"/>
        <w:jc w:val="right"/>
        <w:rPr>
          <w:rFonts w:ascii="Titillium" w:hAnsi="Titillium"/>
        </w:rPr>
      </w:pPr>
      <w:r>
        <w:rPr>
          <w:rFonts w:ascii="Titillium" w:hAnsi="Titillium"/>
        </w:rPr>
        <w:t>Złącznik nr 3</w:t>
      </w:r>
    </w:p>
    <w:p>
      <w:pPr>
        <w:pStyle w:val="Standard"/>
        <w:spacing w:lineRule="auto" w:line="276"/>
        <w:jc w:val="right"/>
        <w:rPr>
          <w:rFonts w:ascii="Titillium" w:hAnsi="Titillium"/>
        </w:rPr>
      </w:pPr>
      <w:r>
        <w:rPr>
          <w:rFonts w:ascii="Titillium" w:hAnsi="Titillium"/>
        </w:rPr>
      </w:r>
    </w:p>
    <w:p>
      <w:pPr>
        <w:pStyle w:val="Standard"/>
        <w:spacing w:lineRule="auto" w:line="276"/>
        <w:jc w:val="both"/>
        <w:rPr>
          <w:rFonts w:ascii="Titillium" w:hAnsi="Titillium"/>
          <w:b/>
          <w:bCs/>
        </w:rPr>
      </w:pPr>
      <w:r>
        <w:rPr>
          <w:rFonts w:ascii="Titillium" w:hAnsi="Titillium"/>
          <w:b/>
          <w:bCs/>
        </w:rPr>
      </w:r>
    </w:p>
    <w:p>
      <w:pPr>
        <w:pStyle w:val="Standard"/>
        <w:spacing w:lineRule="auto" w:line="276"/>
        <w:jc w:val="center"/>
        <w:rPr>
          <w:rFonts w:ascii="Titillium" w:hAnsi="Titillium"/>
        </w:rPr>
      </w:pPr>
      <w:r>
        <w:rPr>
          <w:rFonts w:ascii="Titillium" w:hAnsi="Titillium"/>
          <w:b/>
          <w:bCs/>
        </w:rPr>
        <w:t xml:space="preserve"> </w:t>
      </w:r>
      <w:r>
        <w:rPr>
          <w:rFonts w:ascii="Titillium" w:hAnsi="Titillium"/>
          <w:b/>
          <w:bCs/>
          <w:sz w:val="22"/>
          <w:szCs w:val="22"/>
        </w:rPr>
        <w:t>WYKAZ ROBÓT BUDOWLANYCH</w:t>
      </w:r>
    </w:p>
    <w:p>
      <w:pPr>
        <w:pStyle w:val="Standard"/>
        <w:tabs>
          <w:tab w:val="clear" w:pos="720"/>
          <w:tab w:val="left" w:pos="797" w:leader="none"/>
          <w:tab w:val="left" w:pos="900" w:leader="none"/>
          <w:tab w:val="left" w:pos="1286" w:leader="none"/>
        </w:tabs>
        <w:spacing w:lineRule="auto" w:line="276"/>
        <w:jc w:val="both"/>
        <w:rPr>
          <w:rFonts w:ascii="Titillium" w:hAnsi="Titillium"/>
          <w:b/>
          <w:bCs/>
          <w:i/>
          <w:i/>
          <w:iCs/>
        </w:rPr>
      </w:pPr>
      <w:r>
        <w:rPr>
          <w:rFonts w:ascii="Titillium" w:hAnsi="Titillium"/>
          <w:b/>
          <w:bCs/>
          <w:i/>
          <w:iCs/>
        </w:rPr>
      </w:r>
    </w:p>
    <w:tbl>
      <w:tblPr>
        <w:tblW w:w="9525" w:type="dxa"/>
        <w:jc w:val="left"/>
        <w:tblInd w:w="-110" w:type="dxa"/>
        <w:tblLayout w:type="fixed"/>
        <w:tblCellMar>
          <w:top w:w="0" w:type="dxa"/>
          <w:left w:w="70" w:type="dxa"/>
          <w:bottom w:w="0" w:type="dxa"/>
          <w:right w:w="70" w:type="dxa"/>
        </w:tblCellMar>
        <w:tblLook w:firstRow="1" w:noVBand="1" w:lastRow="0" w:firstColumn="1" w:lastColumn="0" w:noHBand="0" w:val="04a0"/>
      </w:tblPr>
      <w:tblGrid>
        <w:gridCol w:w="437"/>
        <w:gridCol w:w="2629"/>
        <w:gridCol w:w="1584"/>
        <w:gridCol w:w="1471"/>
        <w:gridCol w:w="1891"/>
        <w:gridCol w:w="1512"/>
      </w:tblGrid>
      <w:tr>
        <w:trPr>
          <w:trHeight w:val="815" w:hRule="atLeast"/>
        </w:trPr>
        <w:tc>
          <w:tcPr>
            <w:tcW w:w="437" w:type="dxa"/>
            <w:tcBorders>
              <w:top w:val="single" w:sz="4" w:space="0" w:color="000000"/>
              <w:left w:val="single" w:sz="4" w:space="0" w:color="000000"/>
              <w:bottom w:val="single" w:sz="4" w:space="0" w:color="000000"/>
            </w:tcBorders>
            <w:shd w:color="auto" w:fill="auto" w:val="clear"/>
            <w:vAlign w:val="center"/>
          </w:tcPr>
          <w:p>
            <w:pPr>
              <w:pStyle w:val="Standard"/>
              <w:spacing w:lineRule="auto" w:line="276"/>
              <w:jc w:val="center"/>
              <w:rPr>
                <w:rFonts w:ascii="Titillium" w:hAnsi="Titillium"/>
              </w:rPr>
            </w:pPr>
            <w:r>
              <w:rPr>
                <w:rFonts w:ascii="Titillium" w:hAnsi="Titillium"/>
                <w:bCs/>
                <w:i/>
              </w:rPr>
              <w:t>Lp.</w:t>
            </w:r>
          </w:p>
        </w:tc>
        <w:tc>
          <w:tcPr>
            <w:tcW w:w="2629" w:type="dxa"/>
            <w:tcBorders>
              <w:top w:val="single" w:sz="4" w:space="0" w:color="000000"/>
              <w:left w:val="single" w:sz="4" w:space="0" w:color="000000"/>
              <w:bottom w:val="single" w:sz="4" w:space="0" w:color="000000"/>
            </w:tcBorders>
            <w:shd w:color="auto" w:fill="auto" w:val="clear"/>
            <w:vAlign w:val="center"/>
          </w:tcPr>
          <w:p>
            <w:pPr>
              <w:pStyle w:val="Standard"/>
              <w:spacing w:lineRule="auto" w:line="276"/>
              <w:jc w:val="center"/>
              <w:rPr>
                <w:rFonts w:ascii="Titillium" w:hAnsi="Titillium"/>
              </w:rPr>
            </w:pPr>
            <w:r>
              <w:rPr>
                <w:rFonts w:ascii="Titillium" w:hAnsi="Titillium"/>
                <w:bCs/>
                <w:i/>
              </w:rPr>
              <w:t>Krótka charakterystyka wykonanych robót</w:t>
            </w:r>
          </w:p>
          <w:p>
            <w:pPr>
              <w:pStyle w:val="Standard"/>
              <w:spacing w:lineRule="auto" w:line="276"/>
              <w:jc w:val="center"/>
              <w:rPr>
                <w:rFonts w:ascii="Titillium" w:hAnsi="Titillium"/>
              </w:rPr>
            </w:pPr>
            <w:r>
              <w:rPr>
                <w:rFonts w:ascii="Titillium" w:hAnsi="Titillium"/>
                <w:bCs/>
                <w:i/>
              </w:rPr>
              <w:t>obejmujących</w:t>
            </w:r>
            <w:r>
              <w:rPr>
                <w:rFonts w:ascii="Titillium" w:hAnsi="Titillium"/>
                <w:bCs/>
                <w:i/>
                <w:strike w:val="false"/>
                <w:dstrike w:val="false"/>
              </w:rPr>
              <w:t xml:space="preserve"> budowę, </w:t>
            </w:r>
            <w:r>
              <w:rPr>
                <w:rFonts w:ascii="Titillium" w:hAnsi="Titillium"/>
                <w:bCs/>
                <w:i/>
              </w:rPr>
              <w:t>przebudowę albo remont drogi</w:t>
            </w:r>
          </w:p>
          <w:p>
            <w:pPr>
              <w:pStyle w:val="Standard"/>
              <w:spacing w:lineRule="auto" w:line="276"/>
              <w:jc w:val="center"/>
              <w:rPr>
                <w:rFonts w:ascii="Titillium" w:hAnsi="Titillium"/>
              </w:rPr>
            </w:pPr>
            <w:r>
              <w:rPr>
                <w:rFonts w:ascii="Titillium" w:hAnsi="Titillium"/>
                <w:bCs/>
                <w:i/>
              </w:rPr>
              <w:t>ze wskazaniem powierzchni</w:t>
            </w:r>
          </w:p>
        </w:tc>
        <w:tc>
          <w:tcPr>
            <w:tcW w:w="1584" w:type="dxa"/>
            <w:tcBorders>
              <w:top w:val="single" w:sz="4" w:space="0" w:color="000000"/>
              <w:left w:val="single" w:sz="4" w:space="0" w:color="000000"/>
              <w:bottom w:val="single" w:sz="4" w:space="0" w:color="000000"/>
            </w:tcBorders>
            <w:shd w:color="auto" w:fill="auto" w:val="clear"/>
            <w:vAlign w:val="center"/>
          </w:tcPr>
          <w:p>
            <w:pPr>
              <w:pStyle w:val="Standard"/>
              <w:spacing w:lineRule="auto" w:line="276"/>
              <w:ind w:left="110"/>
              <w:jc w:val="center"/>
              <w:rPr>
                <w:rFonts w:ascii="Titillium" w:hAnsi="Titillium"/>
              </w:rPr>
            </w:pPr>
            <w:r>
              <w:rPr>
                <w:rFonts w:ascii="Titillium" w:hAnsi="Titillium"/>
                <w:bCs/>
                <w:i/>
              </w:rPr>
              <w:t>Wartość wykonanych robót</w:t>
            </w:r>
          </w:p>
          <w:p>
            <w:pPr>
              <w:pStyle w:val="Standard"/>
              <w:spacing w:lineRule="auto" w:line="276"/>
              <w:jc w:val="center"/>
              <w:rPr>
                <w:rFonts w:ascii="Titillium" w:hAnsi="Titillium"/>
              </w:rPr>
            </w:pPr>
            <w:r>
              <w:rPr>
                <w:rFonts w:ascii="Titillium" w:hAnsi="Titillium"/>
                <w:bCs/>
                <w:i/>
              </w:rPr>
              <w:t>brutto</w:t>
            </w:r>
          </w:p>
        </w:tc>
        <w:tc>
          <w:tcPr>
            <w:tcW w:w="1471" w:type="dxa"/>
            <w:tcBorders>
              <w:top w:val="single" w:sz="4" w:space="0" w:color="000000"/>
              <w:left w:val="single" w:sz="4" w:space="0" w:color="000000"/>
              <w:bottom w:val="single" w:sz="4" w:space="0" w:color="000000"/>
            </w:tcBorders>
            <w:shd w:color="auto" w:fill="auto" w:val="clear"/>
            <w:vAlign w:val="center"/>
          </w:tcPr>
          <w:p>
            <w:pPr>
              <w:pStyle w:val="Standard"/>
              <w:spacing w:lineRule="auto" w:line="276"/>
              <w:jc w:val="center"/>
              <w:rPr>
                <w:rFonts w:ascii="Titillium" w:hAnsi="Titillium"/>
              </w:rPr>
            </w:pPr>
            <w:r>
              <w:rPr>
                <w:rFonts w:ascii="Titillium" w:hAnsi="Titillium"/>
                <w:bCs/>
                <w:i/>
              </w:rPr>
              <w:t>Miejsce wykonania</w:t>
            </w:r>
          </w:p>
        </w:tc>
        <w:tc>
          <w:tcPr>
            <w:tcW w:w="1891" w:type="dxa"/>
            <w:tcBorders>
              <w:top w:val="single" w:sz="4" w:space="0" w:color="000000"/>
              <w:left w:val="single" w:sz="4" w:space="0" w:color="000000"/>
              <w:bottom w:val="single" w:sz="4" w:space="0" w:color="000000"/>
            </w:tcBorders>
            <w:shd w:color="auto" w:fill="auto" w:val="clear"/>
            <w:vAlign w:val="center"/>
          </w:tcPr>
          <w:p>
            <w:pPr>
              <w:pStyle w:val="Standard"/>
              <w:spacing w:lineRule="auto" w:line="276"/>
              <w:jc w:val="center"/>
              <w:rPr>
                <w:rFonts w:ascii="Titillium" w:hAnsi="Titillium"/>
              </w:rPr>
            </w:pPr>
            <w:r>
              <w:rPr>
                <w:rFonts w:ascii="Titillium" w:hAnsi="Titillium"/>
                <w:bCs/>
                <w:i/>
              </w:rPr>
              <w:t>Podmiot, na rzecz którego roboty zostały wykonane</w:t>
            </w:r>
          </w:p>
        </w:tc>
        <w:tc>
          <w:tcPr>
            <w:tcW w:w="15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spacing w:lineRule="auto" w:line="276"/>
              <w:jc w:val="center"/>
              <w:rPr>
                <w:rFonts w:ascii="Titillium" w:hAnsi="Titillium"/>
              </w:rPr>
            </w:pPr>
            <w:r>
              <w:rPr>
                <w:rFonts w:ascii="Titillium" w:hAnsi="Titillium"/>
                <w:bCs/>
                <w:i/>
              </w:rPr>
              <w:t>Daty</w:t>
            </w:r>
          </w:p>
          <w:p>
            <w:pPr>
              <w:pStyle w:val="Standard"/>
              <w:spacing w:lineRule="auto" w:line="276"/>
              <w:jc w:val="center"/>
              <w:rPr>
                <w:rFonts w:ascii="Titillium" w:hAnsi="Titillium"/>
              </w:rPr>
            </w:pPr>
            <w:r>
              <w:rPr>
                <w:rFonts w:ascii="Titillium" w:hAnsi="Titillium"/>
                <w:bCs/>
                <w:i/>
              </w:rPr>
              <w:t>rozpoczęcia i</w:t>
            </w:r>
          </w:p>
          <w:p>
            <w:pPr>
              <w:pStyle w:val="Standard"/>
              <w:spacing w:lineRule="auto" w:line="276"/>
              <w:jc w:val="center"/>
              <w:rPr>
                <w:rFonts w:ascii="Titillium" w:hAnsi="Titillium"/>
              </w:rPr>
            </w:pPr>
            <w:r>
              <w:rPr>
                <w:rFonts w:ascii="Titillium" w:hAnsi="Titillium"/>
                <w:bCs/>
                <w:i/>
              </w:rPr>
              <w:t>zakończenia</w:t>
            </w:r>
          </w:p>
        </w:tc>
      </w:tr>
      <w:tr>
        <w:trPr>
          <w:trHeight w:val="1594" w:hRule="atLeast"/>
        </w:trPr>
        <w:tc>
          <w:tcPr>
            <w:tcW w:w="437" w:type="dxa"/>
            <w:tcBorders>
              <w:top w:val="single" w:sz="4" w:space="0" w:color="000000"/>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bCs/>
                <w:i/>
                <w:i/>
              </w:rPr>
            </w:pPr>
            <w:r>
              <w:rPr>
                <w:rFonts w:ascii="Titillium" w:hAnsi="Titillium"/>
                <w:bCs/>
                <w:i/>
              </w:rPr>
            </w:r>
          </w:p>
          <w:p>
            <w:pPr>
              <w:pStyle w:val="Standard"/>
              <w:snapToGrid w:val="false"/>
              <w:spacing w:lineRule="auto" w:line="276"/>
              <w:jc w:val="both"/>
              <w:rPr>
                <w:rFonts w:ascii="Titillium" w:hAnsi="Titillium"/>
              </w:rPr>
            </w:pPr>
            <w:r>
              <w:rPr>
                <w:rFonts w:ascii="Titillium" w:hAnsi="Titillium"/>
                <w:bCs/>
              </w:rPr>
              <w:t>1</w:t>
            </w:r>
          </w:p>
        </w:tc>
        <w:tc>
          <w:tcPr>
            <w:tcW w:w="2629" w:type="dxa"/>
            <w:tcBorders>
              <w:top w:val="single" w:sz="4" w:space="0" w:color="000000"/>
              <w:left w:val="single" w:sz="4" w:space="0" w:color="000000"/>
              <w:bottom w:val="single" w:sz="4" w:space="0" w:color="000000"/>
            </w:tcBorders>
            <w:shd w:color="auto" w:fill="auto" w:val="clear"/>
          </w:tcPr>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tc>
        <w:tc>
          <w:tcPr>
            <w:tcW w:w="1584" w:type="dxa"/>
            <w:tcBorders>
              <w:top w:val="single" w:sz="4" w:space="0" w:color="000000"/>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r>
          </w:p>
        </w:tc>
        <w:tc>
          <w:tcPr>
            <w:tcW w:w="1471" w:type="dxa"/>
            <w:tcBorders>
              <w:top w:val="single" w:sz="4" w:space="0" w:color="000000"/>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r>
          </w:p>
        </w:tc>
        <w:tc>
          <w:tcPr>
            <w:tcW w:w="1891" w:type="dxa"/>
            <w:tcBorders>
              <w:top w:val="single" w:sz="4" w:space="0" w:color="000000"/>
              <w:left w:val="single" w:sz="4" w:space="0" w:color="000000"/>
              <w:bottom w:val="single" w:sz="4" w:space="0" w:color="000000"/>
            </w:tcBorders>
            <w:shd w:color="auto" w:fill="auto" w:val="clear"/>
          </w:tcPr>
          <w:p>
            <w:pPr>
              <w:pStyle w:val="Standard"/>
              <w:snapToGrid w:val="false"/>
              <w:spacing w:lineRule="auto" w:line="276"/>
              <w:ind w:left="-250"/>
              <w:jc w:val="both"/>
              <w:rPr>
                <w:rFonts w:ascii="Titillium" w:hAnsi="Titillium"/>
              </w:rPr>
            </w:pPr>
            <w:r>
              <w:rPr>
                <w:rFonts w:ascii="Titillium" w:hAnsi="Titillium"/>
              </w:rPr>
            </w:r>
          </w:p>
        </w:tc>
        <w:tc>
          <w:tcPr>
            <w:tcW w:w="1512"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276"/>
              <w:ind w:left="-250"/>
              <w:jc w:val="both"/>
              <w:rPr>
                <w:rFonts w:ascii="Titillium" w:hAnsi="Titillium"/>
              </w:rPr>
            </w:pPr>
            <w:r>
              <w:rPr>
                <w:rFonts w:ascii="Titillium" w:hAnsi="Titillium"/>
              </w:rPr>
            </w:r>
          </w:p>
        </w:tc>
      </w:tr>
      <w:tr>
        <w:trPr>
          <w:trHeight w:val="1594" w:hRule="atLeast"/>
        </w:trPr>
        <w:tc>
          <w:tcPr>
            <w:tcW w:w="437" w:type="dxa"/>
            <w:tcBorders>
              <w:top w:val="single" w:sz="4" w:space="0" w:color="000000"/>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t>2</w:t>
            </w:r>
          </w:p>
        </w:tc>
        <w:tc>
          <w:tcPr>
            <w:tcW w:w="2629" w:type="dxa"/>
            <w:tcBorders>
              <w:top w:val="single" w:sz="4" w:space="0" w:color="000000"/>
              <w:left w:val="single" w:sz="4" w:space="0" w:color="000000"/>
              <w:bottom w:val="single" w:sz="4" w:space="0" w:color="000000"/>
            </w:tcBorders>
            <w:shd w:color="auto" w:fill="auto" w:val="clear"/>
          </w:tcPr>
          <w:p>
            <w:pPr>
              <w:pStyle w:val="Standard"/>
              <w:spacing w:lineRule="auto" w:line="276"/>
              <w:jc w:val="both"/>
              <w:rPr>
                <w:rFonts w:ascii="Titillium" w:hAnsi="Titillium" w:cs="Arial"/>
                <w:bCs/>
              </w:rPr>
            </w:pPr>
            <w:r>
              <w:rPr>
                <w:rFonts w:cs="Arial" w:ascii="Titillium" w:hAnsi="Titillium"/>
                <w:bCs/>
              </w:rPr>
            </w:r>
          </w:p>
        </w:tc>
        <w:tc>
          <w:tcPr>
            <w:tcW w:w="1584" w:type="dxa"/>
            <w:tcBorders>
              <w:top w:val="single" w:sz="4" w:space="0" w:color="000000"/>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r>
          </w:p>
        </w:tc>
        <w:tc>
          <w:tcPr>
            <w:tcW w:w="1471" w:type="dxa"/>
            <w:tcBorders>
              <w:top w:val="single" w:sz="4" w:space="0" w:color="000000"/>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r>
          </w:p>
        </w:tc>
        <w:tc>
          <w:tcPr>
            <w:tcW w:w="1891" w:type="dxa"/>
            <w:tcBorders>
              <w:top w:val="single" w:sz="4" w:space="0" w:color="000000"/>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r>
          </w:p>
        </w:tc>
        <w:tc>
          <w:tcPr>
            <w:tcW w:w="1512"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r>
          </w:p>
        </w:tc>
      </w:tr>
    </w:tbl>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ind w:right="51"/>
        <w:jc w:val="both"/>
        <w:rPr>
          <w:rFonts w:ascii="Titillium" w:hAnsi="Titillium"/>
        </w:rPr>
      </w:pPr>
      <w:r>
        <w:rPr>
          <w:rFonts w:ascii="Titillium" w:hAnsi="Titillium"/>
        </w:rPr>
        <w:t>Do wykazu należy dołączyć dowody w rozumieniu przepisów</w:t>
      </w:r>
      <w:r>
        <w:rPr>
          <w:rFonts w:ascii="Titillium" w:hAnsi="Titillium"/>
          <w:i/>
        </w:rPr>
        <w:t xml:space="preserve"> rozporządzenia Ministra Rozwoju, Pracy                       i Technologii z dnia 23 grudnia 2020 r. w sprawie podmiotowych środków dowodowych oraz innych dokumentów lub oświadczeń, jakich może żądać zamawiający od wykonawcy (Dz. U. poz. 2415 ze zm.).</w:t>
      </w:r>
    </w:p>
    <w:p>
      <w:pPr>
        <w:pStyle w:val="Standard"/>
        <w:spacing w:lineRule="auto" w:line="276"/>
        <w:ind w:right="51"/>
        <w:jc w:val="both"/>
        <w:rPr>
          <w:rFonts w:ascii="Titillium" w:hAnsi="Titillium"/>
          <w:i/>
          <w:i/>
        </w:rPr>
      </w:pPr>
      <w:r>
        <w:rPr>
          <w:rFonts w:ascii="Titillium" w:hAnsi="Titillium"/>
          <w:i/>
        </w:rPr>
      </w:r>
    </w:p>
    <w:p>
      <w:pPr>
        <w:pStyle w:val="Standard"/>
        <w:spacing w:lineRule="auto" w:line="276"/>
        <w:ind w:right="51"/>
        <w:jc w:val="both"/>
        <w:rPr>
          <w:rFonts w:ascii="Titillium" w:hAnsi="Titillium"/>
          <w:i/>
          <w:i/>
        </w:rPr>
      </w:pPr>
      <w:r>
        <w:rPr>
          <w:rFonts w:ascii="Titillium" w:hAnsi="Titillium"/>
          <w:i/>
        </w:rPr>
      </w:r>
    </w:p>
    <w:p>
      <w:pPr>
        <w:pStyle w:val="Standard"/>
        <w:spacing w:lineRule="auto" w:line="276"/>
        <w:ind w:right="51"/>
        <w:jc w:val="both"/>
        <w:rPr>
          <w:rFonts w:ascii="Titillium" w:hAnsi="Titillium"/>
          <w:i/>
          <w:i/>
        </w:rPr>
      </w:pPr>
      <w:r>
        <w:rPr>
          <w:rFonts w:ascii="Titillium" w:hAnsi="Titillium"/>
          <w:i/>
        </w:rPr>
      </w:r>
    </w:p>
    <w:p>
      <w:pPr>
        <w:pStyle w:val="Standard"/>
        <w:spacing w:lineRule="auto" w:line="276"/>
        <w:ind w:right="51"/>
        <w:jc w:val="both"/>
        <w:rPr>
          <w:rFonts w:ascii="Titillium" w:hAnsi="Titillium"/>
          <w:i/>
          <w:i/>
        </w:rPr>
      </w:pPr>
      <w:r>
        <w:rPr>
          <w:rFonts w:ascii="Titillium" w:hAnsi="Titillium"/>
          <w:i/>
        </w:rPr>
      </w:r>
    </w:p>
    <w:p>
      <w:pPr>
        <w:pStyle w:val="Standard"/>
        <w:spacing w:lineRule="auto" w:line="276"/>
        <w:ind w:right="51"/>
        <w:jc w:val="both"/>
        <w:rPr>
          <w:rFonts w:ascii="Titillium" w:hAnsi="Titillium"/>
          <w:i/>
          <w:i/>
        </w:rPr>
      </w:pPr>
      <w:r>
        <w:rPr>
          <w:rFonts w:ascii="Titillium" w:hAnsi="Titillium"/>
          <w:i/>
        </w:rPr>
      </w:r>
    </w:p>
    <w:p>
      <w:pPr>
        <w:pStyle w:val="Standard"/>
        <w:spacing w:lineRule="auto" w:line="276"/>
        <w:ind w:right="51"/>
        <w:jc w:val="both"/>
        <w:rPr>
          <w:rFonts w:ascii="Titillium" w:hAnsi="Titillium"/>
          <w:i/>
          <w:i/>
        </w:rPr>
      </w:pPr>
      <w:r>
        <w:rPr>
          <w:rFonts w:ascii="Titillium" w:hAnsi="Titillium"/>
          <w:i/>
        </w:rPr>
      </w:r>
    </w:p>
    <w:p>
      <w:pPr>
        <w:pStyle w:val="Standard"/>
        <w:spacing w:lineRule="auto" w:line="276"/>
        <w:jc w:val="both"/>
        <w:rPr>
          <w:rFonts w:ascii="Titillium" w:hAnsi="Titillium"/>
          <w:b/>
          <w:bCs/>
        </w:rPr>
      </w:pPr>
      <w:r>
        <w:rPr>
          <w:rFonts w:ascii="Titillium" w:hAnsi="Titillium"/>
          <w:b/>
          <w:bCs/>
        </w:rPr>
      </w:r>
    </w:p>
    <w:p>
      <w:pPr>
        <w:pStyle w:val="Standard"/>
        <w:spacing w:lineRule="auto" w:line="276"/>
        <w:jc w:val="both"/>
        <w:rPr>
          <w:rFonts w:ascii="Titillium" w:hAnsi="Titillium"/>
        </w:rPr>
      </w:pPr>
      <w:r>
        <w:rPr>
          <w:rFonts w:ascii="Titillium" w:hAnsi="Titillium"/>
          <w:b/>
          <w:bCs/>
        </w:rPr>
        <w:t>UWAGA! Podpisujemy kwalifikowanym podpisem elektronicznym albo profilem zaufanym albo podpisem osobistym.</w:t>
      </w:r>
    </w:p>
    <w:p>
      <w:pPr>
        <w:pStyle w:val="Standard"/>
        <w:spacing w:lineRule="auto" w:line="276" w:before="0" w:after="0"/>
        <w:jc w:val="right"/>
        <w:rPr>
          <w:rFonts w:ascii="Titillium" w:hAnsi="Titillium"/>
        </w:rPr>
      </w:pPr>
      <w:r>
        <w:br w:type="column"/>
      </w:r>
      <w:r>
        <w:rPr>
          <w:rFonts w:ascii="Titillium" w:hAnsi="Titillium"/>
        </w:rPr>
        <w:t>Załącznik nr 4</w:t>
      </w:r>
    </w:p>
    <w:p>
      <w:pPr>
        <w:pStyle w:val="Standard"/>
        <w:spacing w:lineRule="auto" w:line="276"/>
        <w:jc w:val="right"/>
        <w:rPr>
          <w:rFonts w:ascii="Titillium" w:hAnsi="Titillium"/>
        </w:rPr>
      </w:pPr>
      <w:r>
        <w:rPr>
          <w:rFonts w:ascii="Titillium" w:hAnsi="Titillium"/>
        </w:rPr>
      </w:r>
    </w:p>
    <w:p>
      <w:pPr>
        <w:pStyle w:val="NormalWeb"/>
        <w:tabs>
          <w:tab w:val="clear" w:pos="720"/>
          <w:tab w:val="left" w:pos="4678" w:leader="none"/>
        </w:tabs>
        <w:spacing w:lineRule="auto" w:line="276" w:before="0" w:after="0"/>
        <w:jc w:val="center"/>
        <w:rPr>
          <w:rFonts w:ascii="Titillium" w:hAnsi="Titillium"/>
          <w:b/>
          <w:bCs/>
        </w:rPr>
      </w:pPr>
      <w:r>
        <w:rPr>
          <w:rFonts w:ascii="Titillium" w:hAnsi="Titillium"/>
          <w:b/>
          <w:bCs/>
        </w:rPr>
      </w:r>
    </w:p>
    <w:p>
      <w:pPr>
        <w:pStyle w:val="NormalWeb"/>
        <w:tabs>
          <w:tab w:val="clear" w:pos="720"/>
          <w:tab w:val="left" w:pos="4678" w:leader="none"/>
        </w:tabs>
        <w:spacing w:lineRule="auto" w:line="276" w:before="0" w:after="0"/>
        <w:jc w:val="center"/>
        <w:rPr>
          <w:rFonts w:ascii="Titillium" w:hAnsi="Titillium"/>
        </w:rPr>
      </w:pPr>
      <w:r>
        <w:rPr>
          <w:rFonts w:ascii="Titillium" w:hAnsi="Titillium"/>
          <w:b/>
          <w:bCs/>
          <w:sz w:val="22"/>
          <w:szCs w:val="22"/>
        </w:rPr>
        <w:t xml:space="preserve">WYKAZ OSÓB, </w:t>
      </w:r>
      <w:r>
        <w:rPr>
          <w:rFonts w:ascii="Titillium" w:hAnsi="Titillium"/>
          <w:b/>
          <w:bCs/>
          <w:color w:val="800000"/>
          <w:sz w:val="22"/>
          <w:szCs w:val="22"/>
        </w:rPr>
        <w:t xml:space="preserve"> </w:t>
      </w:r>
      <w:r>
        <w:rPr>
          <w:rFonts w:ascii="Titillium" w:hAnsi="Titillium"/>
          <w:b/>
          <w:bCs/>
          <w:color w:val="000000"/>
          <w:sz w:val="22"/>
          <w:szCs w:val="22"/>
        </w:rPr>
        <w:t>SKIEROWANYCH PRZEZ WYKONAWCĘ DO REALIZACJI ZAMÓWIENIA</w:t>
      </w:r>
    </w:p>
    <w:p>
      <w:pPr>
        <w:pStyle w:val="NormalWeb"/>
        <w:tabs>
          <w:tab w:val="clear" w:pos="720"/>
          <w:tab w:val="left" w:pos="4678" w:leader="none"/>
        </w:tabs>
        <w:spacing w:lineRule="auto" w:line="276" w:before="0" w:after="0"/>
        <w:jc w:val="center"/>
        <w:rPr>
          <w:rFonts w:ascii="Titillium" w:hAnsi="Titillium"/>
          <w:b/>
          <w:bCs/>
          <w:color w:val="000000"/>
        </w:rPr>
      </w:pPr>
      <w:r>
        <w:rPr>
          <w:rFonts w:ascii="Titillium" w:hAnsi="Titillium"/>
          <w:b/>
          <w:bCs/>
          <w:color w:val="000000"/>
        </w:rPr>
      </w:r>
    </w:p>
    <w:p>
      <w:pPr>
        <w:pStyle w:val="NormalWeb"/>
        <w:tabs>
          <w:tab w:val="clear" w:pos="720"/>
          <w:tab w:val="left" w:pos="4678" w:leader="none"/>
        </w:tabs>
        <w:spacing w:lineRule="auto" w:line="276" w:before="0" w:after="0"/>
        <w:jc w:val="both"/>
        <w:rPr>
          <w:rFonts w:ascii="Titillium" w:hAnsi="Titillium"/>
          <w:b/>
          <w:bCs/>
        </w:rPr>
      </w:pPr>
      <w:r>
        <w:rPr>
          <w:rFonts w:ascii="Titillium" w:hAnsi="Titillium"/>
          <w:b/>
          <w:bCs/>
        </w:rPr>
      </w:r>
    </w:p>
    <w:tbl>
      <w:tblPr>
        <w:tblW w:w="9834" w:type="dxa"/>
        <w:jc w:val="left"/>
        <w:tblInd w:w="-233" w:type="dxa"/>
        <w:tblLayout w:type="fixed"/>
        <w:tblCellMar>
          <w:top w:w="60" w:type="dxa"/>
          <w:left w:w="60" w:type="dxa"/>
          <w:bottom w:w="60" w:type="dxa"/>
          <w:right w:w="60" w:type="dxa"/>
        </w:tblCellMar>
        <w:tblLook w:firstRow="1" w:noVBand="1" w:lastRow="0" w:firstColumn="1" w:lastColumn="0" w:noHBand="0" w:val="04a0"/>
      </w:tblPr>
      <w:tblGrid>
        <w:gridCol w:w="983"/>
        <w:gridCol w:w="2211"/>
        <w:gridCol w:w="1530"/>
        <w:gridCol w:w="1970"/>
        <w:gridCol w:w="1614"/>
        <w:gridCol w:w="1525"/>
      </w:tblGrid>
      <w:tr>
        <w:trPr/>
        <w:tc>
          <w:tcPr>
            <w:tcW w:w="983" w:type="dxa"/>
            <w:tcBorders>
              <w:top w:val="single" w:sz="4" w:space="0" w:color="000000"/>
              <w:left w:val="single" w:sz="4" w:space="0" w:color="000000"/>
              <w:bottom w:val="single" w:sz="4" w:space="0" w:color="000000"/>
            </w:tcBorders>
            <w:shd w:color="auto" w:fill="auto" w:val="clear"/>
            <w:vAlign w:val="center"/>
          </w:tcPr>
          <w:p>
            <w:pPr>
              <w:pStyle w:val="NormalWeb"/>
              <w:spacing w:lineRule="auto" w:line="276" w:before="0" w:after="0"/>
              <w:jc w:val="center"/>
              <w:rPr>
                <w:rFonts w:ascii="Titillium" w:hAnsi="Titillium"/>
              </w:rPr>
            </w:pPr>
            <w:r>
              <w:rPr>
                <w:rFonts w:ascii="Titillium" w:hAnsi="Titillium"/>
                <w:b/>
                <w:bCs/>
              </w:rPr>
              <w:t>Imię</w:t>
            </w:r>
          </w:p>
          <w:p>
            <w:pPr>
              <w:pStyle w:val="NormalWeb"/>
              <w:spacing w:lineRule="auto" w:line="276" w:before="0" w:after="0"/>
              <w:jc w:val="center"/>
              <w:rPr>
                <w:rFonts w:ascii="Titillium" w:hAnsi="Titillium"/>
              </w:rPr>
            </w:pPr>
            <w:r>
              <w:rPr>
                <w:rFonts w:ascii="Titillium" w:hAnsi="Titillium"/>
                <w:b/>
                <w:bCs/>
              </w:rPr>
              <w:t>i nazwisko</w:t>
            </w:r>
          </w:p>
        </w:tc>
        <w:tc>
          <w:tcPr>
            <w:tcW w:w="2211" w:type="dxa"/>
            <w:tcBorders>
              <w:top w:val="single" w:sz="4" w:space="0" w:color="000000"/>
              <w:left w:val="single" w:sz="4" w:space="0" w:color="000000"/>
              <w:bottom w:val="single" w:sz="4" w:space="0" w:color="000000"/>
            </w:tcBorders>
            <w:shd w:color="auto" w:fill="auto" w:val="clear"/>
            <w:vAlign w:val="center"/>
          </w:tcPr>
          <w:p>
            <w:pPr>
              <w:pStyle w:val="NormalWeb"/>
              <w:snapToGrid w:val="false"/>
              <w:spacing w:lineRule="auto" w:line="276" w:before="0" w:after="0"/>
              <w:jc w:val="center"/>
              <w:rPr>
                <w:rFonts w:ascii="Titillium" w:hAnsi="Titillium"/>
                <w:b/>
                <w:bCs/>
              </w:rPr>
            </w:pPr>
            <w:r>
              <w:rPr>
                <w:rFonts w:ascii="Titillium" w:hAnsi="Titillium"/>
                <w:b/>
                <w:bCs/>
              </w:rPr>
            </w:r>
          </w:p>
          <w:p>
            <w:pPr>
              <w:pStyle w:val="NormalWeb"/>
              <w:spacing w:lineRule="auto" w:line="276" w:before="0" w:after="0"/>
              <w:jc w:val="center"/>
              <w:rPr>
                <w:rFonts w:ascii="Titillium" w:hAnsi="Titillium"/>
              </w:rPr>
            </w:pPr>
            <w:r>
              <w:rPr>
                <w:rFonts w:ascii="Titillium" w:hAnsi="Titillium"/>
                <w:b/>
              </w:rPr>
              <w:t>Kwalifikacje zawodowe/</w:t>
            </w:r>
          </w:p>
          <w:p>
            <w:pPr>
              <w:pStyle w:val="NormalWeb"/>
              <w:spacing w:lineRule="auto" w:line="276" w:before="0" w:after="0"/>
              <w:jc w:val="center"/>
              <w:rPr>
                <w:rFonts w:ascii="Titillium" w:hAnsi="Titillium"/>
              </w:rPr>
            </w:pPr>
            <w:r>
              <w:rPr>
                <w:rFonts w:ascii="Titillium" w:hAnsi="Titillium"/>
                <w:b/>
                <w:bCs/>
              </w:rPr>
              <w:t>Wykształcenie</w:t>
            </w:r>
          </w:p>
          <w:p>
            <w:pPr>
              <w:pStyle w:val="NormalWeb"/>
              <w:spacing w:lineRule="auto" w:line="276" w:before="0" w:after="0"/>
              <w:jc w:val="center"/>
              <w:rPr>
                <w:rFonts w:ascii="Titillium" w:hAnsi="Titillium"/>
                <w:b/>
                <w:bCs/>
              </w:rPr>
            </w:pPr>
            <w:r>
              <w:rPr>
                <w:rFonts w:ascii="Titillium" w:hAnsi="Titillium"/>
                <w:b/>
                <w:bCs/>
              </w:rPr>
            </w:r>
          </w:p>
        </w:tc>
        <w:tc>
          <w:tcPr>
            <w:tcW w:w="1530" w:type="dxa"/>
            <w:tcBorders>
              <w:top w:val="single" w:sz="4" w:space="0" w:color="000000"/>
              <w:left w:val="single" w:sz="4" w:space="0" w:color="000000"/>
              <w:bottom w:val="single" w:sz="4" w:space="0" w:color="000000"/>
            </w:tcBorders>
            <w:shd w:color="auto" w:fill="auto" w:val="clear"/>
            <w:vAlign w:val="center"/>
          </w:tcPr>
          <w:p>
            <w:pPr>
              <w:pStyle w:val="NormalWeb"/>
              <w:spacing w:lineRule="auto" w:line="276" w:before="0" w:after="0"/>
              <w:jc w:val="center"/>
              <w:rPr>
                <w:rFonts w:ascii="Titillium" w:hAnsi="Titillium"/>
              </w:rPr>
            </w:pPr>
            <w:r>
              <w:rPr>
                <w:rFonts w:ascii="Titillium" w:hAnsi="Titillium"/>
                <w:b/>
                <w:bCs/>
              </w:rPr>
              <w:t>Doświadczenie</w:t>
            </w:r>
          </w:p>
          <w:p>
            <w:pPr>
              <w:pStyle w:val="NormalWeb"/>
              <w:spacing w:lineRule="auto" w:line="276" w:before="0" w:after="0"/>
              <w:jc w:val="center"/>
              <w:rPr>
                <w:rFonts w:ascii="Titillium" w:hAnsi="Titillium"/>
              </w:rPr>
            </w:pPr>
            <w:r>
              <w:rPr>
                <w:rFonts w:ascii="Titillium" w:hAnsi="Titillium"/>
                <w:b/>
                <w:bCs/>
              </w:rPr>
              <w:t>(w latach)</w:t>
            </w:r>
          </w:p>
        </w:tc>
        <w:tc>
          <w:tcPr>
            <w:tcW w:w="1970" w:type="dxa"/>
            <w:tcBorders>
              <w:top w:val="single" w:sz="4" w:space="0" w:color="000000"/>
              <w:left w:val="single" w:sz="4" w:space="0" w:color="000000"/>
              <w:bottom w:val="single" w:sz="4" w:space="0" w:color="000000"/>
            </w:tcBorders>
            <w:shd w:color="auto" w:fill="auto" w:val="clear"/>
            <w:vAlign w:val="center"/>
          </w:tcPr>
          <w:p>
            <w:pPr>
              <w:pStyle w:val="NormalWeb"/>
              <w:spacing w:lineRule="auto" w:line="276" w:before="0" w:after="0"/>
              <w:jc w:val="center"/>
              <w:rPr>
                <w:rFonts w:ascii="Titillium" w:hAnsi="Titillium"/>
              </w:rPr>
            </w:pPr>
            <w:r>
              <w:rPr>
                <w:rFonts w:ascii="Titillium" w:hAnsi="Titillium"/>
                <w:b/>
                <w:bCs/>
              </w:rPr>
              <w:t>Zakres wykonywanych czynności</w:t>
            </w:r>
          </w:p>
          <w:p>
            <w:pPr>
              <w:pStyle w:val="NormalWeb"/>
              <w:spacing w:lineRule="auto" w:line="276" w:before="0" w:after="0"/>
              <w:jc w:val="center"/>
              <w:rPr>
                <w:rFonts w:ascii="Titillium" w:hAnsi="Titillium"/>
              </w:rPr>
            </w:pPr>
            <w:r>
              <w:rPr>
                <w:rFonts w:ascii="Titillium" w:hAnsi="Titillium"/>
                <w:b/>
                <w:bCs/>
              </w:rPr>
              <w:t>(funkcja na budowie lub przy projektowaniu)</w:t>
            </w:r>
          </w:p>
        </w:tc>
        <w:tc>
          <w:tcPr>
            <w:tcW w:w="1614" w:type="dxa"/>
            <w:tcBorders>
              <w:top w:val="single" w:sz="4" w:space="0" w:color="000000"/>
              <w:left w:val="single" w:sz="4" w:space="0" w:color="000000"/>
              <w:bottom w:val="single" w:sz="4" w:space="0" w:color="000000"/>
            </w:tcBorders>
            <w:shd w:color="auto" w:fill="auto" w:val="clear"/>
            <w:vAlign w:val="center"/>
          </w:tcPr>
          <w:p>
            <w:pPr>
              <w:pStyle w:val="NormalWeb"/>
              <w:spacing w:lineRule="auto" w:line="276" w:before="0" w:after="0"/>
              <w:jc w:val="center"/>
              <w:rPr>
                <w:rFonts w:ascii="Titillium" w:hAnsi="Titillium"/>
              </w:rPr>
            </w:pPr>
            <w:r>
              <w:rPr>
                <w:rFonts w:ascii="Titillium" w:hAnsi="Titillium"/>
                <w:b/>
              </w:rPr>
              <w:t>Uprawnienia</w:t>
            </w:r>
          </w:p>
          <w:p>
            <w:pPr>
              <w:pStyle w:val="NormalWeb"/>
              <w:spacing w:lineRule="auto" w:line="276" w:before="0" w:after="0"/>
              <w:jc w:val="center"/>
              <w:rPr>
                <w:rFonts w:ascii="Titillium" w:hAnsi="Titillium"/>
              </w:rPr>
            </w:pPr>
            <w:r>
              <w:rPr>
                <w:rFonts w:ascii="Titillium" w:hAnsi="Titillium"/>
                <w:b/>
              </w:rPr>
              <w:t>(wpisać specjalność i</w:t>
            </w:r>
            <w:r>
              <w:rPr>
                <w:rFonts w:cs="Calibri" w:ascii="Titillium" w:hAnsi="Titillium"/>
                <w:b/>
              </w:rPr>
              <w:t> </w:t>
            </w:r>
            <w:r>
              <w:rPr>
                <w:rFonts w:ascii="Titillium" w:hAnsi="Titillium"/>
                <w:b/>
              </w:rPr>
              <w:t>wskaza</w:t>
            </w:r>
            <w:r>
              <w:rPr>
                <w:rFonts w:cs="Titillium" w:ascii="Titillium" w:hAnsi="Titillium"/>
                <w:b/>
              </w:rPr>
              <w:t>ć</w:t>
            </w:r>
            <w:r>
              <w:rPr>
                <w:rFonts w:ascii="Titillium" w:hAnsi="Titillium"/>
                <w:b/>
              </w:rPr>
              <w:t xml:space="preserve"> czy uprawnienia s</w:t>
            </w:r>
            <w:r>
              <w:rPr>
                <w:rFonts w:cs="Titillium" w:ascii="Titillium" w:hAnsi="Titillium"/>
                <w:b/>
              </w:rPr>
              <w:t>ą</w:t>
            </w:r>
            <w:r>
              <w:rPr>
                <w:rFonts w:ascii="Titillium" w:hAnsi="Titillium"/>
                <w:b/>
              </w:rPr>
              <w:t xml:space="preserve"> bez ogranicze</w:t>
            </w:r>
            <w:r>
              <w:rPr>
                <w:rFonts w:cs="Titillium" w:ascii="Titillium" w:hAnsi="Titillium"/>
                <w:b/>
              </w:rPr>
              <w:t>ń</w:t>
            </w:r>
            <w:r>
              <w:rPr>
                <w:rFonts w:ascii="Titillium" w:hAnsi="Titillium"/>
                <w:b/>
              </w:rPr>
              <w:t xml:space="preserve"> czy w</w:t>
            </w:r>
            <w:r>
              <w:rPr>
                <w:rFonts w:cs="Calibri" w:ascii="Titillium" w:hAnsi="Titillium"/>
                <w:b/>
              </w:rPr>
              <w:t> </w:t>
            </w:r>
            <w:r>
              <w:rPr>
                <w:rFonts w:ascii="Titillium" w:hAnsi="Titillium"/>
                <w:b/>
              </w:rPr>
              <w:t>ograniczonym zakresie)</w:t>
            </w:r>
          </w:p>
        </w:tc>
        <w:tc>
          <w:tcPr>
            <w:tcW w:w="15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spacing w:lineRule="auto" w:line="276" w:before="0" w:after="0"/>
              <w:jc w:val="center"/>
              <w:rPr>
                <w:rFonts w:ascii="Titillium" w:hAnsi="Titillium"/>
              </w:rPr>
            </w:pPr>
            <w:r>
              <w:rPr>
                <w:rFonts w:ascii="Titillium" w:hAnsi="Titillium"/>
                <w:b/>
              </w:rPr>
              <w:t>Informacja o</w:t>
            </w:r>
            <w:r>
              <w:rPr>
                <w:rFonts w:cs="Calibri" w:ascii="Titillium" w:hAnsi="Titillium"/>
                <w:b/>
              </w:rPr>
              <w:t> </w:t>
            </w:r>
            <w:r>
              <w:rPr>
                <w:rFonts w:ascii="Titillium" w:hAnsi="Titillium"/>
                <w:b/>
              </w:rPr>
              <w:t>podstawie do dysponowania *</w:t>
            </w:r>
          </w:p>
        </w:tc>
      </w:tr>
      <w:tr>
        <w:trPr>
          <w:trHeight w:val="795" w:hRule="atLeast"/>
        </w:trPr>
        <w:tc>
          <w:tcPr>
            <w:tcW w:w="983"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b/>
              </w:rPr>
            </w:pPr>
            <w:r>
              <w:rPr>
                <w:rFonts w:ascii="Titillium" w:hAnsi="Titillium"/>
                <w:b/>
              </w:rPr>
            </w:r>
          </w:p>
        </w:tc>
        <w:tc>
          <w:tcPr>
            <w:tcW w:w="2211"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rPr>
            </w:pPr>
            <w:r>
              <w:rPr>
                <w:rFonts w:ascii="Titillium" w:hAnsi="Titillium"/>
              </w:rPr>
            </w:r>
          </w:p>
        </w:tc>
        <w:tc>
          <w:tcPr>
            <w:tcW w:w="1530" w:type="dxa"/>
            <w:tcBorders>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r>
          </w:p>
        </w:tc>
        <w:tc>
          <w:tcPr>
            <w:tcW w:w="1970" w:type="dxa"/>
            <w:tcBorders>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bCs/>
              </w:rPr>
            </w:pPr>
            <w:r>
              <w:rPr>
                <w:rFonts w:ascii="Titillium" w:hAnsi="Titillium"/>
                <w:bCs/>
              </w:rPr>
            </w:r>
          </w:p>
          <w:p>
            <w:pPr>
              <w:pStyle w:val="Standard"/>
              <w:snapToGrid w:val="false"/>
              <w:spacing w:lineRule="auto" w:line="276"/>
              <w:jc w:val="both"/>
              <w:rPr>
                <w:rFonts w:ascii="Titillium" w:hAnsi="Titillium"/>
                <w:bCs/>
              </w:rPr>
            </w:pPr>
            <w:r>
              <w:rPr>
                <w:rFonts w:ascii="Titillium" w:hAnsi="Titillium"/>
                <w:bCs/>
              </w:rPr>
            </w:r>
          </w:p>
        </w:tc>
        <w:tc>
          <w:tcPr>
            <w:tcW w:w="1614"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bCs/>
              </w:rPr>
            </w:pPr>
            <w:r>
              <w:rPr>
                <w:rFonts w:ascii="Titillium" w:hAnsi="Titillium"/>
                <w:bCs/>
              </w:rPr>
            </w:r>
          </w:p>
        </w:tc>
        <w:tc>
          <w:tcPr>
            <w:tcW w:w="1525" w:type="dxa"/>
            <w:tcBorders>
              <w:left w:val="single" w:sz="4" w:space="0" w:color="000000"/>
              <w:bottom w:val="single" w:sz="4" w:space="0" w:color="000000"/>
              <w:right w:val="single" w:sz="4" w:space="0" w:color="000000"/>
            </w:tcBorders>
            <w:shd w:color="auto" w:fill="auto" w:val="clear"/>
            <w:vAlign w:val="center"/>
          </w:tcPr>
          <w:p>
            <w:pPr>
              <w:pStyle w:val="Standard"/>
              <w:snapToGrid w:val="false"/>
              <w:spacing w:lineRule="auto" w:line="276"/>
              <w:jc w:val="both"/>
              <w:rPr>
                <w:rFonts w:ascii="Titillium" w:hAnsi="Titillium"/>
              </w:rPr>
            </w:pPr>
            <w:r>
              <w:rPr>
                <w:rFonts w:ascii="Titillium" w:hAnsi="Titillium"/>
              </w:rPr>
            </w:r>
          </w:p>
        </w:tc>
      </w:tr>
      <w:tr>
        <w:trPr>
          <w:trHeight w:val="795" w:hRule="atLeast"/>
        </w:trPr>
        <w:tc>
          <w:tcPr>
            <w:tcW w:w="983"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b/>
              </w:rPr>
            </w:pPr>
            <w:r>
              <w:rPr>
                <w:rFonts w:ascii="Titillium" w:hAnsi="Titillium"/>
                <w:b/>
              </w:rPr>
            </w:r>
          </w:p>
        </w:tc>
        <w:tc>
          <w:tcPr>
            <w:tcW w:w="2211"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rPr>
            </w:pPr>
            <w:r>
              <w:rPr>
                <w:rFonts w:ascii="Titillium" w:hAnsi="Titillium"/>
              </w:rPr>
            </w:r>
          </w:p>
        </w:tc>
        <w:tc>
          <w:tcPr>
            <w:tcW w:w="1530" w:type="dxa"/>
            <w:tcBorders>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r>
          </w:p>
        </w:tc>
        <w:tc>
          <w:tcPr>
            <w:tcW w:w="1970" w:type="dxa"/>
            <w:tcBorders>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bCs/>
              </w:rPr>
            </w:pPr>
            <w:r>
              <w:rPr>
                <w:rFonts w:ascii="Titillium" w:hAnsi="Titillium"/>
                <w:bCs/>
              </w:rPr>
            </w:r>
          </w:p>
        </w:tc>
        <w:tc>
          <w:tcPr>
            <w:tcW w:w="1614"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bCs/>
              </w:rPr>
            </w:pPr>
            <w:r>
              <w:rPr>
                <w:rFonts w:ascii="Titillium" w:hAnsi="Titillium"/>
                <w:bCs/>
              </w:rPr>
            </w:r>
          </w:p>
        </w:tc>
        <w:tc>
          <w:tcPr>
            <w:tcW w:w="1525" w:type="dxa"/>
            <w:tcBorders>
              <w:left w:val="single" w:sz="4" w:space="0" w:color="000000"/>
              <w:bottom w:val="single" w:sz="4" w:space="0" w:color="000000"/>
              <w:right w:val="single" w:sz="4" w:space="0" w:color="000000"/>
            </w:tcBorders>
            <w:shd w:color="auto" w:fill="auto" w:val="clear"/>
            <w:vAlign w:val="center"/>
          </w:tcPr>
          <w:p>
            <w:pPr>
              <w:pStyle w:val="Standard"/>
              <w:snapToGrid w:val="false"/>
              <w:spacing w:lineRule="auto" w:line="276"/>
              <w:jc w:val="both"/>
              <w:rPr>
                <w:rFonts w:ascii="Titillium" w:hAnsi="Titillium"/>
              </w:rPr>
            </w:pPr>
            <w:r>
              <w:rPr>
                <w:rFonts w:ascii="Titillium" w:hAnsi="Titillium"/>
              </w:rPr>
            </w:r>
          </w:p>
        </w:tc>
      </w:tr>
      <w:tr>
        <w:trPr>
          <w:trHeight w:val="795" w:hRule="atLeast"/>
        </w:trPr>
        <w:tc>
          <w:tcPr>
            <w:tcW w:w="983"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b/>
              </w:rPr>
            </w:pPr>
            <w:r>
              <w:rPr>
                <w:rFonts w:ascii="Titillium" w:hAnsi="Titillium"/>
                <w:b/>
              </w:rPr>
            </w:r>
          </w:p>
        </w:tc>
        <w:tc>
          <w:tcPr>
            <w:tcW w:w="2211"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rPr>
            </w:pPr>
            <w:r>
              <w:rPr>
                <w:rFonts w:ascii="Titillium" w:hAnsi="Titillium"/>
              </w:rPr>
            </w:r>
          </w:p>
        </w:tc>
        <w:tc>
          <w:tcPr>
            <w:tcW w:w="1530" w:type="dxa"/>
            <w:tcBorders>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r>
          </w:p>
        </w:tc>
        <w:tc>
          <w:tcPr>
            <w:tcW w:w="1970" w:type="dxa"/>
            <w:tcBorders>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bCs/>
              </w:rPr>
            </w:pPr>
            <w:r>
              <w:rPr>
                <w:rFonts w:ascii="Titillium" w:hAnsi="Titillium"/>
                <w:bCs/>
              </w:rPr>
            </w:r>
          </w:p>
        </w:tc>
        <w:tc>
          <w:tcPr>
            <w:tcW w:w="1614"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bCs/>
              </w:rPr>
            </w:pPr>
            <w:r>
              <w:rPr>
                <w:rFonts w:ascii="Titillium" w:hAnsi="Titillium"/>
                <w:bCs/>
              </w:rPr>
            </w:r>
          </w:p>
        </w:tc>
        <w:tc>
          <w:tcPr>
            <w:tcW w:w="1525" w:type="dxa"/>
            <w:tcBorders>
              <w:left w:val="single" w:sz="4" w:space="0" w:color="000000"/>
              <w:bottom w:val="single" w:sz="4" w:space="0" w:color="000000"/>
              <w:right w:val="single" w:sz="4" w:space="0" w:color="000000"/>
            </w:tcBorders>
            <w:shd w:color="auto" w:fill="auto" w:val="clear"/>
            <w:vAlign w:val="center"/>
          </w:tcPr>
          <w:p>
            <w:pPr>
              <w:pStyle w:val="Standard"/>
              <w:snapToGrid w:val="false"/>
              <w:spacing w:lineRule="auto" w:line="276"/>
              <w:jc w:val="both"/>
              <w:rPr>
                <w:rFonts w:ascii="Titillium" w:hAnsi="Titillium"/>
              </w:rPr>
            </w:pPr>
            <w:r>
              <w:rPr>
                <w:rFonts w:ascii="Titillium" w:hAnsi="Titillium"/>
              </w:rPr>
            </w:r>
          </w:p>
        </w:tc>
      </w:tr>
      <w:tr>
        <w:trPr>
          <w:trHeight w:val="795" w:hRule="atLeast"/>
        </w:trPr>
        <w:tc>
          <w:tcPr>
            <w:tcW w:w="983"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b/>
              </w:rPr>
            </w:pPr>
            <w:r>
              <w:rPr>
                <w:rFonts w:ascii="Titillium" w:hAnsi="Titillium"/>
                <w:b/>
              </w:rPr>
            </w:r>
          </w:p>
        </w:tc>
        <w:tc>
          <w:tcPr>
            <w:tcW w:w="2211"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rPr>
            </w:pPr>
            <w:r>
              <w:rPr>
                <w:rFonts w:ascii="Titillium" w:hAnsi="Titillium"/>
              </w:rPr>
            </w:r>
          </w:p>
        </w:tc>
        <w:tc>
          <w:tcPr>
            <w:tcW w:w="1530" w:type="dxa"/>
            <w:tcBorders>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r>
          </w:p>
        </w:tc>
        <w:tc>
          <w:tcPr>
            <w:tcW w:w="1970" w:type="dxa"/>
            <w:tcBorders>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bCs/>
              </w:rPr>
            </w:pPr>
            <w:r>
              <w:rPr>
                <w:rFonts w:ascii="Titillium" w:hAnsi="Titillium"/>
                <w:bCs/>
              </w:rPr>
            </w:r>
          </w:p>
        </w:tc>
        <w:tc>
          <w:tcPr>
            <w:tcW w:w="1614"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bCs/>
              </w:rPr>
            </w:pPr>
            <w:r>
              <w:rPr>
                <w:rFonts w:ascii="Titillium" w:hAnsi="Titillium"/>
                <w:bCs/>
              </w:rPr>
            </w:r>
          </w:p>
        </w:tc>
        <w:tc>
          <w:tcPr>
            <w:tcW w:w="1525" w:type="dxa"/>
            <w:tcBorders>
              <w:left w:val="single" w:sz="4" w:space="0" w:color="000000"/>
              <w:bottom w:val="single" w:sz="4" w:space="0" w:color="000000"/>
              <w:right w:val="single" w:sz="4" w:space="0" w:color="000000"/>
            </w:tcBorders>
            <w:shd w:color="auto" w:fill="auto" w:val="clear"/>
            <w:vAlign w:val="center"/>
          </w:tcPr>
          <w:p>
            <w:pPr>
              <w:pStyle w:val="Standard"/>
              <w:snapToGrid w:val="false"/>
              <w:spacing w:lineRule="auto" w:line="276"/>
              <w:jc w:val="both"/>
              <w:rPr>
                <w:rFonts w:ascii="Titillium" w:hAnsi="Titillium"/>
              </w:rPr>
            </w:pPr>
            <w:r>
              <w:rPr>
                <w:rFonts w:ascii="Titillium" w:hAnsi="Titillium"/>
              </w:rPr>
            </w:r>
          </w:p>
        </w:tc>
      </w:tr>
    </w:tbl>
    <w:p>
      <w:pPr>
        <w:pStyle w:val="Standard"/>
        <w:tabs>
          <w:tab w:val="clear" w:pos="720"/>
          <w:tab w:val="left" w:pos="-94" w:leader="none"/>
        </w:tabs>
        <w:spacing w:lineRule="auto" w:line="276"/>
        <w:ind w:left="-454" w:right="-454"/>
        <w:jc w:val="both"/>
        <w:rPr>
          <w:rFonts w:ascii="Titillium" w:hAnsi="Titillium"/>
          <w:b/>
          <w:bCs/>
          <w:i/>
          <w:i/>
        </w:rPr>
      </w:pPr>
      <w:r>
        <w:rPr>
          <w:rFonts w:ascii="Titillium" w:hAnsi="Titillium"/>
          <w:b/>
          <w:bCs/>
          <w:i/>
        </w:rPr>
      </w:r>
    </w:p>
    <w:p>
      <w:pPr>
        <w:pStyle w:val="Standard"/>
        <w:tabs>
          <w:tab w:val="clear" w:pos="720"/>
          <w:tab w:val="left" w:pos="-94" w:leader="none"/>
        </w:tabs>
        <w:spacing w:lineRule="auto" w:line="276" w:before="0" w:after="0"/>
        <w:ind w:left="-454" w:right="-454"/>
        <w:jc w:val="both"/>
        <w:rPr>
          <w:rFonts w:ascii="Titillium" w:hAnsi="Titillium"/>
        </w:rPr>
      </w:pPr>
      <w:r>
        <w:br w:type="column"/>
      </w:r>
      <w:r>
        <w:rPr>
          <w:rFonts w:ascii="Titillium" w:hAnsi="Titillium"/>
        </w:rPr>
      </w:r>
    </w:p>
    <w:p>
      <w:pPr>
        <w:pStyle w:val="Standard"/>
        <w:spacing w:lineRule="auto" w:line="276"/>
        <w:jc w:val="right"/>
        <w:rPr>
          <w:rFonts w:ascii="Titillium" w:hAnsi="Titillium"/>
        </w:rPr>
      </w:pPr>
      <w:r>
        <w:rPr>
          <w:rFonts w:ascii="Titillium" w:hAnsi="Titillium"/>
        </w:rPr>
        <w:t>Załącznik nr 5</w:t>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center"/>
        <w:rPr>
          <w:rFonts w:ascii="Titillium" w:hAnsi="Titillium"/>
        </w:rPr>
      </w:pPr>
      <w:r>
        <w:rPr>
          <w:rFonts w:eastAsia="Arial" w:cs="Arial" w:ascii="Titillium" w:hAnsi="Titillium"/>
          <w:b/>
          <w:bCs/>
          <w:sz w:val="22"/>
          <w:szCs w:val="22"/>
        </w:rPr>
        <w:t>OŚWIADCZENIE</w:t>
      </w:r>
    </w:p>
    <w:p>
      <w:pPr>
        <w:pStyle w:val="Standard"/>
        <w:spacing w:lineRule="auto" w:line="276"/>
        <w:jc w:val="both"/>
        <w:rPr>
          <w:rFonts w:ascii="Titillium" w:hAnsi="Titillium"/>
        </w:rPr>
      </w:pPr>
      <w:r>
        <w:rPr>
          <w:rFonts w:eastAsia="Arial" w:cs="Arial" w:ascii="Titillium" w:hAnsi="Titillium"/>
        </w:rPr>
        <w:t>Wykonawców wspólnie ubiegających się o udzielenie zamówienia w postępowaniu dla zadania pod nazwą :</w:t>
      </w:r>
      <w:r>
        <w:rPr>
          <w:rFonts w:eastAsia="Arial" w:cs="Arial" w:ascii="Titillium" w:hAnsi="Titillium"/>
          <w:b/>
          <w:bCs/>
          <w:color w:val="000000"/>
        </w:rPr>
        <w:t>"Modernizacja ul. Niewiadomskiej i Osiedle na Wzgórzu w Rydułtowach”</w:t>
      </w:r>
      <w:r>
        <w:rPr>
          <w:rFonts w:ascii="Titillium" w:hAnsi="Titillium"/>
          <w:b/>
          <w:bCs/>
          <w:color w:val="000000"/>
        </w:rPr>
        <w:t xml:space="preserve">, </w:t>
      </w:r>
      <w:r>
        <w:rPr>
          <w:rFonts w:eastAsia="Arial" w:cs="Arial" w:ascii="Titillium" w:hAnsi="Titillium"/>
        </w:rPr>
        <w:t>z którego wynika, jakie usługi i roboty budowlane wykonają poszczególni Wykonawcy</w:t>
      </w:r>
    </w:p>
    <w:p>
      <w:pPr>
        <w:pStyle w:val="Standard"/>
        <w:spacing w:lineRule="auto" w:line="276"/>
        <w:jc w:val="both"/>
        <w:rPr>
          <w:rFonts w:ascii="Titillium" w:hAnsi="Titillium" w:eastAsia="Arial" w:cs="Arial"/>
        </w:rPr>
      </w:pPr>
      <w:r>
        <w:rPr>
          <w:rFonts w:eastAsia="Arial" w:cs="Arial" w:ascii="Titillium" w:hAnsi="Titillium"/>
        </w:rPr>
      </w:r>
    </w:p>
    <w:p>
      <w:pPr>
        <w:pStyle w:val="Standard"/>
        <w:spacing w:lineRule="auto" w:line="276"/>
        <w:jc w:val="both"/>
        <w:rPr>
          <w:rFonts w:ascii="Titillium" w:hAnsi="Titillium" w:eastAsia="Arial" w:cs="Arial"/>
        </w:rPr>
      </w:pPr>
      <w:r>
        <w:rPr>
          <w:rFonts w:eastAsia="Arial" w:cs="Arial" w:ascii="Titillium" w:hAnsi="Titillium"/>
        </w:rPr>
      </w:r>
    </w:p>
    <w:p>
      <w:pPr>
        <w:pStyle w:val="Default"/>
        <w:spacing w:lineRule="auto" w:line="276"/>
        <w:jc w:val="both"/>
        <w:rPr>
          <w:rFonts w:ascii="Titillium" w:hAnsi="Titillium"/>
        </w:rPr>
      </w:pPr>
      <w:r>
        <w:rPr>
          <w:rFonts w:ascii="Titillium" w:hAnsi="Titillium"/>
          <w:color w:val="auto"/>
          <w:sz w:val="20"/>
          <w:szCs w:val="20"/>
        </w:rPr>
        <w:t>W związku ze złożeniem oferty wspólnej oraz zaistnieniem okoliczności, o których mowa w art. 117 ust. 4 ustawy Pzp, oświadczam/oświadczamy*, że niżej wymienione usługi lub roboty budowlane będą wykonane przez następującego Wykonawcę:</w:t>
      </w:r>
    </w:p>
    <w:p>
      <w:pPr>
        <w:pStyle w:val="Default"/>
        <w:spacing w:lineRule="auto" w:line="276"/>
        <w:jc w:val="both"/>
        <w:rPr>
          <w:rFonts w:ascii="Titillium" w:hAnsi="Titillium"/>
          <w:b/>
          <w:bCs/>
          <w:color w:val="auto"/>
          <w:sz w:val="20"/>
          <w:szCs w:val="20"/>
        </w:rPr>
      </w:pPr>
      <w:r>
        <w:rPr>
          <w:rFonts w:ascii="Titillium" w:hAnsi="Titillium"/>
          <w:b/>
          <w:bCs/>
          <w:color w:val="auto"/>
          <w:sz w:val="20"/>
          <w:szCs w:val="20"/>
        </w:rPr>
      </w:r>
    </w:p>
    <w:tbl>
      <w:tblPr>
        <w:tblW w:w="9211"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4605"/>
        <w:gridCol w:w="4605"/>
      </w:tblGrid>
      <w:tr>
        <w:trPr/>
        <w:tc>
          <w:tcPr>
            <w:tcW w:w="460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Default"/>
              <w:spacing w:lineRule="auto" w:line="276"/>
              <w:jc w:val="both"/>
              <w:rPr>
                <w:rFonts w:ascii="Titillium" w:hAnsi="Titillium"/>
              </w:rPr>
            </w:pPr>
            <w:r>
              <w:rPr>
                <w:rFonts w:ascii="Titillium" w:hAnsi="Titillium"/>
                <w:b/>
                <w:bCs/>
                <w:iCs/>
                <w:color w:val="auto"/>
                <w:sz w:val="20"/>
                <w:szCs w:val="20"/>
              </w:rPr>
              <w:t>Nazwa Wykonawcy</w:t>
            </w:r>
          </w:p>
        </w:tc>
        <w:tc>
          <w:tcPr>
            <w:tcW w:w="4605" w:type="dxa"/>
            <w:tcBorders>
              <w:top w:val="single" w:sz="4" w:space="0" w:color="000000"/>
              <w:left w:val="single" w:sz="4" w:space="0" w:color="000000"/>
              <w:bottom w:val="single" w:sz="4" w:space="0" w:color="000000"/>
              <w:right w:val="single" w:sz="4" w:space="0" w:color="000000"/>
            </w:tcBorders>
            <w:shd w:color="auto" w:fill="D9D9D9" w:val="clear"/>
          </w:tcPr>
          <w:p>
            <w:pPr>
              <w:pStyle w:val="Default"/>
              <w:spacing w:lineRule="auto" w:line="276"/>
              <w:jc w:val="both"/>
              <w:rPr>
                <w:rFonts w:ascii="Titillium" w:hAnsi="Titillium"/>
              </w:rPr>
            </w:pPr>
            <w:r>
              <w:rPr>
                <w:rFonts w:ascii="Titillium" w:hAnsi="Titillium"/>
                <w:b/>
                <w:bCs/>
                <w:iCs/>
                <w:color w:val="auto"/>
                <w:sz w:val="20"/>
                <w:szCs w:val="20"/>
              </w:rPr>
              <w:t>Rodzaj i zakres usług lub robót wykonywanych przez danego Wykonawcę</w:t>
            </w:r>
          </w:p>
        </w:tc>
      </w:tr>
      <w:tr>
        <w:trPr/>
        <w:tc>
          <w:tcPr>
            <w:tcW w:w="4605" w:type="dxa"/>
            <w:tcBorders>
              <w:top w:val="single" w:sz="4" w:space="0" w:color="000000"/>
              <w:left w:val="single" w:sz="4" w:space="0" w:color="000000"/>
              <w:bottom w:val="single" w:sz="4" w:space="0" w:color="000000"/>
              <w:right w:val="single" w:sz="4" w:space="0" w:color="000000"/>
            </w:tcBorders>
            <w:shd w:color="auto" w:fill="auto" w:val="clear"/>
          </w:tcPr>
          <w:p>
            <w:pPr>
              <w:pStyle w:val="Default"/>
              <w:spacing w:lineRule="auto" w:line="276"/>
              <w:jc w:val="both"/>
              <w:rPr>
                <w:rFonts w:ascii="Titillium" w:hAnsi="Titillium"/>
                <w:b/>
                <w:bCs/>
                <w:color w:val="auto"/>
                <w:sz w:val="20"/>
                <w:szCs w:val="20"/>
              </w:rPr>
            </w:pPr>
            <w:r>
              <w:rPr>
                <w:rFonts w:ascii="Titillium" w:hAnsi="Titillium"/>
                <w:b/>
                <w:bCs/>
                <w:color w:val="auto"/>
                <w:sz w:val="20"/>
                <w:szCs w:val="20"/>
              </w:rPr>
            </w:r>
          </w:p>
          <w:p>
            <w:pPr>
              <w:pStyle w:val="Default"/>
              <w:spacing w:lineRule="auto" w:line="276"/>
              <w:jc w:val="both"/>
              <w:rPr>
                <w:rFonts w:ascii="Titillium" w:hAnsi="Titillium"/>
                <w:b/>
                <w:bCs/>
                <w:color w:val="auto"/>
                <w:sz w:val="20"/>
                <w:szCs w:val="20"/>
              </w:rPr>
            </w:pPr>
            <w:r>
              <w:rPr>
                <w:rFonts w:ascii="Titillium" w:hAnsi="Titillium"/>
                <w:b/>
                <w:bCs/>
                <w:color w:val="auto"/>
                <w:sz w:val="20"/>
                <w:szCs w:val="20"/>
              </w:rPr>
            </w:r>
          </w:p>
        </w:tc>
        <w:tc>
          <w:tcPr>
            <w:tcW w:w="4605" w:type="dxa"/>
            <w:tcBorders>
              <w:top w:val="single" w:sz="4" w:space="0" w:color="000000"/>
              <w:left w:val="single" w:sz="4" w:space="0" w:color="000000"/>
              <w:bottom w:val="single" w:sz="4" w:space="0" w:color="000000"/>
              <w:right w:val="single" w:sz="4" w:space="0" w:color="000000"/>
            </w:tcBorders>
            <w:shd w:color="auto" w:fill="auto" w:val="clear"/>
          </w:tcPr>
          <w:p>
            <w:pPr>
              <w:pStyle w:val="Default"/>
              <w:spacing w:lineRule="auto" w:line="276"/>
              <w:jc w:val="both"/>
              <w:rPr>
                <w:rFonts w:ascii="Titillium" w:hAnsi="Titillium"/>
                <w:b/>
                <w:bCs/>
                <w:color w:val="auto"/>
                <w:sz w:val="20"/>
                <w:szCs w:val="20"/>
              </w:rPr>
            </w:pPr>
            <w:r>
              <w:rPr>
                <w:rFonts w:ascii="Titillium" w:hAnsi="Titillium"/>
                <w:b/>
                <w:bCs/>
                <w:color w:val="auto"/>
                <w:sz w:val="20"/>
                <w:szCs w:val="20"/>
              </w:rPr>
              <w:t>*</w:t>
            </w:r>
          </w:p>
        </w:tc>
      </w:tr>
      <w:tr>
        <w:trPr/>
        <w:tc>
          <w:tcPr>
            <w:tcW w:w="4605" w:type="dxa"/>
            <w:tcBorders>
              <w:top w:val="single" w:sz="4" w:space="0" w:color="000000"/>
              <w:left w:val="single" w:sz="4" w:space="0" w:color="000000"/>
              <w:bottom w:val="single" w:sz="4" w:space="0" w:color="000000"/>
              <w:right w:val="single" w:sz="4" w:space="0" w:color="000000"/>
            </w:tcBorders>
            <w:shd w:color="auto" w:fill="auto" w:val="clear"/>
          </w:tcPr>
          <w:p>
            <w:pPr>
              <w:pStyle w:val="Default"/>
              <w:spacing w:lineRule="auto" w:line="276"/>
              <w:jc w:val="both"/>
              <w:rPr>
                <w:rFonts w:ascii="Titillium" w:hAnsi="Titillium"/>
                <w:b/>
                <w:bCs/>
                <w:color w:val="auto"/>
                <w:sz w:val="20"/>
                <w:szCs w:val="20"/>
              </w:rPr>
            </w:pPr>
            <w:r>
              <w:rPr>
                <w:rFonts w:ascii="Titillium" w:hAnsi="Titillium"/>
                <w:b/>
                <w:bCs/>
                <w:color w:val="auto"/>
                <w:sz w:val="20"/>
                <w:szCs w:val="20"/>
              </w:rPr>
            </w:r>
          </w:p>
        </w:tc>
        <w:tc>
          <w:tcPr>
            <w:tcW w:w="4605" w:type="dxa"/>
            <w:tcBorders>
              <w:top w:val="single" w:sz="4" w:space="0" w:color="000000"/>
              <w:left w:val="single" w:sz="4" w:space="0" w:color="000000"/>
              <w:bottom w:val="single" w:sz="4" w:space="0" w:color="000000"/>
              <w:right w:val="single" w:sz="4" w:space="0" w:color="000000"/>
            </w:tcBorders>
            <w:shd w:color="auto" w:fill="auto" w:val="clear"/>
          </w:tcPr>
          <w:p>
            <w:pPr>
              <w:pStyle w:val="Default"/>
              <w:spacing w:lineRule="auto" w:line="276"/>
              <w:jc w:val="both"/>
              <w:rPr>
                <w:rFonts w:ascii="Titillium" w:hAnsi="Titillium"/>
                <w:b/>
                <w:bCs/>
                <w:color w:val="auto"/>
                <w:sz w:val="20"/>
                <w:szCs w:val="20"/>
              </w:rPr>
            </w:pPr>
            <w:r>
              <w:rPr>
                <w:rFonts w:ascii="Titillium" w:hAnsi="Titillium"/>
                <w:b/>
                <w:bCs/>
                <w:color w:val="auto"/>
                <w:sz w:val="20"/>
                <w:szCs w:val="20"/>
              </w:rPr>
            </w:r>
          </w:p>
          <w:p>
            <w:pPr>
              <w:pStyle w:val="Default"/>
              <w:spacing w:lineRule="auto" w:line="276"/>
              <w:jc w:val="both"/>
              <w:rPr>
                <w:rFonts w:ascii="Titillium" w:hAnsi="Titillium"/>
                <w:b/>
                <w:bCs/>
                <w:color w:val="auto"/>
                <w:sz w:val="20"/>
                <w:szCs w:val="20"/>
              </w:rPr>
            </w:pPr>
            <w:r>
              <w:rPr>
                <w:rFonts w:ascii="Titillium" w:hAnsi="Titillium"/>
                <w:b/>
                <w:bCs/>
                <w:color w:val="auto"/>
                <w:sz w:val="20"/>
                <w:szCs w:val="20"/>
              </w:rPr>
            </w:r>
          </w:p>
        </w:tc>
      </w:tr>
      <w:tr>
        <w:trPr/>
        <w:tc>
          <w:tcPr>
            <w:tcW w:w="4605" w:type="dxa"/>
            <w:tcBorders>
              <w:top w:val="single" w:sz="4" w:space="0" w:color="000000"/>
              <w:left w:val="single" w:sz="4" w:space="0" w:color="000000"/>
              <w:bottom w:val="single" w:sz="4" w:space="0" w:color="000000"/>
              <w:right w:val="single" w:sz="4" w:space="0" w:color="000000"/>
            </w:tcBorders>
            <w:shd w:color="auto" w:fill="auto" w:val="clear"/>
          </w:tcPr>
          <w:p>
            <w:pPr>
              <w:pStyle w:val="Default"/>
              <w:spacing w:lineRule="auto" w:line="276"/>
              <w:jc w:val="both"/>
              <w:rPr>
                <w:rFonts w:ascii="Titillium" w:hAnsi="Titillium"/>
                <w:b/>
                <w:bCs/>
                <w:color w:val="auto"/>
                <w:sz w:val="20"/>
                <w:szCs w:val="20"/>
              </w:rPr>
            </w:pPr>
            <w:r>
              <w:rPr>
                <w:rFonts w:ascii="Titillium" w:hAnsi="Titillium"/>
                <w:b/>
                <w:bCs/>
                <w:color w:val="auto"/>
                <w:sz w:val="20"/>
                <w:szCs w:val="20"/>
              </w:rPr>
            </w:r>
          </w:p>
          <w:p>
            <w:pPr>
              <w:pStyle w:val="Default"/>
              <w:spacing w:lineRule="auto" w:line="276"/>
              <w:jc w:val="both"/>
              <w:rPr>
                <w:rFonts w:ascii="Titillium" w:hAnsi="Titillium"/>
                <w:b/>
                <w:bCs/>
                <w:color w:val="auto"/>
                <w:sz w:val="20"/>
                <w:szCs w:val="20"/>
              </w:rPr>
            </w:pPr>
            <w:r>
              <w:rPr>
                <w:rFonts w:ascii="Titillium" w:hAnsi="Titillium"/>
                <w:b/>
                <w:bCs/>
                <w:color w:val="auto"/>
                <w:sz w:val="20"/>
                <w:szCs w:val="20"/>
              </w:rPr>
            </w:r>
          </w:p>
        </w:tc>
        <w:tc>
          <w:tcPr>
            <w:tcW w:w="4605" w:type="dxa"/>
            <w:tcBorders>
              <w:top w:val="single" w:sz="4" w:space="0" w:color="000000"/>
              <w:left w:val="single" w:sz="4" w:space="0" w:color="000000"/>
              <w:bottom w:val="single" w:sz="4" w:space="0" w:color="000000"/>
              <w:right w:val="single" w:sz="4" w:space="0" w:color="000000"/>
            </w:tcBorders>
            <w:shd w:color="auto" w:fill="auto" w:val="clear"/>
          </w:tcPr>
          <w:p>
            <w:pPr>
              <w:pStyle w:val="Default"/>
              <w:spacing w:lineRule="auto" w:line="276"/>
              <w:jc w:val="both"/>
              <w:rPr>
                <w:rFonts w:ascii="Titillium" w:hAnsi="Titillium"/>
                <w:b/>
                <w:bCs/>
                <w:color w:val="auto"/>
                <w:sz w:val="20"/>
                <w:szCs w:val="20"/>
              </w:rPr>
            </w:pPr>
            <w:r>
              <w:rPr>
                <w:rFonts w:ascii="Titillium" w:hAnsi="Titillium"/>
                <w:b/>
                <w:bCs/>
                <w:color w:val="auto"/>
                <w:sz w:val="20"/>
                <w:szCs w:val="20"/>
              </w:rPr>
            </w:r>
          </w:p>
        </w:tc>
      </w:tr>
    </w:tbl>
    <w:p>
      <w:pPr>
        <w:pStyle w:val="Standard"/>
        <w:widowControl w:val="false"/>
        <w:tabs>
          <w:tab w:val="clear" w:pos="720"/>
          <w:tab w:val="left" w:pos="6521" w:leader="none"/>
        </w:tabs>
        <w:spacing w:lineRule="auto" w:line="276"/>
        <w:jc w:val="both"/>
        <w:rPr>
          <w:rFonts w:ascii="Titillium" w:hAnsi="Titillium" w:eastAsia="Arial" w:cs="Arial"/>
          <w:u w:val="single"/>
        </w:rPr>
      </w:pPr>
      <w:r>
        <w:rPr>
          <w:rFonts w:eastAsia="Arial" w:cs="Arial" w:ascii="Titillium" w:hAnsi="Titillium"/>
          <w:u w:val="single"/>
        </w:rPr>
      </w:r>
    </w:p>
    <w:p>
      <w:pPr>
        <w:pStyle w:val="Standard"/>
        <w:spacing w:lineRule="auto" w:line="276"/>
        <w:jc w:val="both"/>
        <w:rPr>
          <w:rFonts w:ascii="Titillium" w:hAnsi="Titillium"/>
        </w:rPr>
      </w:pPr>
      <w:r>
        <w:rPr>
          <w:rFonts w:ascii="Titillium" w:hAnsi="Titillium"/>
        </w:rPr>
        <w:t>* roboty związane z remontem drogi winien wykonywać wykonawca posiadający doświadczenie.</w:t>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b/>
          <w:bCs/>
        </w:rPr>
      </w:pPr>
      <w:r>
        <w:rPr>
          <w:rFonts w:ascii="Titillium" w:hAnsi="Titillium"/>
          <w:b/>
          <w:bCs/>
        </w:rPr>
      </w:r>
    </w:p>
    <w:p>
      <w:pPr>
        <w:pStyle w:val="Standard"/>
        <w:spacing w:lineRule="auto" w:line="276"/>
        <w:jc w:val="both"/>
        <w:rPr>
          <w:rFonts w:ascii="Titillium" w:hAnsi="Titillium"/>
        </w:rPr>
      </w:pPr>
      <w:r>
        <w:rPr>
          <w:rFonts w:ascii="Titillium" w:hAnsi="Titillium"/>
          <w:b/>
          <w:bCs/>
        </w:rPr>
        <w:t>UWAGA! Podpisujemy kwalifikowanym podpisem elektronicznym albo profilem zaufanym albo podpisem osobistym.</w:t>
      </w:r>
    </w:p>
    <w:sectPr>
      <w:type w:val="continuous"/>
      <w:pgSz w:w="11906" w:h="16838"/>
      <w:pgMar w:left="1583" w:right="1420" w:gutter="0" w:header="708" w:top="765" w:footer="708" w:bottom="765"/>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tillium">
    <w:charset w:val="ee"/>
    <w:family w:val="swiss"/>
    <w:pitch w:val="variable"/>
  </w:font>
  <w:font w:name="Arial">
    <w:charset w:val="ee"/>
    <w:family w:val="swiss"/>
    <w:pitch w:val="variable"/>
  </w:font>
  <w:font w:name="Titillium">
    <w:charset w:val="ee"/>
    <w:family w:val="roman"/>
    <w:pitch w:val="variable"/>
  </w:font>
  <w:font w:name="Times New Roman">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Tms Rmn">
    <w:altName w:val="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ahoma">
    <w:charset w:val="ee"/>
    <w:family w:val="roman"/>
    <w:pitch w:val="variable"/>
  </w:font>
  <w:font w:name="Arial">
    <w:charset w:val="ee"/>
    <w:family w:val="roman"/>
    <w:pitch w:val="variable"/>
  </w:font>
  <w:font w:name="Verdana">
    <w:charset w:val="ee"/>
    <w:family w:val="roman"/>
    <w:pitch w:val="variable"/>
  </w:font>
  <w:font w:name="Univers-PL">
    <w:altName w:val=" 'Times New Roman'"/>
    <w:charset w:val="ee"/>
    <w:family w:val="roman"/>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536"/>
        <w:tab w:val="clear" w:pos="9072"/>
        <w:tab w:val="center" w:pos="4423" w:leader="none"/>
        <w:tab w:val="right" w:pos="8959" w:leader="none"/>
      </w:tabs>
      <w:ind w:left="-113"/>
      <w:jc w:val="center"/>
      <w:rPr/>
    </w:pPr>
    <w:r>
      <w:rPr/>
      <w:fldChar w:fldCharType="begin"/>
    </w:r>
    <w:r>
      <w:rPr/>
      <w:instrText xml:space="preserve"> PAGE </w:instrText>
    </w:r>
    <w:r>
      <w:rPr/>
      <w:fldChar w:fldCharType="separate"/>
    </w:r>
    <w:r>
      <w:rPr/>
      <w:t>5</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left" w:pos="733" w:leader="none"/>
        <w:tab w:val="center" w:pos="4536" w:leader="none"/>
        <w:tab w:val="right" w:pos="9072" w:leader="none"/>
      </w:tabs>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pStyle w:val="Heading1"/>
      <w:numFmt w:val="decimal"/>
      <w:lvlText w:val="%1)"/>
      <w:lvlJc w:val="left"/>
      <w:pPr>
        <w:tabs>
          <w:tab w:val="num" w:pos="0"/>
        </w:tabs>
        <w:ind w:left="432" w:hanging="432"/>
      </w:pPr>
      <w:rPr>
        <w:dstrike w:val="false"/>
        <w:strike w:val="false"/>
        <w:sz w:val="20"/>
        <w:i w:val="false"/>
        <w:b w:val="false"/>
        <w:szCs w:val="20"/>
        <w:iCs w:val="false"/>
        <w:bCs w:val="false"/>
        <w:rFonts w:ascii="Titillium" w:hAnsi="Titillium"/>
      </w:rPr>
    </w:lvl>
    <w:lvl w:ilvl="1">
      <w:start w:val="1"/>
      <w:pStyle w:val="Heading2"/>
      <w:numFmt w:val="decimal"/>
      <w:lvlText w:val="%2)"/>
      <w:lvlJc w:val="left"/>
      <w:pPr>
        <w:tabs>
          <w:tab w:val="num" w:pos="0"/>
        </w:tabs>
        <w:ind w:left="576" w:hanging="576"/>
      </w:pPr>
      <w:rPr>
        <w:dstrike w:val="false"/>
        <w:strike w:val="false"/>
        <w:sz w:val="20"/>
        <w:i w:val="false"/>
        <w:b w:val="false"/>
        <w:szCs w:val="20"/>
        <w:iCs w:val="false"/>
        <w:bCs w:val="false"/>
        <w:rFonts w:ascii="Titillium" w:hAnsi="Titillium"/>
      </w:rPr>
    </w:lvl>
    <w:lvl w:ilvl="2">
      <w:start w:val="1"/>
      <w:numFmt w:val="none"/>
      <w:suff w:val="nothing"/>
      <w:lvlText w:val="%3"/>
      <w:lvlJc w:val="left"/>
      <w:pPr>
        <w:tabs>
          <w:tab w:val="num" w:pos="0"/>
        </w:tabs>
        <w:ind w:left="0" w:hanging="0"/>
      </w:pPr>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1435" w:hanging="249"/>
      </w:pPr>
      <w:rPr>
        <w:sz w:val="22"/>
        <w:szCs w:val="22"/>
        <w:rFonts w:ascii="Titillium" w:hAnsi="Titillium"/>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
    <w:lvl w:ilvl="0">
      <w:start w:val="1"/>
      <w:numFmt w:val="decimal"/>
      <w:lvlText w:val="%1)"/>
      <w:lvlJc w:val="left"/>
      <w:pPr>
        <w:tabs>
          <w:tab w:val="num" w:pos="0"/>
        </w:tabs>
        <w:ind w:left="1440" w:hanging="360"/>
      </w:pPr>
      <w:rPr>
        <w:sz w:val="20"/>
        <w:b w:val="false"/>
        <w:szCs w:val="20"/>
        <w:rFonts w:ascii="Titillium" w:hAnsi="Titillium"/>
      </w:rPr>
    </w:lvl>
    <w:lvl w:ilvl="1">
      <w:start w:val="1"/>
      <w:numFmt w:val="decimal"/>
      <w:lvlText w:val="%2)"/>
      <w:lvlJc w:val="left"/>
      <w:pPr>
        <w:tabs>
          <w:tab w:val="num" w:pos="0"/>
        </w:tabs>
        <w:ind w:left="1440" w:hanging="360"/>
      </w:pPr>
      <w:rPr>
        <w:sz w:val="20"/>
        <w:b w:val="false"/>
        <w:szCs w:val="20"/>
        <w:rFonts w:eastAsia="Verdana"/>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1287" w:hanging="567"/>
      </w:pPr>
      <w:rPr>
        <w:b w:val="false"/>
        <w:bCs w:val="false"/>
        <w:rFonts w:ascii="Titillium" w:hAnsi="Titillium" w:eastAsia="Times-Roman, 'Times New Roman'"/>
        <w:color w:val="000000"/>
      </w:rPr>
    </w:lvl>
    <w:lvl w:ilvl="1">
      <w:start w:val="1"/>
      <w:numFmt w:val="decimal"/>
      <w:lvlText w:val="%2)"/>
      <w:lvlJc w:val="left"/>
      <w:pPr>
        <w:tabs>
          <w:tab w:val="num" w:pos="0"/>
        </w:tabs>
        <w:ind w:left="1647" w:hanging="360"/>
      </w:pPr>
      <w:rPr>
        <w:b w:val="false"/>
        <w:bCs w:val="false"/>
        <w:rFonts w:eastAsia="Times-Roman, 'Times New Roman'"/>
        <w:color w:val="000000"/>
      </w:rPr>
    </w:lvl>
    <w:lvl w:ilvl="2">
      <w:start w:val="0"/>
      <w:numFmt w:val="bullet"/>
      <w:lvlText w:val=""/>
      <w:lvlJc w:val="left"/>
      <w:pPr>
        <w:tabs>
          <w:tab w:val="num" w:pos="0"/>
        </w:tabs>
        <w:ind w:left="1627" w:hanging="0"/>
      </w:pPr>
      <w:rPr>
        <w:rFonts w:ascii="Symbol" w:hAnsi="Symbol" w:cs="Symbol" w:hint="default"/>
        <w:dstrike w:val="false"/>
        <w:strike w:val="false"/>
      </w:rPr>
    </w:lvl>
    <w:lvl w:ilvl="3">
      <w:start w:val="1"/>
      <w:numFmt w:val="decimal"/>
      <w:lvlText w:val="%1.%2.%3.%4"/>
      <w:lvlJc w:val="left"/>
      <w:pPr>
        <w:tabs>
          <w:tab w:val="num" w:pos="0"/>
        </w:tabs>
        <w:ind w:left="1620" w:hanging="0"/>
      </w:pPr>
      <w:rPr/>
    </w:lvl>
    <w:lvl w:ilvl="4">
      <w:start w:val="1"/>
      <w:numFmt w:val="lowerLetter"/>
      <w:lvlText w:val="%5)"/>
      <w:lvlJc w:val="left"/>
      <w:pPr>
        <w:tabs>
          <w:tab w:val="num" w:pos="0"/>
        </w:tabs>
        <w:ind w:left="551" w:firstLine="709"/>
      </w:pPr>
      <w:rPr>
        <w:rFonts w:ascii="Times New Roman" w:hAnsi="Times New Roman" w:cs="Times New Roman"/>
      </w:rPr>
    </w:lvl>
    <w:lvl w:ilvl="5">
      <w:start w:val="1"/>
      <w:numFmt w:val="lowerRoman"/>
      <w:lvlText w:val="%6."/>
      <w:lvlJc w:val="left"/>
      <w:pPr>
        <w:tabs>
          <w:tab w:val="num" w:pos="0"/>
        </w:tabs>
        <w:ind w:left="2138" w:hanging="709"/>
      </w:pPr>
      <w:rPr/>
    </w:lvl>
    <w:lvl w:ilvl="6">
      <w:start w:val="1"/>
      <w:numFmt w:val="lowerRoman"/>
      <w:lvlText w:val="%7."/>
      <w:lvlJc w:val="left"/>
      <w:pPr>
        <w:tabs>
          <w:tab w:val="num" w:pos="0"/>
        </w:tabs>
        <w:ind w:left="2138" w:hanging="709"/>
      </w:pPr>
      <w:rPr/>
    </w:lvl>
    <w:lvl w:ilvl="7">
      <w:start w:val="1"/>
      <w:numFmt w:val="lowerRoman"/>
      <w:lvlText w:val="%8."/>
      <w:lvlJc w:val="left"/>
      <w:pPr>
        <w:tabs>
          <w:tab w:val="num" w:pos="0"/>
        </w:tabs>
        <w:ind w:left="2138" w:hanging="709"/>
      </w:pPr>
      <w:rPr/>
    </w:lvl>
    <w:lvl w:ilvl="8">
      <w:start w:val="1"/>
      <w:numFmt w:val="lowerRoman"/>
      <w:lvlText w:val="%9."/>
      <w:lvlJc w:val="left"/>
      <w:pPr>
        <w:tabs>
          <w:tab w:val="num" w:pos="0"/>
        </w:tabs>
        <w:ind w:left="2138" w:hanging="709"/>
      </w:pPr>
      <w:rPr/>
    </w:lvl>
  </w:abstractNum>
  <w:abstractNum w:abstractNumId="5">
    <w:lvl w:ilvl="0">
      <w:start w:val="1"/>
      <w:numFmt w:val="decimal"/>
      <w:lvlText w:val="%1."/>
      <w:lvlJc w:val="left"/>
      <w:pPr>
        <w:tabs>
          <w:tab w:val="num" w:pos="0"/>
        </w:tabs>
        <w:ind w:left="1400" w:hanging="360"/>
      </w:pPr>
      <w:rPr>
        <w:dstrike w:val="false"/>
        <w:strike w:val="false"/>
        <w:sz w:val="20"/>
        <w:i w:val="false"/>
        <w:b w:val="false"/>
        <w:szCs w:val="20"/>
        <w:iCs w:val="false"/>
        <w:bCs w:val="false"/>
        <w:rFonts w:ascii="Titillium" w:hAnsi="Titillium" w:eastAsia="TimesNewRoman, 'MS Mincho'" w:cs="Times New Roman"/>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
    <w:lvl w:ilvl="0">
      <w:start w:val="1"/>
      <w:numFmt w:val="decimal"/>
      <w:lvlText w:val="%1)"/>
      <w:lvlJc w:val="left"/>
      <w:pPr>
        <w:tabs>
          <w:tab w:val="num" w:pos="0"/>
        </w:tabs>
        <w:ind w:left="340" w:hanging="340"/>
      </w:pPr>
      <w:rPr>
        <w:dstrike w:val="false"/>
        <w:strike w:val="false"/>
        <w:sz w:val="20"/>
        <w:i w:val="false"/>
        <w:b w:val="false"/>
        <w:szCs w:val="20"/>
        <w:iCs w:val="false"/>
        <w:bCs w:val="false"/>
        <w:rFonts w:ascii="Titillium" w:hAnsi="Titillium"/>
      </w:rPr>
    </w:lvl>
    <w:lvl w:ilvl="1">
      <w:start w:val="1"/>
      <w:numFmt w:val="lowerLetter"/>
      <w:lvlText w:val="%2)"/>
      <w:lvlJc w:val="left"/>
      <w:pPr>
        <w:tabs>
          <w:tab w:val="num" w:pos="0"/>
        </w:tabs>
        <w:ind w:left="1440" w:hanging="360"/>
      </w:pPr>
      <w:rPr>
        <w:dstrike w:val="false"/>
        <w:strike w:val="false"/>
        <w:sz w:val="20"/>
        <w:i w:val="false"/>
        <w:b w:val="false"/>
        <w:szCs w:val="20"/>
        <w:iCs w:val="false"/>
        <w:bCs w:val="false"/>
        <w:rFonts w:ascii="Titillium" w:hAnsi="Titillium"/>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sz w:val="20"/>
        <w:szCs w:val="20"/>
        <w:rFonts w:ascii="Times New Roman" w:hAnsi="Times New Roman" w:cs="Times New Roman"/>
      </w:rPr>
    </w:lvl>
    <w:lvl w:ilvl="1">
      <w:start w:val="1"/>
      <w:numFmt w:val="decimal"/>
      <w:lvlText w:val="%2. "/>
      <w:lvlJc w:val="left"/>
      <w:pPr>
        <w:tabs>
          <w:tab w:val="num" w:pos="0"/>
        </w:tabs>
        <w:ind w:left="1420" w:hanging="340"/>
      </w:pPr>
      <w:rPr>
        <w:dstrike w:val="false"/>
        <w:strike w:val="false"/>
        <w:sz w:val="20"/>
        <w:i w:val="false"/>
        <w:u w:val="none"/>
        <w:b w:val="false"/>
        <w:szCs w:val="20"/>
        <w:bCs/>
        <w:rFonts w:ascii="Titillium" w:hAnsi="Titillium" w:cs="Times New Roman"/>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1080" w:hanging="360"/>
      </w:pPr>
      <w:rPr/>
    </w:lvl>
    <w:lvl w:ilvl="1">
      <w:start w:val="2"/>
      <w:numFmt w:val="upperLetter"/>
      <w:lvlText w:val="%2."/>
      <w:lvlJc w:val="left"/>
      <w:pPr>
        <w:tabs>
          <w:tab w:val="num" w:pos="0"/>
        </w:tabs>
        <w:ind w:left="1800" w:hanging="360"/>
      </w:pPr>
      <w:rPr/>
    </w:lvl>
    <w:lvl w:ilvl="2">
      <w:start w:val="1"/>
      <w:numFmt w:val="decimal"/>
      <w:lvlText w:val="%3."/>
      <w:lvlJc w:val="left"/>
      <w:pPr>
        <w:tabs>
          <w:tab w:val="num" w:pos="0"/>
        </w:tabs>
        <w:ind w:left="2700" w:hanging="360"/>
      </w:pPr>
      <w:rPr>
        <w:sz w:val="20"/>
        <w:b w:val="false"/>
        <w:szCs w:val="20"/>
        <w:bCs w:val="false"/>
        <w:rFonts w:ascii="Titillium" w:hAnsi="Titillium"/>
      </w:rPr>
    </w:lvl>
    <w:lvl w:ilvl="3">
      <w:start w:val="1"/>
      <w:numFmt w:val="decimal"/>
      <w:lvlText w:val="%4)"/>
      <w:lvlJc w:val="left"/>
      <w:pPr>
        <w:tabs>
          <w:tab w:val="num" w:pos="0"/>
        </w:tabs>
        <w:ind w:left="3240" w:hanging="360"/>
      </w:pPr>
      <w:rPr>
        <w:dstrike w:val="false"/>
        <w:strike w:val="false"/>
        <w:sz w:val="20"/>
        <w:i w:val="false"/>
        <w:b w:val="false"/>
        <w:szCs w:val="20"/>
        <w:iCs w:val="false"/>
        <w:bCs w:val="false"/>
        <w:rFonts w:ascii="Titillium" w:hAnsi="Titillium"/>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decimal"/>
      <w:lvlText w:val="%8)"/>
      <w:lvlJc w:val="left"/>
      <w:pPr>
        <w:tabs>
          <w:tab w:val="num" w:pos="0"/>
        </w:tabs>
        <w:ind w:left="6120" w:hanging="360"/>
      </w:pPr>
      <w:rPr>
        <w:dstrike w:val="false"/>
        <w:strike w:val="false"/>
        <w:sz w:val="20"/>
        <w:i w:val="false"/>
        <w:b w:val="false"/>
        <w:szCs w:val="20"/>
        <w:iCs w:val="false"/>
        <w:bCs w:val="false"/>
        <w:rFonts w:ascii="Titillium" w:hAnsi="Titillium"/>
      </w:rPr>
    </w:lvl>
    <w:lvl w:ilvl="8">
      <w:start w:val="1"/>
      <w:numFmt w:val="lowerRoman"/>
      <w:lvlText w:val="%9."/>
      <w:lvlJc w:val="right"/>
      <w:pPr>
        <w:tabs>
          <w:tab w:val="num" w:pos="0"/>
        </w:tabs>
        <w:ind w:left="6840" w:hanging="180"/>
      </w:pPr>
      <w:rPr/>
    </w:lvl>
  </w:abstractNum>
  <w:abstractNum w:abstractNumId="9">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lowerLetter"/>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10">
    <w:lvl w:ilvl="0">
      <w:start w:val="1"/>
      <w:numFmt w:val="decimal"/>
      <w:lvlText w:val="%1."/>
      <w:lvlJc w:val="left"/>
      <w:pPr>
        <w:tabs>
          <w:tab w:val="num" w:pos="0"/>
        </w:tabs>
        <w:ind w:left="720" w:hanging="360"/>
      </w:pPr>
      <w:rPr>
        <w:sz w:val="20"/>
        <w:b w:val="false"/>
        <w:szCs w:val="18"/>
        <w:bCs/>
        <w:rFonts w:ascii="Titillium" w:hAnsi="Titillium"/>
      </w:rPr>
    </w:lvl>
    <w:lvl w:ilvl="1">
      <w:start w:val="1"/>
      <w:numFmt w:val="decimal"/>
      <w:lvlText w:val="%2)"/>
      <w:lvlJc w:val="left"/>
      <w:pPr>
        <w:tabs>
          <w:tab w:val="num" w:pos="0"/>
        </w:tabs>
        <w:ind w:left="1080" w:hanging="360"/>
      </w:pPr>
      <w:rPr>
        <w:sz w:val="20"/>
        <w:i w:val="false"/>
        <w:b w:val="false"/>
        <w:szCs w:val="20"/>
        <w:iCs w:val="false"/>
        <w:bCs w:val="false"/>
        <w:rFonts w:ascii="Titillium" w:hAnsi="Titillium"/>
      </w:rPr>
    </w:lvl>
    <w:lvl w:ilvl="2">
      <w:start w:val="1"/>
      <w:numFmt w:val="lowerLetter"/>
      <w:lvlText w:val="%3)"/>
      <w:lvlJc w:val="left"/>
      <w:pPr>
        <w:tabs>
          <w:tab w:val="num" w:pos="0"/>
        </w:tabs>
        <w:ind w:left="1440" w:hanging="360"/>
      </w:pPr>
      <w:rPr>
        <w:sz w:val="22"/>
        <w:b w:val="false"/>
        <w:bCs w:val="false"/>
      </w:rPr>
    </w:lvl>
    <w:lvl w:ilvl="3">
      <w:start w:val="1"/>
      <w:numFmt w:val="decimal"/>
      <w:lvlText w:val="%4)"/>
      <w:lvlJc w:val="left"/>
      <w:pPr>
        <w:tabs>
          <w:tab w:val="num" w:pos="0"/>
        </w:tabs>
        <w:ind w:left="1800" w:hanging="360"/>
      </w:pPr>
      <w:rPr>
        <w:sz w:val="20"/>
        <w:b w:val="false"/>
        <w:szCs w:val="20"/>
        <w:bCs w:val="false"/>
        <w:rFonts w:ascii="Titillium" w:hAnsi="Titillium"/>
      </w:rPr>
    </w:lvl>
    <w:lvl w:ilvl="4">
      <w:start w:val="1"/>
      <w:numFmt w:val="decimal"/>
      <w:lvlText w:val="%5)"/>
      <w:lvlJc w:val="left"/>
      <w:pPr>
        <w:tabs>
          <w:tab w:val="num" w:pos="0"/>
        </w:tabs>
        <w:ind w:left="2160" w:hanging="360"/>
      </w:pPr>
      <w:rPr>
        <w:sz w:val="22"/>
      </w:rPr>
    </w:lvl>
    <w:lvl w:ilvl="5">
      <w:start w:val="1"/>
      <w:numFmt w:val="decimal"/>
      <w:lvlText w:val="%6)"/>
      <w:lvlJc w:val="left"/>
      <w:pPr>
        <w:tabs>
          <w:tab w:val="num" w:pos="0"/>
        </w:tabs>
        <w:ind w:left="2520" w:hanging="360"/>
      </w:pPr>
      <w:rPr>
        <w:sz w:val="22"/>
      </w:rPr>
    </w:lvl>
    <w:lvl w:ilvl="6">
      <w:start w:val="1"/>
      <w:numFmt w:val="decimal"/>
      <w:lvlText w:val="%7)"/>
      <w:lvlJc w:val="left"/>
      <w:pPr>
        <w:tabs>
          <w:tab w:val="num" w:pos="0"/>
        </w:tabs>
        <w:ind w:left="2880" w:hanging="360"/>
      </w:pPr>
      <w:rPr>
        <w:sz w:val="22"/>
      </w:rPr>
    </w:lvl>
    <w:lvl w:ilvl="7">
      <w:start w:val="1"/>
      <w:numFmt w:val="decimal"/>
      <w:lvlText w:val="%8)"/>
      <w:lvlJc w:val="left"/>
      <w:pPr>
        <w:tabs>
          <w:tab w:val="num" w:pos="0"/>
        </w:tabs>
        <w:ind w:left="3240" w:hanging="360"/>
      </w:pPr>
      <w:rPr>
        <w:sz w:val="22"/>
      </w:rPr>
    </w:lvl>
    <w:lvl w:ilvl="8">
      <w:start w:val="1"/>
      <w:numFmt w:val="decimal"/>
      <w:lvlText w:val="%9)"/>
      <w:lvlJc w:val="left"/>
      <w:pPr>
        <w:tabs>
          <w:tab w:val="num" w:pos="0"/>
        </w:tabs>
        <w:ind w:left="3600" w:hanging="360"/>
      </w:pPr>
      <w:rPr>
        <w:sz w:val="22"/>
      </w:rPr>
    </w:lvl>
  </w:abstractNum>
  <w:abstractNum w:abstractNumId="11">
    <w:lvl w:ilvl="0">
      <w:start w:val="1"/>
      <w:numFmt w:val="decimal"/>
      <w:lvlText w:val="%1."/>
      <w:lvlJc w:val="left"/>
      <w:pPr>
        <w:tabs>
          <w:tab w:val="num" w:pos="0"/>
        </w:tabs>
        <w:ind w:left="720" w:hanging="360"/>
      </w:pPr>
      <w:rPr>
        <w:rFonts w:ascii="Titillium" w:hAnsi="Titillium"/>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lowerLetter"/>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1287" w:hanging="360"/>
      </w:pPr>
      <w:rPr>
        <w:sz w:val="20"/>
        <w:szCs w:val="20"/>
        <w:rFonts w:ascii="Titillium" w:hAnsi="Titillium"/>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14">
    <w:lvl w:ilvl="0">
      <w:start w:val="2"/>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lowerLetter"/>
      <w:lvlText w:val=" %2)"/>
      <w:lvlJc w:val="left"/>
      <w:pPr>
        <w:tabs>
          <w:tab w:val="num" w:pos="0"/>
        </w:tabs>
        <w:ind w:left="1080" w:hanging="360"/>
      </w:pPr>
      <w:rPr/>
    </w:lvl>
    <w:lvl w:ilvl="2">
      <w:start w:val="0"/>
      <w:numFmt w:val="bullet"/>
      <w:lvlText w:val=""/>
      <w:lvlJc w:val="left"/>
      <w:pPr>
        <w:tabs>
          <w:tab w:val="num" w:pos="0"/>
        </w:tabs>
        <w:ind w:left="1440" w:hanging="360"/>
      </w:pPr>
      <w:rPr>
        <w:rFonts w:ascii="Symbol" w:hAnsi="Symbol" w:cs="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Symbol" w:hAnsi="Symbol" w:cs="Symbol" w:hint="default"/>
      </w:rPr>
    </w:lvl>
    <w:lvl w:ilvl="5">
      <w:start w:val="0"/>
      <w:numFmt w:val="bullet"/>
      <w:lvlText w:val=""/>
      <w:lvlJc w:val="left"/>
      <w:pPr>
        <w:tabs>
          <w:tab w:val="num" w:pos="0"/>
        </w:tabs>
        <w:ind w:left="2520" w:hanging="360"/>
      </w:pPr>
      <w:rPr>
        <w:rFonts w:ascii="Symbol" w:hAnsi="Symbol" w:cs="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Symbol" w:hAnsi="Symbol" w:cs="Symbol" w:hint="default"/>
      </w:rPr>
    </w:lvl>
    <w:lvl w:ilvl="8">
      <w:start w:val="0"/>
      <w:numFmt w:val="bullet"/>
      <w:lvlText w:val=""/>
      <w:lvlJc w:val="left"/>
      <w:pPr>
        <w:tabs>
          <w:tab w:val="num" w:pos="0"/>
        </w:tabs>
        <w:ind w:left="3600" w:hanging="360"/>
      </w:pPr>
      <w:rPr>
        <w:rFonts w:ascii="Symbol" w:hAnsi="Symbol" w:cs="Symbol" w:hint="default"/>
      </w:rPr>
    </w:lvl>
  </w:abstractNum>
  <w:abstractNum w:abstractNumId="15">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lowerLetter"/>
      <w:lvlText w:val=" %2)"/>
      <w:lvlJc w:val="left"/>
      <w:pPr>
        <w:tabs>
          <w:tab w:val="num" w:pos="0"/>
        </w:tabs>
        <w:ind w:left="1080" w:hanging="360"/>
      </w:pPr>
      <w:rPr/>
    </w:lvl>
    <w:lvl w:ilvl="2">
      <w:start w:val="0"/>
      <w:numFmt w:val="bullet"/>
      <w:lvlText w:val=""/>
      <w:lvlJc w:val="left"/>
      <w:pPr>
        <w:tabs>
          <w:tab w:val="num" w:pos="0"/>
        </w:tabs>
        <w:ind w:left="1440" w:hanging="360"/>
      </w:pPr>
      <w:rPr>
        <w:rFonts w:ascii="Symbol" w:hAnsi="Symbol" w:cs="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Symbol" w:hAnsi="Symbol" w:cs="Symbol" w:hint="default"/>
      </w:rPr>
    </w:lvl>
    <w:lvl w:ilvl="5">
      <w:start w:val="0"/>
      <w:numFmt w:val="bullet"/>
      <w:lvlText w:val=""/>
      <w:lvlJc w:val="left"/>
      <w:pPr>
        <w:tabs>
          <w:tab w:val="num" w:pos="0"/>
        </w:tabs>
        <w:ind w:left="2520" w:hanging="360"/>
      </w:pPr>
      <w:rPr>
        <w:rFonts w:ascii="Symbol" w:hAnsi="Symbol" w:cs="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Symbol" w:hAnsi="Symbol" w:cs="Symbol" w:hint="default"/>
      </w:rPr>
    </w:lvl>
    <w:lvl w:ilvl="8">
      <w:start w:val="0"/>
      <w:numFmt w:val="bullet"/>
      <w:lvlText w:val=""/>
      <w:lvlJc w:val="left"/>
      <w:pPr>
        <w:tabs>
          <w:tab w:val="num" w:pos="0"/>
        </w:tabs>
        <w:ind w:left="3600" w:hanging="360"/>
      </w:pPr>
      <w:rPr>
        <w:rFonts w:ascii="Symbol" w:hAnsi="Symbol" w:cs="Symbol" w:hint="default"/>
      </w:rPr>
    </w:lvl>
  </w:abstractNum>
  <w:abstractNum w:abstractNumId="16">
    <w:lvl w:ilvl="0">
      <w:start w:val="1"/>
      <w:numFmt w:val="lowerLetter"/>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17">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18">
    <w:lvl w:ilvl="0">
      <w:start w:val="1"/>
      <w:numFmt w:val="lowerLetter"/>
      <w:lvlText w:val="%1)"/>
      <w:lvlJc w:val="left"/>
      <w:pPr>
        <w:tabs>
          <w:tab w:val="num" w:pos="0"/>
        </w:tabs>
        <w:ind w:left="1854" w:hanging="360"/>
      </w:pPr>
      <w:rPr>
        <w:rFonts w:ascii="Titillium" w:hAnsi="Titillium"/>
      </w:rPr>
    </w:lvl>
    <w:lvl w:ilvl="1">
      <w:start w:val="1"/>
      <w:numFmt w:val="lowerLetter"/>
      <w:lvlText w:val="%2."/>
      <w:lvlJc w:val="left"/>
      <w:pPr>
        <w:tabs>
          <w:tab w:val="num" w:pos="0"/>
        </w:tabs>
        <w:ind w:left="2574" w:hanging="360"/>
      </w:pPr>
      <w:rPr/>
    </w:lvl>
    <w:lvl w:ilvl="2">
      <w:start w:val="1"/>
      <w:numFmt w:val="lowerRoman"/>
      <w:lvlText w:val="%3."/>
      <w:lvlJc w:val="right"/>
      <w:pPr>
        <w:tabs>
          <w:tab w:val="num" w:pos="0"/>
        </w:tabs>
        <w:ind w:left="3294" w:hanging="180"/>
      </w:pPr>
      <w:rPr/>
    </w:lvl>
    <w:lvl w:ilvl="3">
      <w:start w:val="1"/>
      <w:numFmt w:val="decimal"/>
      <w:lvlText w:val="%4."/>
      <w:lvlJc w:val="left"/>
      <w:pPr>
        <w:tabs>
          <w:tab w:val="num" w:pos="0"/>
        </w:tabs>
        <w:ind w:left="4014" w:hanging="360"/>
      </w:pPr>
      <w:rPr/>
    </w:lvl>
    <w:lvl w:ilvl="4">
      <w:start w:val="1"/>
      <w:numFmt w:val="lowerLetter"/>
      <w:lvlText w:val="%5."/>
      <w:lvlJc w:val="left"/>
      <w:pPr>
        <w:tabs>
          <w:tab w:val="num" w:pos="0"/>
        </w:tabs>
        <w:ind w:left="4734" w:hanging="360"/>
      </w:pPr>
      <w:rPr/>
    </w:lvl>
    <w:lvl w:ilvl="5">
      <w:start w:val="1"/>
      <w:numFmt w:val="lowerRoman"/>
      <w:lvlText w:val="%6."/>
      <w:lvlJc w:val="right"/>
      <w:pPr>
        <w:tabs>
          <w:tab w:val="num" w:pos="0"/>
        </w:tabs>
        <w:ind w:left="5454" w:hanging="180"/>
      </w:pPr>
      <w:rPr/>
    </w:lvl>
    <w:lvl w:ilvl="6">
      <w:start w:val="1"/>
      <w:numFmt w:val="decimal"/>
      <w:lvlText w:val="%7."/>
      <w:lvlJc w:val="left"/>
      <w:pPr>
        <w:tabs>
          <w:tab w:val="num" w:pos="0"/>
        </w:tabs>
        <w:ind w:left="6174" w:hanging="360"/>
      </w:pPr>
      <w:rPr/>
    </w:lvl>
    <w:lvl w:ilvl="7">
      <w:start w:val="1"/>
      <w:numFmt w:val="lowerLetter"/>
      <w:lvlText w:val="%8."/>
      <w:lvlJc w:val="left"/>
      <w:pPr>
        <w:tabs>
          <w:tab w:val="num" w:pos="0"/>
        </w:tabs>
        <w:ind w:left="6894" w:hanging="360"/>
      </w:pPr>
      <w:rPr/>
    </w:lvl>
    <w:lvl w:ilvl="8">
      <w:start w:val="1"/>
      <w:numFmt w:val="lowerRoman"/>
      <w:lvlText w:val="%9."/>
      <w:lvlJc w:val="right"/>
      <w:pPr>
        <w:tabs>
          <w:tab w:val="num" w:pos="0"/>
        </w:tabs>
        <w:ind w:left="7614" w:hanging="180"/>
      </w:pPr>
      <w:rPr/>
    </w:lvl>
  </w:abstractNum>
  <w:abstractNum w:abstractNumId="19">
    <w:lvl w:ilvl="0">
      <w:start w:val="1"/>
      <w:numFmt w:val="decimal"/>
      <w:lvlText w:val="%1."/>
      <w:lvlJc w:val="left"/>
      <w:pPr>
        <w:tabs>
          <w:tab w:val="num" w:pos="0"/>
        </w:tabs>
        <w:ind w:left="720" w:hanging="360"/>
      </w:pPr>
      <w:rPr>
        <w:sz w:val="20"/>
        <w:b w:val="false"/>
        <w:szCs w:val="20"/>
        <w:bCs w:val="false"/>
        <w:rFonts w:ascii="Titillium" w:hAnsi="Titillium"/>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21">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22">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23">
    <w:lvl w:ilvl="0">
      <w:start w:val="1"/>
      <w:numFmt w:val="lowerLetter"/>
      <w:lvlText w:val="%1)"/>
      <w:lvlJc w:val="left"/>
      <w:pPr>
        <w:tabs>
          <w:tab w:val="num" w:pos="0"/>
        </w:tabs>
        <w:ind w:left="1440" w:hanging="360"/>
      </w:pPr>
      <w:rPr>
        <w:rFonts w:ascii="Titillium" w:hAnsi="Titillium"/>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24">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25">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26">
    <w:lvl w:ilvl="0">
      <w:start w:val="1"/>
      <w:numFmt w:val="lowerLetter"/>
      <w:lvlText w:val="%1)"/>
      <w:lvlJc w:val="left"/>
      <w:pPr>
        <w:tabs>
          <w:tab w:val="num" w:pos="0"/>
        </w:tabs>
        <w:ind w:left="1854" w:hanging="360"/>
      </w:pPr>
      <w:rPr/>
    </w:lvl>
    <w:lvl w:ilvl="1">
      <w:start w:val="1"/>
      <w:numFmt w:val="lowerLetter"/>
      <w:lvlText w:val="%2."/>
      <w:lvlJc w:val="left"/>
      <w:pPr>
        <w:tabs>
          <w:tab w:val="num" w:pos="0"/>
        </w:tabs>
        <w:ind w:left="2574" w:hanging="360"/>
      </w:pPr>
      <w:rPr/>
    </w:lvl>
    <w:lvl w:ilvl="2">
      <w:start w:val="1"/>
      <w:numFmt w:val="lowerRoman"/>
      <w:lvlText w:val="%3."/>
      <w:lvlJc w:val="right"/>
      <w:pPr>
        <w:tabs>
          <w:tab w:val="num" w:pos="0"/>
        </w:tabs>
        <w:ind w:left="3294" w:hanging="180"/>
      </w:pPr>
      <w:rPr/>
    </w:lvl>
    <w:lvl w:ilvl="3">
      <w:start w:val="1"/>
      <w:numFmt w:val="decimal"/>
      <w:lvlText w:val="%4."/>
      <w:lvlJc w:val="left"/>
      <w:pPr>
        <w:tabs>
          <w:tab w:val="num" w:pos="0"/>
        </w:tabs>
        <w:ind w:left="4014" w:hanging="360"/>
      </w:pPr>
      <w:rPr/>
    </w:lvl>
    <w:lvl w:ilvl="4">
      <w:start w:val="1"/>
      <w:numFmt w:val="lowerLetter"/>
      <w:lvlText w:val="%5."/>
      <w:lvlJc w:val="left"/>
      <w:pPr>
        <w:tabs>
          <w:tab w:val="num" w:pos="0"/>
        </w:tabs>
        <w:ind w:left="4734" w:hanging="360"/>
      </w:pPr>
      <w:rPr/>
    </w:lvl>
    <w:lvl w:ilvl="5">
      <w:start w:val="1"/>
      <w:numFmt w:val="lowerRoman"/>
      <w:lvlText w:val="%6."/>
      <w:lvlJc w:val="right"/>
      <w:pPr>
        <w:tabs>
          <w:tab w:val="num" w:pos="0"/>
        </w:tabs>
        <w:ind w:left="5454" w:hanging="180"/>
      </w:pPr>
      <w:rPr/>
    </w:lvl>
    <w:lvl w:ilvl="6">
      <w:start w:val="1"/>
      <w:numFmt w:val="decimal"/>
      <w:lvlText w:val="%7."/>
      <w:lvlJc w:val="left"/>
      <w:pPr>
        <w:tabs>
          <w:tab w:val="num" w:pos="0"/>
        </w:tabs>
        <w:ind w:left="6174" w:hanging="360"/>
      </w:pPr>
      <w:rPr/>
    </w:lvl>
    <w:lvl w:ilvl="7">
      <w:start w:val="1"/>
      <w:numFmt w:val="lowerLetter"/>
      <w:lvlText w:val="%8."/>
      <w:lvlJc w:val="left"/>
      <w:pPr>
        <w:tabs>
          <w:tab w:val="num" w:pos="0"/>
        </w:tabs>
        <w:ind w:left="6894" w:hanging="360"/>
      </w:pPr>
      <w:rPr/>
    </w:lvl>
    <w:lvl w:ilvl="8">
      <w:start w:val="1"/>
      <w:numFmt w:val="lowerRoman"/>
      <w:lvlText w:val="%9."/>
      <w:lvlJc w:val="right"/>
      <w:pPr>
        <w:tabs>
          <w:tab w:val="num" w:pos="0"/>
        </w:tabs>
        <w:ind w:left="7614" w:hanging="180"/>
      </w:pPr>
      <w:rPr/>
    </w:lvl>
  </w:abstractNum>
  <w:abstractNum w:abstractNumId="27">
    <w:lvl w:ilvl="0">
      <w:start w:val="1"/>
      <w:numFmt w:val="lowerLetter"/>
      <w:lvlText w:val="%1)"/>
      <w:lvlJc w:val="left"/>
      <w:pPr>
        <w:tabs>
          <w:tab w:val="num" w:pos="0"/>
        </w:tabs>
        <w:ind w:left="663" w:hanging="360"/>
      </w:pPr>
      <w:rPr/>
    </w:lvl>
    <w:lvl w:ilvl="1">
      <w:start w:val="1"/>
      <w:numFmt w:val="lowerLetter"/>
      <w:lvlText w:val="%2."/>
      <w:lvlJc w:val="left"/>
      <w:pPr>
        <w:tabs>
          <w:tab w:val="num" w:pos="0"/>
        </w:tabs>
        <w:ind w:left="1383" w:hanging="360"/>
      </w:pPr>
      <w:rPr/>
    </w:lvl>
    <w:lvl w:ilvl="2">
      <w:start w:val="1"/>
      <w:numFmt w:val="lowerRoman"/>
      <w:lvlText w:val="%3."/>
      <w:lvlJc w:val="right"/>
      <w:pPr>
        <w:tabs>
          <w:tab w:val="num" w:pos="0"/>
        </w:tabs>
        <w:ind w:left="2103" w:hanging="180"/>
      </w:pPr>
      <w:rPr/>
    </w:lvl>
    <w:lvl w:ilvl="3">
      <w:start w:val="1"/>
      <w:numFmt w:val="decimal"/>
      <w:lvlText w:val="%4."/>
      <w:lvlJc w:val="left"/>
      <w:pPr>
        <w:tabs>
          <w:tab w:val="num" w:pos="0"/>
        </w:tabs>
        <w:ind w:left="2823" w:hanging="360"/>
      </w:pPr>
      <w:rPr/>
    </w:lvl>
    <w:lvl w:ilvl="4">
      <w:start w:val="1"/>
      <w:numFmt w:val="lowerLetter"/>
      <w:lvlText w:val="%5."/>
      <w:lvlJc w:val="left"/>
      <w:pPr>
        <w:tabs>
          <w:tab w:val="num" w:pos="0"/>
        </w:tabs>
        <w:ind w:left="3543" w:hanging="360"/>
      </w:pPr>
      <w:rPr/>
    </w:lvl>
    <w:lvl w:ilvl="5">
      <w:start w:val="1"/>
      <w:numFmt w:val="lowerRoman"/>
      <w:lvlText w:val="%6."/>
      <w:lvlJc w:val="right"/>
      <w:pPr>
        <w:tabs>
          <w:tab w:val="num" w:pos="0"/>
        </w:tabs>
        <w:ind w:left="4263" w:hanging="180"/>
      </w:pPr>
      <w:rPr/>
    </w:lvl>
    <w:lvl w:ilvl="6">
      <w:start w:val="1"/>
      <w:numFmt w:val="decimal"/>
      <w:lvlText w:val="%7."/>
      <w:lvlJc w:val="left"/>
      <w:pPr>
        <w:tabs>
          <w:tab w:val="num" w:pos="0"/>
        </w:tabs>
        <w:ind w:left="4983" w:hanging="360"/>
      </w:pPr>
      <w:rPr/>
    </w:lvl>
    <w:lvl w:ilvl="7">
      <w:start w:val="1"/>
      <w:numFmt w:val="lowerLetter"/>
      <w:lvlText w:val="%8."/>
      <w:lvlJc w:val="left"/>
      <w:pPr>
        <w:tabs>
          <w:tab w:val="num" w:pos="0"/>
        </w:tabs>
        <w:ind w:left="5703" w:hanging="360"/>
      </w:pPr>
      <w:rPr/>
    </w:lvl>
    <w:lvl w:ilvl="8">
      <w:start w:val="1"/>
      <w:numFmt w:val="lowerRoman"/>
      <w:lvlText w:val="%9."/>
      <w:lvlJc w:val="right"/>
      <w:pPr>
        <w:tabs>
          <w:tab w:val="num" w:pos="0"/>
        </w:tabs>
        <w:ind w:left="6423" w:hanging="180"/>
      </w:pPr>
      <w:rPr/>
    </w:lvl>
  </w:abstractNum>
  <w:abstractNum w:abstractNumId="28">
    <w:lvl w:ilvl="0">
      <w:start w:val="1"/>
      <w:numFmt w:val="decimal"/>
      <w:lvlText w:val="%1)"/>
      <w:lvlJc w:val="left"/>
      <w:pPr>
        <w:tabs>
          <w:tab w:val="num" w:pos="0"/>
        </w:tabs>
        <w:ind w:left="1400" w:hanging="360"/>
      </w:pPr>
      <w:rPr>
        <w:sz w:val="20"/>
        <w:b w:val="false"/>
        <w:szCs w:val="20"/>
        <w:rFonts w:ascii="Titillium" w:hAnsi="Titillium"/>
        <w:color w:val="000000"/>
        <w:lang w:eastAsia="pl-PL"/>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9">
    <w:lvl w:ilvl="0">
      <w:start w:val="1"/>
      <w:numFmt w:val="lowerLetter"/>
      <w:lvlText w:val="%1)"/>
      <w:lvlJc w:val="left"/>
      <w:pPr>
        <w:tabs>
          <w:tab w:val="num" w:pos="0"/>
        </w:tabs>
        <w:ind w:left="720" w:hanging="360"/>
      </w:pPr>
      <w:rPr>
        <w:dstrike w:val="false"/>
        <w:strike w:val="false"/>
        <w:sz w:val="20"/>
        <w:i w:val="false"/>
        <w:b w:val="false"/>
        <w:szCs w:val="20"/>
        <w:iCs w:val="false"/>
        <w:bCs w:val="false"/>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30">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31">
    <w:lvl w:ilvl="0">
      <w:start w:val="1"/>
      <w:numFmt w:val="decimal"/>
      <w:lvlText w:val="%1)"/>
      <w:lvlJc w:val="left"/>
      <w:pPr>
        <w:tabs>
          <w:tab w:val="num" w:pos="0"/>
        </w:tabs>
        <w:ind w:left="1435" w:hanging="249"/>
      </w:pPr>
      <w:rPr>
        <w:dstrike w:val="false"/>
        <w:strike w:val="false"/>
        <w:sz w:val="20"/>
        <w:i w:val="false"/>
        <w:b w:val="false"/>
        <w:szCs w:val="20"/>
        <w:iCs w:val="false"/>
        <w:bCs w:val="false"/>
        <w:rFonts w:ascii="Titillium" w:hAnsi="Titillium" w:eastAsia="Titillium" w:cs="Titillium"/>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2">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33">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4">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35">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6">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37">
    <w:lvl w:ilvl="0">
      <w:start w:val="1"/>
      <w:numFmt w:val="decimal"/>
      <w:lvlText w:val="%1)"/>
      <w:lvlJc w:val="left"/>
      <w:pPr>
        <w:tabs>
          <w:tab w:val="num" w:pos="0"/>
        </w:tabs>
        <w:ind w:left="720" w:hanging="360"/>
      </w:pPr>
      <w:rPr>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0"/>
      <w:numFmt w:val="bullet"/>
      <w:lvlText w:val=""/>
      <w:lvlJc w:val="left"/>
      <w:pPr>
        <w:tabs>
          <w:tab w:val="num" w:pos="0"/>
        </w:tabs>
        <w:ind w:left="1440" w:hanging="360"/>
      </w:pPr>
      <w:rPr>
        <w:rFonts w:ascii="Symbol" w:hAnsi="Symbol" w:cs="Symbol" w:hint="default"/>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663"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40">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41">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42">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43">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44">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5">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6">
    <w:lvl w:ilvl="0">
      <w:start w:val="1"/>
      <w:numFmt w:val="upperRoman"/>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720"/>
        </w:tabs>
        <w:ind w:left="720" w:hanging="360"/>
      </w:pPr>
      <w:rPr>
        <w:dstrike w:val="false"/>
        <w:strike w:val="false"/>
        <w:sz w:val="20"/>
        <w:i w:val="false"/>
        <w:b w:val="false"/>
        <w:szCs w:val="20"/>
        <w:iCs w:val="false"/>
        <w:bCs w:val="false"/>
        <w:rFonts w:ascii="Titillium" w:hAnsi="Titillium" w:eastAsia="Titillium" w:cs="Titillium"/>
      </w:rPr>
    </w:lvl>
    <w:lvl w:ilvl="1">
      <w:start w:val="1"/>
      <w:numFmt w:val="decimal"/>
      <w:lvlText w:val="%2)"/>
      <w:lvlJc w:val="left"/>
      <w:pPr>
        <w:tabs>
          <w:tab w:val="num" w:pos="1080"/>
        </w:tabs>
        <w:ind w:left="1080" w:hanging="360"/>
      </w:pPr>
      <w:rPr>
        <w:dstrike w:val="false"/>
        <w:strike w:val="false"/>
        <w:sz w:val="20"/>
        <w:i w:val="false"/>
        <w:b w:val="false"/>
        <w:szCs w:val="20"/>
        <w:iCs w:val="false"/>
        <w:bCs w:val="false"/>
        <w:rFonts w:ascii="Titillium" w:hAnsi="Titillium" w:eastAsia="Titillium" w:cs="Titillium"/>
      </w:rPr>
    </w:lvl>
    <w:lvl w:ilvl="2">
      <w:start w:val="1"/>
      <w:numFmt w:val="decimal"/>
      <w:lvlText w:val="%3)"/>
      <w:lvlJc w:val="left"/>
      <w:pPr>
        <w:tabs>
          <w:tab w:val="num" w:pos="1440"/>
        </w:tabs>
        <w:ind w:left="1440" w:hanging="360"/>
      </w:pPr>
      <w:rPr>
        <w:dstrike w:val="false"/>
        <w:strike w:val="false"/>
        <w:sz w:val="20"/>
        <w:i w:val="false"/>
        <w:b w:val="false"/>
        <w:szCs w:val="20"/>
        <w:iCs w:val="false"/>
        <w:bCs w:val="false"/>
        <w:rFonts w:ascii="Titillium" w:hAnsi="Titillium" w:eastAsia="Titillium" w:cs="Titillium"/>
      </w:rPr>
    </w:lvl>
    <w:lvl w:ilvl="3">
      <w:start w:val="1"/>
      <w:numFmt w:val="decimal"/>
      <w:lvlText w:val="%4)"/>
      <w:lvlJc w:val="left"/>
      <w:pPr>
        <w:tabs>
          <w:tab w:val="num" w:pos="1800"/>
        </w:tabs>
        <w:ind w:left="1800" w:hanging="360"/>
      </w:pPr>
      <w:rPr>
        <w:dstrike w:val="false"/>
        <w:strike w:val="false"/>
        <w:sz w:val="20"/>
        <w:i w:val="false"/>
        <w:b w:val="false"/>
        <w:szCs w:val="20"/>
        <w:iCs w:val="false"/>
        <w:bCs w:val="false"/>
        <w:rFonts w:ascii="Titillium" w:hAnsi="Titillium" w:eastAsia="Titillium" w:cs="Titillium"/>
      </w:rPr>
    </w:lvl>
    <w:lvl w:ilvl="4">
      <w:start w:val="1"/>
      <w:numFmt w:val="decimal"/>
      <w:lvlText w:val="%5)"/>
      <w:lvlJc w:val="left"/>
      <w:pPr>
        <w:tabs>
          <w:tab w:val="num" w:pos="2160"/>
        </w:tabs>
        <w:ind w:left="2160" w:hanging="360"/>
      </w:pPr>
      <w:rPr>
        <w:dstrike w:val="false"/>
        <w:strike w:val="false"/>
        <w:sz w:val="20"/>
        <w:i w:val="false"/>
        <w:b w:val="false"/>
        <w:szCs w:val="20"/>
        <w:iCs w:val="false"/>
        <w:bCs w:val="false"/>
        <w:rFonts w:ascii="Titillium" w:hAnsi="Titillium" w:eastAsia="Titillium" w:cs="Titillium"/>
      </w:rPr>
    </w:lvl>
    <w:lvl w:ilvl="5">
      <w:start w:val="1"/>
      <w:numFmt w:val="decimal"/>
      <w:lvlText w:val="%6)"/>
      <w:lvlJc w:val="left"/>
      <w:pPr>
        <w:tabs>
          <w:tab w:val="num" w:pos="2520"/>
        </w:tabs>
        <w:ind w:left="2520" w:hanging="360"/>
      </w:pPr>
      <w:rPr>
        <w:dstrike w:val="false"/>
        <w:strike w:val="false"/>
        <w:sz w:val="20"/>
        <w:i w:val="false"/>
        <w:b w:val="false"/>
        <w:szCs w:val="20"/>
        <w:iCs w:val="false"/>
        <w:bCs w:val="false"/>
        <w:rFonts w:ascii="Titillium" w:hAnsi="Titillium" w:eastAsia="Titillium" w:cs="Titillium"/>
      </w:rPr>
    </w:lvl>
    <w:lvl w:ilvl="6">
      <w:start w:val="1"/>
      <w:numFmt w:val="decimal"/>
      <w:lvlText w:val="%7)"/>
      <w:lvlJc w:val="left"/>
      <w:pPr>
        <w:tabs>
          <w:tab w:val="num" w:pos="2880"/>
        </w:tabs>
        <w:ind w:left="2880" w:hanging="360"/>
      </w:pPr>
      <w:rPr>
        <w:dstrike w:val="false"/>
        <w:strike w:val="false"/>
        <w:sz w:val="20"/>
        <w:i w:val="false"/>
        <w:b w:val="false"/>
        <w:szCs w:val="20"/>
        <w:iCs w:val="false"/>
        <w:bCs w:val="false"/>
        <w:rFonts w:ascii="Titillium" w:hAnsi="Titillium" w:eastAsia="Titillium" w:cs="Titillium"/>
      </w:rPr>
    </w:lvl>
    <w:lvl w:ilvl="7">
      <w:start w:val="1"/>
      <w:numFmt w:val="decimal"/>
      <w:lvlText w:val="%8)"/>
      <w:lvlJc w:val="left"/>
      <w:pPr>
        <w:tabs>
          <w:tab w:val="num" w:pos="3240"/>
        </w:tabs>
        <w:ind w:left="3240" w:hanging="360"/>
      </w:pPr>
      <w:rPr>
        <w:dstrike w:val="false"/>
        <w:strike w:val="false"/>
        <w:sz w:val="20"/>
        <w:i w:val="false"/>
        <w:b w:val="false"/>
        <w:szCs w:val="20"/>
        <w:iCs w:val="false"/>
        <w:bCs w:val="false"/>
        <w:rFonts w:ascii="Titillium" w:hAnsi="Titillium" w:eastAsia="Titillium" w:cs="Titillium"/>
      </w:rPr>
    </w:lvl>
    <w:lvl w:ilvl="8">
      <w:start w:val="1"/>
      <w:numFmt w:val="decimal"/>
      <w:lvlText w:val="%9)"/>
      <w:lvlJc w:val="left"/>
      <w:pPr>
        <w:tabs>
          <w:tab w:val="num" w:pos="3600"/>
        </w:tabs>
        <w:ind w:left="3600" w:hanging="360"/>
      </w:pPr>
      <w:rPr>
        <w:dstrike w:val="false"/>
        <w:strike w:val="false"/>
        <w:sz w:val="20"/>
        <w:i w:val="false"/>
        <w:b w:val="false"/>
        <w:szCs w:val="20"/>
        <w:iCs w:val="false"/>
        <w:bCs w:val="false"/>
        <w:rFonts w:ascii="Titillium" w:hAnsi="Titillium" w:eastAsia="Titillium" w:cs="Titillium"/>
      </w:rPr>
    </w:lvl>
  </w:abstractNum>
  <w:abstractNum w:abstractNumId="48">
    <w:lvl w:ilvl="0">
      <w:start w:val="1"/>
      <w:numFmt w:val="decimal"/>
      <w:lvlText w:val="%1."/>
      <w:lvlJc w:val="left"/>
      <w:pPr>
        <w:tabs>
          <w:tab w:val="num" w:pos="0"/>
        </w:tabs>
        <w:ind w:left="0" w:hanging="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440" w:hanging="360"/>
      </w:pPr>
      <w:rPr>
        <w:dstrike w:val="false"/>
        <w:strike w:val="false"/>
        <w:sz w:val="20"/>
        <w:szCs w:val="20"/>
        <w:rFonts w:ascii="Titillium" w:hAnsi="Titillium" w:eastAsia="Times New Roman" w:cs="Times New Roman"/>
      </w:rPr>
    </w:lvl>
    <w:lvl w:ilvl="2">
      <w:start w:val="1"/>
      <w:numFmt w:val="lowerLetter"/>
      <w:lvlText w:val="%3)"/>
      <w:lvlJc w:val="left"/>
      <w:pPr>
        <w:tabs>
          <w:tab w:val="num" w:pos="0"/>
        </w:tabs>
        <w:ind w:left="2340" w:hanging="360"/>
      </w:pPr>
      <w:rPr>
        <w:dstrike w:val="false"/>
        <w:strike w:val="false"/>
        <w:sz w:val="20"/>
        <w:szCs w:val="20"/>
        <w:rFonts w:ascii="Titillium" w:hAnsi="Titillium" w:eastAsia="Times New Roman" w:cs="Times New Roman"/>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9"/>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0"/>
      <w:numFmt w:val="bullet"/>
      <w:lvlText w:val=""/>
      <w:lvlJc w:val="left"/>
      <w:pPr>
        <w:tabs>
          <w:tab w:val="num" w:pos="0"/>
        </w:tabs>
        <w:ind w:left="1800" w:hanging="360"/>
      </w:pPr>
      <w:rPr>
        <w:rFonts w:ascii="Symbol" w:hAnsi="Symbol" w:cs="Symbol" w:hint="default"/>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lowerLetter"/>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lvl>
  </w:abstractNum>
  <w:abstractNum w:abstractNumId="50">
    <w:lvl w:ilvl="0">
      <w:start w:val="9"/>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0"/>
      <w:numFmt w:val="bullet"/>
      <w:lvlText w:val=""/>
      <w:lvlJc w:val="left"/>
      <w:pPr>
        <w:tabs>
          <w:tab w:val="num" w:pos="0"/>
        </w:tabs>
        <w:ind w:left="1800" w:hanging="360"/>
      </w:pPr>
      <w:rPr>
        <w:rFonts w:ascii="Symbol" w:hAnsi="Symbol" w:cs="Symbol" w:hint="default"/>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lowerLetter"/>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lvl>
  </w:abstractNum>
  <w:abstractNum w:abstractNumId="51">
    <w:lvl w:ilvl="0">
      <w:start w:val="9"/>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0"/>
      <w:numFmt w:val="bullet"/>
      <w:lvlText w:val=""/>
      <w:lvlJc w:val="left"/>
      <w:pPr>
        <w:tabs>
          <w:tab w:val="num" w:pos="0"/>
        </w:tabs>
        <w:ind w:left="1800" w:hanging="360"/>
      </w:pPr>
      <w:rPr>
        <w:rFonts w:ascii="Symbol" w:hAnsi="Symbol" w:cs="Symbol" w:hint="default"/>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lowerLetter"/>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lvl>
  </w:abstractNum>
  <w:abstractNum w:abstractNumId="52">
    <w:lvl w:ilvl="0">
      <w:start w:val="9"/>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0"/>
      <w:numFmt w:val="bullet"/>
      <w:lvlText w:val=""/>
      <w:lvlJc w:val="left"/>
      <w:pPr>
        <w:tabs>
          <w:tab w:val="num" w:pos="0"/>
        </w:tabs>
        <w:ind w:left="1800" w:hanging="360"/>
      </w:pPr>
      <w:rPr>
        <w:rFonts w:ascii="Symbol" w:hAnsi="Symbol" w:cs="Symbol" w:hint="default"/>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lowerLetter"/>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lvl>
  </w:abstractNum>
  <w:abstractNum w:abstractNumId="53">
    <w:lvl w:ilvl="0">
      <w:start w:val="9"/>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0"/>
      <w:numFmt w:val="bullet"/>
      <w:lvlText w:val=""/>
      <w:lvlJc w:val="left"/>
      <w:pPr>
        <w:tabs>
          <w:tab w:val="num" w:pos="0"/>
        </w:tabs>
        <w:ind w:left="1800" w:hanging="360"/>
      </w:pPr>
      <w:rPr>
        <w:rFonts w:ascii="Symbol" w:hAnsi="Symbol" w:cs="Symbol" w:hint="default"/>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lowerLetter"/>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lvl>
  </w:abstractNum>
  <w:abstractNum w:abstractNumId="54">
    <w:lvl w:ilvl="0">
      <w:start w:val="9"/>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0"/>
      <w:numFmt w:val="bullet"/>
      <w:lvlText w:val=""/>
      <w:lvlJc w:val="left"/>
      <w:pPr>
        <w:tabs>
          <w:tab w:val="num" w:pos="0"/>
        </w:tabs>
        <w:ind w:left="1800" w:hanging="360"/>
      </w:pPr>
      <w:rPr>
        <w:rFonts w:ascii="Symbol" w:hAnsi="Symbol" w:cs="Symbol" w:hint="default"/>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lowerLetter"/>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lvl>
  </w:abstractNum>
  <w:abstractNum w:abstractNumId="55">
    <w:lvl w:ilvl="0">
      <w:start w:val="9"/>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0"/>
      <w:numFmt w:val="bullet"/>
      <w:lvlText w:val=""/>
      <w:lvlJc w:val="left"/>
      <w:pPr>
        <w:tabs>
          <w:tab w:val="num" w:pos="0"/>
        </w:tabs>
        <w:ind w:left="1800" w:hanging="360"/>
      </w:pPr>
      <w:rPr>
        <w:rFonts w:ascii="Symbol" w:hAnsi="Symbol" w:cs="Symbol" w:hint="default"/>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lowerLetter"/>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lvl>
  </w:abstractNum>
  <w:abstractNum w:abstractNumId="56">
    <w:lvl w:ilvl="0">
      <w:start w:val="9"/>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0"/>
      <w:numFmt w:val="bullet"/>
      <w:lvlText w:val=""/>
      <w:lvlJc w:val="left"/>
      <w:pPr>
        <w:tabs>
          <w:tab w:val="num" w:pos="0"/>
        </w:tabs>
        <w:ind w:left="1800" w:hanging="360"/>
      </w:pPr>
      <w:rPr>
        <w:rFonts w:ascii="Symbol" w:hAnsi="Symbol" w:cs="Symbol" w:hint="default"/>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lowerLetter"/>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lvl>
  </w:abstractNum>
  <w:abstractNum w:abstractNumId="57">
    <w:lvl w:ilvl="0">
      <w:start w:val="1"/>
      <w:numFmt w:val="decimal"/>
      <w:lvlText w:val="%1)"/>
      <w:lvlJc w:val="left"/>
      <w:pPr>
        <w:tabs>
          <w:tab w:val="num" w:pos="0"/>
        </w:tabs>
        <w:ind w:left="288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58">
    <w:lvl w:ilvl="0">
      <w:start w:val="1"/>
      <w:numFmt w:val="decimal"/>
      <w:lvlText w:val="%1)"/>
      <w:lvlJc w:val="left"/>
      <w:pPr>
        <w:tabs>
          <w:tab w:val="num" w:pos="0"/>
        </w:tabs>
        <w:ind w:left="288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59">
    <w:lvl w:ilvl="0">
      <w:start w:val="1"/>
      <w:numFmt w:val="decimal"/>
      <w:lvlText w:val="%1)"/>
      <w:lvlJc w:val="left"/>
      <w:pPr>
        <w:tabs>
          <w:tab w:val="num" w:pos="0"/>
        </w:tabs>
        <w:ind w:left="288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0">
    <w:lvl w:ilvl="0">
      <w:start w:val="1"/>
      <w:numFmt w:val="decimal"/>
      <w:lvlText w:val="%1)"/>
      <w:lvlJc w:val="left"/>
      <w:pPr>
        <w:tabs>
          <w:tab w:val="num" w:pos="0"/>
        </w:tabs>
        <w:ind w:left="288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1">
    <w:lvl w:ilvl="0">
      <w:start w:val="1"/>
      <w:numFmt w:val="decimal"/>
      <w:lvlText w:val="%1)"/>
      <w:lvlJc w:val="left"/>
      <w:pPr>
        <w:tabs>
          <w:tab w:val="num" w:pos="0"/>
        </w:tabs>
        <w:ind w:left="288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2">
    <w:lvl w:ilvl="0">
      <w:start w:val="1"/>
      <w:numFmt w:val="decimal"/>
      <w:lvlText w:val="%1)"/>
      <w:lvlJc w:val="left"/>
      <w:pPr>
        <w:tabs>
          <w:tab w:val="num" w:pos="0"/>
        </w:tabs>
        <w:ind w:left="288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3">
    <w:lvl w:ilvl="0">
      <w:start w:val="1"/>
      <w:numFmt w:val="decimal"/>
      <w:lvlText w:val="%1)"/>
      <w:lvlJc w:val="left"/>
      <w:pPr>
        <w:tabs>
          <w:tab w:val="num" w:pos="0"/>
        </w:tabs>
        <w:ind w:left="288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4">
    <w:lvl w:ilvl="0">
      <w:start w:val="1"/>
      <w:numFmt w:val="decimal"/>
      <w:lvlText w:val="%1)"/>
      <w:lvlJc w:val="left"/>
      <w:pPr>
        <w:tabs>
          <w:tab w:val="num" w:pos="0"/>
        </w:tabs>
        <w:ind w:left="288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5">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66">
    <w:lvl w:ilvl="0">
      <w:start w:val="1"/>
      <w:numFmt w:val="decimal"/>
      <w:lvlText w:val="%1."/>
      <w:lvlJc w:val="left"/>
      <w:pPr>
        <w:tabs>
          <w:tab w:val="num" w:pos="0"/>
        </w:tabs>
        <w:ind w:left="1435" w:hanging="249"/>
      </w:pPr>
      <w:rPr>
        <w:sz w:val="22"/>
        <w:szCs w:val="22"/>
        <w:rFonts w:ascii="Titillium" w:hAnsi="Titillium"/>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7">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8">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9">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0">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1">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2">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3">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4">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5">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6">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7">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8">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9">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0">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1">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2">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3">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4">
    <w:lvl w:ilvl="0">
      <w:start w:val="1"/>
      <w:numFmt w:val="decimal"/>
      <w:lvlText w:val="%1."/>
      <w:lvlJc w:val="left"/>
      <w:pPr>
        <w:tabs>
          <w:tab w:val="num" w:pos="0"/>
        </w:tabs>
        <w:ind w:left="720" w:hanging="360"/>
      </w:pPr>
      <w:rPr>
        <w:dstrike w:val="false"/>
        <w:strike w:val="false"/>
        <w:sz w:val="20"/>
        <w:i w:val="false"/>
        <w:u w:val="none"/>
        <w:b w:val="false"/>
        <w:szCs w:val="20"/>
        <w:rFonts w:ascii="Titillium" w:hAnsi="Titillium" w:cs="Times New Roman"/>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5">
    <w:lvl w:ilvl="0">
      <w:start w:val="1"/>
      <w:numFmt w:val="decimal"/>
      <w:lvlText w:val="%1."/>
      <w:lvlJc w:val="left"/>
      <w:pPr>
        <w:tabs>
          <w:tab w:val="num" w:pos="0"/>
        </w:tabs>
        <w:ind w:left="720" w:hanging="360"/>
      </w:pPr>
      <w:rPr>
        <w:dstrike w:val="false"/>
        <w:strike w:val="false"/>
        <w:sz w:val="20"/>
        <w:i w:val="false"/>
        <w:u w:val="none"/>
        <w:b w:val="false"/>
        <w:szCs w:val="20"/>
        <w:rFonts w:ascii="Titillium" w:hAnsi="Titillium" w:cs="Times New Roman"/>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6">
    <w:lvl w:ilvl="0">
      <w:start w:val="1"/>
      <w:numFmt w:val="decimal"/>
      <w:lvlText w:val="%1."/>
      <w:lvlJc w:val="left"/>
      <w:pPr>
        <w:tabs>
          <w:tab w:val="num" w:pos="0"/>
        </w:tabs>
        <w:ind w:left="720" w:hanging="360"/>
      </w:pPr>
      <w:rPr>
        <w:dstrike w:val="false"/>
        <w:strike w:val="false"/>
        <w:sz w:val="20"/>
        <w:i w:val="false"/>
        <w:u w:val="none"/>
        <w:b w:val="false"/>
        <w:szCs w:val="20"/>
        <w:rFonts w:ascii="Titillium" w:hAnsi="Titillium" w:cs="Times New Roman"/>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7">
    <w:lvl w:ilvl="0">
      <w:start w:val="1"/>
      <w:numFmt w:val="decimal"/>
      <w:lvlText w:val="%1."/>
      <w:lvlJc w:val="left"/>
      <w:pPr>
        <w:tabs>
          <w:tab w:val="num" w:pos="0"/>
        </w:tabs>
        <w:ind w:left="720" w:hanging="360"/>
      </w:pPr>
      <w:rPr>
        <w:dstrike w:val="false"/>
        <w:strike w:val="false"/>
        <w:sz w:val="20"/>
        <w:i w:val="false"/>
        <w:u w:val="none"/>
        <w:b w:val="false"/>
        <w:szCs w:val="20"/>
        <w:rFonts w:ascii="Titillium" w:hAnsi="Titillium" w:cs="Times New Roman"/>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8">
    <w:lvl w:ilvl="0">
      <w:start w:val="1"/>
      <w:numFmt w:val="decimal"/>
      <w:lvlText w:val="%1."/>
      <w:lvlJc w:val="left"/>
      <w:pPr>
        <w:tabs>
          <w:tab w:val="num" w:pos="0"/>
        </w:tabs>
        <w:ind w:left="720" w:hanging="360"/>
      </w:pPr>
      <w:rPr>
        <w:dstrike w:val="false"/>
        <w:strike w:val="false"/>
        <w:sz w:val="20"/>
        <w:i w:val="false"/>
        <w:u w:val="none"/>
        <w:b w:val="false"/>
        <w:szCs w:val="20"/>
        <w:rFonts w:ascii="Titillium" w:hAnsi="Titillium" w:cs="Times New Roman"/>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9">
    <w:lvl w:ilvl="0">
      <w:start w:val="1"/>
      <w:numFmt w:val="decimal"/>
      <w:lvlText w:val="%1."/>
      <w:lvlJc w:val="left"/>
      <w:pPr>
        <w:tabs>
          <w:tab w:val="num" w:pos="0"/>
        </w:tabs>
        <w:ind w:left="720" w:hanging="360"/>
      </w:pPr>
      <w:rPr>
        <w:dstrike w:val="false"/>
        <w:strike w:val="false"/>
        <w:sz w:val="20"/>
        <w:i w:val="false"/>
        <w:u w:val="none"/>
        <w:b w:val="false"/>
        <w:szCs w:val="20"/>
        <w:rFonts w:ascii="Titillium" w:hAnsi="Titillium" w:cs="Times New Roman"/>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90">
    <w:lvl w:ilvl="0">
      <w:start w:val="1"/>
      <w:numFmt w:val="decimal"/>
      <w:lvlText w:val="%1."/>
      <w:lvlJc w:val="left"/>
      <w:pPr>
        <w:tabs>
          <w:tab w:val="num" w:pos="0"/>
        </w:tabs>
        <w:ind w:left="720" w:hanging="360"/>
      </w:pPr>
      <w:rPr>
        <w:dstrike w:val="false"/>
        <w:strike w:val="false"/>
        <w:sz w:val="20"/>
        <w:i w:val="false"/>
        <w:u w:val="none"/>
        <w:b w:val="false"/>
        <w:szCs w:val="20"/>
        <w:rFonts w:ascii="Titillium" w:hAnsi="Titillium" w:cs="Times New Roman"/>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91">
    <w:lvl w:ilvl="0">
      <w:start w:val="1"/>
      <w:numFmt w:val="decimal"/>
      <w:lvlText w:val="%1."/>
      <w:lvlJc w:val="left"/>
      <w:pPr>
        <w:tabs>
          <w:tab w:val="num" w:pos="0"/>
        </w:tabs>
        <w:ind w:left="720" w:hanging="360"/>
      </w:pPr>
      <w:rPr>
        <w:dstrike w:val="false"/>
        <w:strike w:val="false"/>
        <w:sz w:val="20"/>
        <w:i w:val="false"/>
        <w:u w:val="none"/>
        <w:b w:val="false"/>
        <w:szCs w:val="20"/>
        <w:rFonts w:ascii="Titillium" w:hAnsi="Titillium" w:cs="Times New Roman"/>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92">
    <w:lvl w:ilvl="0">
      <w:start w:val="1"/>
      <w:numFmt w:val="decimal"/>
      <w:lvlText w:val="%1."/>
      <w:lvlJc w:val="left"/>
      <w:pPr>
        <w:tabs>
          <w:tab w:val="num" w:pos="0"/>
        </w:tabs>
        <w:ind w:left="720" w:hanging="360"/>
      </w:pPr>
      <w:rPr>
        <w:sz w:val="20"/>
        <w:b w:val="false"/>
        <w:szCs w:val="20"/>
        <w:bCs w:val="false"/>
        <w:rFonts w:ascii="Titillium" w:hAnsi="Titillium" w:cs="Times New Roman"/>
      </w:rPr>
    </w:lvl>
    <w:lvl w:ilvl="1">
      <w:start w:val="1"/>
      <w:numFmt w:val="decimal"/>
      <w:lvlText w:val="%2. "/>
      <w:lvlJc w:val="left"/>
      <w:pPr>
        <w:tabs>
          <w:tab w:val="num" w:pos="0"/>
        </w:tabs>
        <w:ind w:left="1420" w:hanging="340"/>
      </w:pPr>
      <w:rPr>
        <w:dstrike w:val="false"/>
        <w:strike w:val="false"/>
        <w:sz w:val="20"/>
        <w:i w:val="false"/>
        <w:u w:val="none"/>
        <w:b w:val="false"/>
        <w:szCs w:val="20"/>
        <w:rFonts w:ascii="Times New Roman" w:hAnsi="Times New Roman" w:cs="Times New Roman"/>
      </w:rPr>
    </w:lvl>
    <w:lvl w:ilvl="2">
      <w:start w:val="1"/>
      <w:numFmt w:val="lowerRoman"/>
      <w:lvlText w:val="%3."/>
      <w:lvlJc w:val="lef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lef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left"/>
      <w:pPr>
        <w:tabs>
          <w:tab w:val="num" w:pos="0"/>
        </w:tabs>
        <w:ind w:left="6480" w:hanging="180"/>
      </w:pPr>
      <w:rPr/>
    </w:lvl>
  </w:abstractNum>
  <w:abstractNum w:abstractNumId="93">
    <w:lvl w:ilvl="0">
      <w:start w:val="1"/>
      <w:numFmt w:val="decimal"/>
      <w:lvlText w:val="%1."/>
      <w:lvlJc w:val="left"/>
      <w:pPr>
        <w:tabs>
          <w:tab w:val="num" w:pos="0"/>
        </w:tabs>
        <w:ind w:left="720" w:hanging="360"/>
      </w:pPr>
      <w:rPr>
        <w:sz w:val="20"/>
        <w:b w:val="false"/>
        <w:szCs w:val="20"/>
        <w:bCs w:val="false"/>
        <w:rFonts w:ascii="Titillium" w:hAnsi="Titillium" w:cs="Times New Roman"/>
      </w:rPr>
    </w:lvl>
    <w:lvl w:ilvl="1">
      <w:start w:val="1"/>
      <w:numFmt w:val="decimal"/>
      <w:lvlText w:val="%2. "/>
      <w:lvlJc w:val="left"/>
      <w:pPr>
        <w:tabs>
          <w:tab w:val="num" w:pos="0"/>
        </w:tabs>
        <w:ind w:left="1420" w:hanging="340"/>
      </w:pPr>
      <w:rPr>
        <w:dstrike w:val="false"/>
        <w:strike w:val="false"/>
        <w:sz w:val="20"/>
        <w:i w:val="false"/>
        <w:u w:val="none"/>
        <w:b w:val="false"/>
        <w:szCs w:val="20"/>
        <w:rFonts w:ascii="Times New Roman" w:hAnsi="Times New Roman" w:cs="Times New Roman"/>
      </w:rPr>
    </w:lvl>
    <w:lvl w:ilvl="2">
      <w:start w:val="1"/>
      <w:numFmt w:val="lowerRoman"/>
      <w:lvlText w:val="%3."/>
      <w:lvlJc w:val="lef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lef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left"/>
      <w:pPr>
        <w:tabs>
          <w:tab w:val="num" w:pos="0"/>
        </w:tabs>
        <w:ind w:left="6480" w:hanging="180"/>
      </w:pPr>
      <w:rPr/>
    </w:lvl>
  </w:abstractNum>
  <w:abstractNum w:abstractNumId="94">
    <w:lvl w:ilvl="0">
      <w:start w:val="1"/>
      <w:numFmt w:val="decimal"/>
      <w:lvlText w:val="%1."/>
      <w:lvlJc w:val="left"/>
      <w:pPr>
        <w:tabs>
          <w:tab w:val="num" w:pos="0"/>
        </w:tabs>
        <w:ind w:left="720" w:hanging="360"/>
      </w:pPr>
      <w:rPr>
        <w:sz w:val="20"/>
        <w:b w:val="false"/>
        <w:szCs w:val="20"/>
        <w:bCs w:val="false"/>
        <w:rFonts w:ascii="Titillium" w:hAnsi="Titillium" w:cs="Times New Roman"/>
      </w:rPr>
    </w:lvl>
    <w:lvl w:ilvl="1">
      <w:start w:val="1"/>
      <w:numFmt w:val="decimal"/>
      <w:lvlText w:val="%2. "/>
      <w:lvlJc w:val="left"/>
      <w:pPr>
        <w:tabs>
          <w:tab w:val="num" w:pos="0"/>
        </w:tabs>
        <w:ind w:left="1420" w:hanging="340"/>
      </w:pPr>
      <w:rPr>
        <w:dstrike w:val="false"/>
        <w:strike w:val="false"/>
        <w:sz w:val="20"/>
        <w:i w:val="false"/>
        <w:u w:val="none"/>
        <w:b w:val="false"/>
        <w:szCs w:val="20"/>
        <w:rFonts w:ascii="Times New Roman" w:hAnsi="Times New Roman" w:cs="Times New Roman"/>
      </w:rPr>
    </w:lvl>
    <w:lvl w:ilvl="2">
      <w:start w:val="1"/>
      <w:numFmt w:val="lowerRoman"/>
      <w:lvlText w:val="%3."/>
      <w:lvlJc w:val="lef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lef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left"/>
      <w:pPr>
        <w:tabs>
          <w:tab w:val="num" w:pos="0"/>
        </w:tabs>
        <w:ind w:left="6480" w:hanging="180"/>
      </w:pPr>
      <w:rPr/>
    </w:lvl>
  </w:abstractNum>
  <w:abstractNum w:abstractNumId="95">
    <w:lvl w:ilvl="0">
      <w:start w:val="1"/>
      <w:numFmt w:val="decimal"/>
      <w:lvlText w:val="%1."/>
      <w:lvlJc w:val="left"/>
      <w:pPr>
        <w:tabs>
          <w:tab w:val="num" w:pos="0"/>
        </w:tabs>
        <w:ind w:left="720" w:hanging="360"/>
      </w:pPr>
      <w:rPr>
        <w:sz w:val="20"/>
        <w:b w:val="false"/>
        <w:szCs w:val="20"/>
        <w:bCs w:val="false"/>
        <w:rFonts w:ascii="Titillium" w:hAnsi="Titillium" w:cs="Times New Roman"/>
      </w:rPr>
    </w:lvl>
    <w:lvl w:ilvl="1">
      <w:start w:val="1"/>
      <w:numFmt w:val="decimal"/>
      <w:lvlText w:val="%2. "/>
      <w:lvlJc w:val="left"/>
      <w:pPr>
        <w:tabs>
          <w:tab w:val="num" w:pos="0"/>
        </w:tabs>
        <w:ind w:left="1420" w:hanging="340"/>
      </w:pPr>
      <w:rPr>
        <w:dstrike w:val="false"/>
        <w:strike w:val="false"/>
        <w:sz w:val="20"/>
        <w:i w:val="false"/>
        <w:u w:val="none"/>
        <w:b w:val="false"/>
        <w:szCs w:val="20"/>
        <w:rFonts w:ascii="Times New Roman" w:hAnsi="Times New Roman" w:cs="Times New Roman"/>
      </w:rPr>
    </w:lvl>
    <w:lvl w:ilvl="2">
      <w:start w:val="1"/>
      <w:numFmt w:val="lowerRoman"/>
      <w:lvlText w:val="%3."/>
      <w:lvlJc w:val="lef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lef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left"/>
      <w:pPr>
        <w:tabs>
          <w:tab w:val="num" w:pos="0"/>
        </w:tabs>
        <w:ind w:left="6480" w:hanging="180"/>
      </w:pPr>
      <w:rPr/>
    </w:lvl>
  </w:abstractNum>
  <w:abstractNum w:abstractNumId="96">
    <w:lvl w:ilvl="0">
      <w:start w:val="1"/>
      <w:numFmt w:val="decimal"/>
      <w:lvlText w:val="%1."/>
      <w:lvlJc w:val="left"/>
      <w:pPr>
        <w:tabs>
          <w:tab w:val="num" w:pos="0"/>
        </w:tabs>
        <w:ind w:left="720" w:hanging="360"/>
      </w:pPr>
      <w:rPr>
        <w:sz w:val="20"/>
        <w:b w:val="false"/>
        <w:szCs w:val="20"/>
        <w:bCs w:val="false"/>
        <w:rFonts w:ascii="Titillium" w:hAnsi="Titillium" w:cs="Times New Roman"/>
      </w:rPr>
    </w:lvl>
    <w:lvl w:ilvl="1">
      <w:start w:val="1"/>
      <w:numFmt w:val="decimal"/>
      <w:lvlText w:val="%2. "/>
      <w:lvlJc w:val="left"/>
      <w:pPr>
        <w:tabs>
          <w:tab w:val="num" w:pos="0"/>
        </w:tabs>
        <w:ind w:left="1420" w:hanging="340"/>
      </w:pPr>
      <w:rPr>
        <w:dstrike w:val="false"/>
        <w:strike w:val="false"/>
        <w:sz w:val="20"/>
        <w:i w:val="false"/>
        <w:u w:val="none"/>
        <w:b w:val="false"/>
        <w:szCs w:val="20"/>
        <w:rFonts w:ascii="Times New Roman" w:hAnsi="Times New Roman" w:cs="Times New Roman"/>
      </w:rPr>
    </w:lvl>
    <w:lvl w:ilvl="2">
      <w:start w:val="1"/>
      <w:numFmt w:val="lowerRoman"/>
      <w:lvlText w:val="%3."/>
      <w:lvlJc w:val="lef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lef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left"/>
      <w:pPr>
        <w:tabs>
          <w:tab w:val="num" w:pos="0"/>
        </w:tabs>
        <w:ind w:left="6480" w:hanging="180"/>
      </w:pPr>
      <w:rPr/>
    </w:lvl>
  </w:abstractNum>
  <w:abstractNum w:abstractNumId="97">
    <w:lvl w:ilvl="0">
      <w:start w:val="1"/>
      <w:numFmt w:val="decimal"/>
      <w:lvlText w:val="%1."/>
      <w:lvlJc w:val="left"/>
      <w:pPr>
        <w:tabs>
          <w:tab w:val="num" w:pos="0"/>
        </w:tabs>
        <w:ind w:left="0" w:hanging="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440" w:hanging="360"/>
      </w:pPr>
      <w:rPr>
        <w:dstrike w:val="false"/>
        <w:strike w:val="false"/>
        <w:sz w:val="20"/>
        <w:szCs w:val="20"/>
        <w:rFonts w:ascii="Titillium" w:hAnsi="Titillium" w:eastAsia="Times New Roman" w:cs="Times New Roman"/>
      </w:rPr>
    </w:lvl>
    <w:lvl w:ilvl="2">
      <w:start w:val="1"/>
      <w:numFmt w:val="lowerLetter"/>
      <w:lvlText w:val="%3)"/>
      <w:lvlJc w:val="left"/>
      <w:pPr>
        <w:tabs>
          <w:tab w:val="num" w:pos="0"/>
        </w:tabs>
        <w:ind w:left="2340" w:hanging="360"/>
      </w:pPr>
      <w:rPr>
        <w:dstrike w:val="false"/>
        <w:strike w:val="false"/>
        <w:sz w:val="20"/>
        <w:szCs w:val="20"/>
        <w:rFonts w:ascii="Titillium" w:hAnsi="Titillium" w:eastAsia="Times New Roman" w:cs="Times New Roman"/>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0" w:hanging="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440" w:hanging="360"/>
      </w:pPr>
      <w:rPr>
        <w:dstrike w:val="false"/>
        <w:strike w:val="false"/>
        <w:sz w:val="20"/>
        <w:szCs w:val="20"/>
        <w:rFonts w:ascii="Titillium" w:hAnsi="Titillium" w:eastAsia="Times New Roman" w:cs="Times New Roman"/>
      </w:rPr>
    </w:lvl>
    <w:lvl w:ilvl="2">
      <w:start w:val="1"/>
      <w:numFmt w:val="lowerLetter"/>
      <w:lvlText w:val="%3)"/>
      <w:lvlJc w:val="left"/>
      <w:pPr>
        <w:tabs>
          <w:tab w:val="num" w:pos="0"/>
        </w:tabs>
        <w:ind w:left="2340" w:hanging="360"/>
      </w:pPr>
      <w:rPr>
        <w:dstrike w:val="false"/>
        <w:strike w:val="false"/>
        <w:sz w:val="20"/>
        <w:szCs w:val="20"/>
        <w:rFonts w:ascii="Titillium" w:hAnsi="Titillium" w:eastAsia="Times New Roman" w:cs="Times New Roman"/>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0" w:hanging="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440" w:hanging="360"/>
      </w:pPr>
      <w:rPr>
        <w:dstrike w:val="false"/>
        <w:strike w:val="false"/>
        <w:sz w:val="20"/>
        <w:szCs w:val="20"/>
        <w:rFonts w:ascii="Titillium" w:hAnsi="Titillium" w:eastAsia="Times New Roman" w:cs="Times New Roman"/>
      </w:rPr>
    </w:lvl>
    <w:lvl w:ilvl="2">
      <w:start w:val="1"/>
      <w:numFmt w:val="lowerLetter"/>
      <w:lvlText w:val="%3)"/>
      <w:lvlJc w:val="left"/>
      <w:pPr>
        <w:tabs>
          <w:tab w:val="num" w:pos="0"/>
        </w:tabs>
        <w:ind w:left="2340" w:hanging="360"/>
      </w:pPr>
      <w:rPr>
        <w:dstrike w:val="false"/>
        <w:strike w:val="false"/>
        <w:sz w:val="20"/>
        <w:szCs w:val="20"/>
        <w:rFonts w:ascii="Titillium" w:hAnsi="Titillium" w:eastAsia="Times New Roman" w:cs="Times New Roman"/>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0" w:hanging="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440" w:hanging="360"/>
      </w:pPr>
      <w:rPr>
        <w:dstrike w:val="false"/>
        <w:strike w:val="false"/>
        <w:sz w:val="20"/>
        <w:szCs w:val="20"/>
        <w:rFonts w:ascii="Titillium" w:hAnsi="Titillium" w:eastAsia="Times New Roman" w:cs="Times New Roman"/>
      </w:rPr>
    </w:lvl>
    <w:lvl w:ilvl="2">
      <w:start w:val="1"/>
      <w:numFmt w:val="lowerLetter"/>
      <w:lvlText w:val="%3)"/>
      <w:lvlJc w:val="left"/>
      <w:pPr>
        <w:tabs>
          <w:tab w:val="num" w:pos="0"/>
        </w:tabs>
        <w:ind w:left="2340" w:hanging="360"/>
      </w:pPr>
      <w:rPr>
        <w:dstrike w:val="false"/>
        <w:strike w:val="false"/>
        <w:sz w:val="20"/>
        <w:szCs w:val="20"/>
        <w:rFonts w:ascii="Titillium" w:hAnsi="Titillium" w:eastAsia="Times New Roman" w:cs="Times New Roman"/>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0" w:hanging="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440" w:hanging="360"/>
      </w:pPr>
      <w:rPr>
        <w:dstrike w:val="false"/>
        <w:strike w:val="false"/>
        <w:sz w:val="20"/>
        <w:szCs w:val="20"/>
        <w:rFonts w:ascii="Titillium" w:hAnsi="Titillium" w:eastAsia="Times New Roman" w:cs="Times New Roman"/>
      </w:rPr>
    </w:lvl>
    <w:lvl w:ilvl="2">
      <w:start w:val="1"/>
      <w:numFmt w:val="lowerLetter"/>
      <w:lvlText w:val="%3)"/>
      <w:lvlJc w:val="left"/>
      <w:pPr>
        <w:tabs>
          <w:tab w:val="num" w:pos="0"/>
        </w:tabs>
        <w:ind w:left="2340" w:hanging="360"/>
      </w:pPr>
      <w:rPr>
        <w:dstrike w:val="false"/>
        <w:strike w:val="false"/>
        <w:sz w:val="20"/>
        <w:szCs w:val="20"/>
        <w:rFonts w:ascii="Titillium" w:hAnsi="Titillium" w:eastAsia="Times New Roman" w:cs="Times New Roman"/>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decimal"/>
      <w:lvlText w:val="%1."/>
      <w:lvlJc w:val="left"/>
      <w:pPr>
        <w:tabs>
          <w:tab w:val="num" w:pos="0"/>
        </w:tabs>
        <w:ind w:left="0" w:hanging="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440" w:hanging="360"/>
      </w:pPr>
      <w:rPr>
        <w:dstrike w:val="false"/>
        <w:strike w:val="false"/>
        <w:sz w:val="20"/>
        <w:szCs w:val="20"/>
        <w:rFonts w:ascii="Titillium" w:hAnsi="Titillium" w:eastAsia="Times New Roman" w:cs="Times New Roman"/>
      </w:rPr>
    </w:lvl>
    <w:lvl w:ilvl="2">
      <w:start w:val="1"/>
      <w:numFmt w:val="lowerLetter"/>
      <w:lvlText w:val="%3)"/>
      <w:lvlJc w:val="left"/>
      <w:pPr>
        <w:tabs>
          <w:tab w:val="num" w:pos="0"/>
        </w:tabs>
        <w:ind w:left="2340" w:hanging="360"/>
      </w:pPr>
      <w:rPr>
        <w:dstrike w:val="false"/>
        <w:strike w:val="false"/>
        <w:sz w:val="20"/>
        <w:szCs w:val="20"/>
        <w:rFonts w:ascii="Titillium" w:hAnsi="Titillium" w:eastAsia="Times New Roman" w:cs="Times New Roman"/>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decimal"/>
      <w:lvlText w:val="%1."/>
      <w:lvlJc w:val="left"/>
      <w:pPr>
        <w:tabs>
          <w:tab w:val="num" w:pos="0"/>
        </w:tabs>
        <w:ind w:left="0" w:hanging="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440" w:hanging="360"/>
      </w:pPr>
      <w:rPr>
        <w:dstrike w:val="false"/>
        <w:strike w:val="false"/>
        <w:sz w:val="20"/>
        <w:szCs w:val="20"/>
        <w:rFonts w:ascii="Titillium" w:hAnsi="Titillium" w:eastAsia="Times New Roman" w:cs="Times New Roman"/>
      </w:rPr>
    </w:lvl>
    <w:lvl w:ilvl="2">
      <w:start w:val="1"/>
      <w:numFmt w:val="lowerLetter"/>
      <w:lvlText w:val="%3)"/>
      <w:lvlJc w:val="left"/>
      <w:pPr>
        <w:tabs>
          <w:tab w:val="num" w:pos="0"/>
        </w:tabs>
        <w:ind w:left="2340" w:hanging="360"/>
      </w:pPr>
      <w:rPr>
        <w:dstrike w:val="false"/>
        <w:strike w:val="false"/>
        <w:sz w:val="20"/>
        <w:szCs w:val="20"/>
        <w:rFonts w:ascii="Titillium" w:hAnsi="Titillium" w:eastAsia="Times New Roman" w:cs="Times New Roman"/>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0" w:hanging="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440" w:hanging="360"/>
      </w:pPr>
      <w:rPr>
        <w:dstrike w:val="false"/>
        <w:strike w:val="false"/>
        <w:sz w:val="20"/>
        <w:szCs w:val="20"/>
        <w:rFonts w:ascii="Titillium" w:hAnsi="Titillium" w:eastAsia="Times New Roman" w:cs="Times New Roman"/>
      </w:rPr>
    </w:lvl>
    <w:lvl w:ilvl="2">
      <w:start w:val="1"/>
      <w:numFmt w:val="lowerLetter"/>
      <w:lvlText w:val="%3)"/>
      <w:lvlJc w:val="left"/>
      <w:pPr>
        <w:tabs>
          <w:tab w:val="num" w:pos="0"/>
        </w:tabs>
        <w:ind w:left="2340" w:hanging="360"/>
      </w:pPr>
      <w:rPr>
        <w:dstrike w:val="false"/>
        <w:strike w:val="false"/>
        <w:sz w:val="20"/>
        <w:szCs w:val="20"/>
        <w:rFonts w:ascii="Titillium" w:hAnsi="Titillium" w:eastAsia="Times New Roman" w:cs="Times New Roman"/>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decimal"/>
      <w:lvlText w:val="%1."/>
      <w:lvlJc w:val="left"/>
      <w:pPr>
        <w:tabs>
          <w:tab w:val="num" w:pos="0"/>
        </w:tabs>
        <w:ind w:left="0" w:hanging="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440" w:hanging="360"/>
      </w:pPr>
      <w:rPr>
        <w:dstrike w:val="false"/>
        <w:strike w:val="false"/>
        <w:sz w:val="20"/>
        <w:szCs w:val="20"/>
        <w:rFonts w:ascii="Titillium" w:hAnsi="Titillium" w:eastAsia="Times New Roman" w:cs="Times New Roman"/>
      </w:rPr>
    </w:lvl>
    <w:lvl w:ilvl="2">
      <w:start w:val="1"/>
      <w:numFmt w:val="lowerLetter"/>
      <w:lvlText w:val="%3)"/>
      <w:lvlJc w:val="left"/>
      <w:pPr>
        <w:tabs>
          <w:tab w:val="num" w:pos="0"/>
        </w:tabs>
        <w:ind w:left="2340" w:hanging="360"/>
      </w:pPr>
      <w:rPr>
        <w:dstrike w:val="false"/>
        <w:strike w:val="false"/>
        <w:sz w:val="20"/>
        <w:szCs w:val="20"/>
        <w:rFonts w:ascii="Titillium" w:hAnsi="Titillium" w:eastAsia="Times New Roman" w:cs="Times New Roman"/>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0" w:hanging="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440" w:hanging="360"/>
      </w:pPr>
      <w:rPr>
        <w:dstrike w:val="false"/>
        <w:strike w:val="false"/>
        <w:sz w:val="20"/>
        <w:szCs w:val="20"/>
        <w:rFonts w:ascii="Titillium" w:hAnsi="Titillium" w:eastAsia="Times New Roman" w:cs="Times New Roman"/>
      </w:rPr>
    </w:lvl>
    <w:lvl w:ilvl="2">
      <w:start w:val="1"/>
      <w:numFmt w:val="lowerLetter"/>
      <w:lvlText w:val="%3)"/>
      <w:lvlJc w:val="left"/>
      <w:pPr>
        <w:tabs>
          <w:tab w:val="num" w:pos="0"/>
        </w:tabs>
        <w:ind w:left="2340" w:hanging="360"/>
      </w:pPr>
      <w:rPr>
        <w:dstrike w:val="false"/>
        <w:strike w:val="false"/>
        <w:sz w:val="20"/>
        <w:szCs w:val="20"/>
        <w:rFonts w:ascii="Titillium" w:hAnsi="Titillium" w:eastAsia="Times New Roman" w:cs="Times New Roman"/>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0" w:hanging="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440" w:hanging="360"/>
      </w:pPr>
      <w:rPr>
        <w:dstrike w:val="false"/>
        <w:strike w:val="false"/>
        <w:sz w:val="20"/>
        <w:szCs w:val="20"/>
        <w:rFonts w:ascii="Titillium" w:hAnsi="Titillium" w:eastAsia="Times New Roman" w:cs="Times New Roman"/>
      </w:rPr>
    </w:lvl>
    <w:lvl w:ilvl="2">
      <w:start w:val="1"/>
      <w:numFmt w:val="lowerLetter"/>
      <w:lvlText w:val="%3)"/>
      <w:lvlJc w:val="left"/>
      <w:pPr>
        <w:tabs>
          <w:tab w:val="num" w:pos="0"/>
        </w:tabs>
        <w:ind w:left="2340" w:hanging="360"/>
      </w:pPr>
      <w:rPr>
        <w:dstrike w:val="false"/>
        <w:strike w:val="false"/>
        <w:sz w:val="20"/>
        <w:szCs w:val="20"/>
        <w:rFonts w:ascii="Titillium" w:hAnsi="Titillium" w:eastAsia="Times New Roman" w:cs="Times New Roman"/>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0" w:hanging="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440" w:hanging="360"/>
      </w:pPr>
      <w:rPr>
        <w:dstrike w:val="false"/>
        <w:strike w:val="false"/>
        <w:sz w:val="20"/>
        <w:szCs w:val="20"/>
        <w:rFonts w:ascii="Titillium" w:hAnsi="Titillium" w:eastAsia="Times New Roman" w:cs="Times New Roman"/>
      </w:rPr>
    </w:lvl>
    <w:lvl w:ilvl="2">
      <w:start w:val="1"/>
      <w:numFmt w:val="lowerLetter"/>
      <w:lvlText w:val="%3)"/>
      <w:lvlJc w:val="left"/>
      <w:pPr>
        <w:tabs>
          <w:tab w:val="num" w:pos="0"/>
        </w:tabs>
        <w:ind w:left="2340" w:hanging="360"/>
      </w:pPr>
      <w:rPr>
        <w:dstrike w:val="false"/>
        <w:strike w:val="false"/>
        <w:sz w:val="20"/>
        <w:szCs w:val="20"/>
        <w:rFonts w:ascii="Titillium" w:hAnsi="Titillium" w:eastAsia="Times New Roman" w:cs="Times New Roman"/>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0" w:hanging="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440" w:hanging="360"/>
      </w:pPr>
      <w:rPr>
        <w:dstrike w:val="false"/>
        <w:strike w:val="false"/>
        <w:sz w:val="20"/>
        <w:szCs w:val="20"/>
        <w:rFonts w:ascii="Titillium" w:hAnsi="Titillium" w:eastAsia="Times New Roman" w:cs="Times New Roman"/>
      </w:rPr>
    </w:lvl>
    <w:lvl w:ilvl="2">
      <w:start w:val="1"/>
      <w:numFmt w:val="lowerLetter"/>
      <w:lvlText w:val="%3)"/>
      <w:lvlJc w:val="left"/>
      <w:pPr>
        <w:tabs>
          <w:tab w:val="num" w:pos="0"/>
        </w:tabs>
        <w:ind w:left="2340" w:hanging="360"/>
      </w:pPr>
      <w:rPr>
        <w:dstrike w:val="false"/>
        <w:strike w:val="false"/>
        <w:sz w:val="20"/>
        <w:szCs w:val="20"/>
        <w:rFonts w:ascii="Titillium" w:hAnsi="Titillium" w:eastAsia="Times New Roman" w:cs="Times New Roman"/>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decimal"/>
      <w:lvlText w:val="%1."/>
      <w:lvlJc w:val="left"/>
      <w:pPr>
        <w:tabs>
          <w:tab w:val="num" w:pos="0"/>
        </w:tabs>
        <w:ind w:left="0" w:hanging="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440" w:hanging="360"/>
      </w:pPr>
      <w:rPr>
        <w:dstrike w:val="false"/>
        <w:strike w:val="false"/>
        <w:sz w:val="20"/>
        <w:szCs w:val="20"/>
        <w:rFonts w:ascii="Titillium" w:hAnsi="Titillium" w:eastAsia="Times New Roman" w:cs="Times New Roman"/>
      </w:rPr>
    </w:lvl>
    <w:lvl w:ilvl="2">
      <w:start w:val="1"/>
      <w:numFmt w:val="lowerLetter"/>
      <w:lvlText w:val="%3)"/>
      <w:lvlJc w:val="left"/>
      <w:pPr>
        <w:tabs>
          <w:tab w:val="num" w:pos="0"/>
        </w:tabs>
        <w:ind w:left="2340" w:hanging="360"/>
      </w:pPr>
      <w:rPr>
        <w:dstrike w:val="false"/>
        <w:strike w:val="false"/>
        <w:sz w:val="20"/>
        <w:szCs w:val="20"/>
        <w:rFonts w:ascii="Titillium" w:hAnsi="Titillium" w:eastAsia="Times New Roman" w:cs="Times New Roman"/>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decimal"/>
      <w:lvlText w:val="%1."/>
      <w:lvlJc w:val="left"/>
      <w:pPr>
        <w:tabs>
          <w:tab w:val="num" w:pos="0"/>
        </w:tabs>
        <w:ind w:left="0" w:hanging="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440" w:hanging="360"/>
      </w:pPr>
      <w:rPr>
        <w:dstrike w:val="false"/>
        <w:strike w:val="false"/>
        <w:sz w:val="20"/>
        <w:szCs w:val="20"/>
        <w:rFonts w:ascii="Titillium" w:hAnsi="Titillium" w:eastAsia="Times New Roman" w:cs="Times New Roman"/>
      </w:rPr>
    </w:lvl>
    <w:lvl w:ilvl="2">
      <w:start w:val="1"/>
      <w:numFmt w:val="lowerLetter"/>
      <w:lvlText w:val="%3)"/>
      <w:lvlJc w:val="left"/>
      <w:pPr>
        <w:tabs>
          <w:tab w:val="num" w:pos="0"/>
        </w:tabs>
        <w:ind w:left="2340" w:hanging="360"/>
      </w:pPr>
      <w:rPr>
        <w:dstrike w:val="false"/>
        <w:strike w:val="false"/>
        <w:sz w:val="20"/>
        <w:szCs w:val="20"/>
        <w:rFonts w:ascii="Titillium" w:hAnsi="Titillium" w:eastAsia="Times New Roman" w:cs="Times New Roman"/>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2">
    <w:lvl w:ilvl="0">
      <w:start w:val="1"/>
      <w:numFmt w:val="decimal"/>
      <w:lvlText w:val="%1."/>
      <w:lvlJc w:val="left"/>
      <w:pPr>
        <w:tabs>
          <w:tab w:val="num" w:pos="0"/>
        </w:tabs>
        <w:ind w:left="0" w:hanging="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440" w:hanging="360"/>
      </w:pPr>
      <w:rPr>
        <w:dstrike w:val="false"/>
        <w:strike w:val="false"/>
        <w:sz w:val="20"/>
        <w:szCs w:val="20"/>
        <w:rFonts w:ascii="Titillium" w:hAnsi="Titillium" w:eastAsia="Times New Roman" w:cs="Times New Roman"/>
      </w:rPr>
    </w:lvl>
    <w:lvl w:ilvl="2">
      <w:start w:val="1"/>
      <w:numFmt w:val="lowerLetter"/>
      <w:lvlText w:val="%3)"/>
      <w:lvlJc w:val="left"/>
      <w:pPr>
        <w:tabs>
          <w:tab w:val="num" w:pos="0"/>
        </w:tabs>
        <w:ind w:left="2340" w:hanging="360"/>
      </w:pPr>
      <w:rPr>
        <w:dstrike w:val="false"/>
        <w:strike w:val="false"/>
        <w:sz w:val="20"/>
        <w:szCs w:val="20"/>
        <w:rFonts w:ascii="Titillium" w:hAnsi="Titillium" w:eastAsia="Times New Roman" w:cs="Times New Roman"/>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3">
    <w:lvl w:ilvl="0">
      <w:start w:val="1"/>
      <w:numFmt w:val="decimal"/>
      <w:lvlText w:val="%1."/>
      <w:lvlJc w:val="left"/>
      <w:pPr>
        <w:tabs>
          <w:tab w:val="num" w:pos="0"/>
        </w:tabs>
        <w:ind w:left="0" w:hanging="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440" w:hanging="360"/>
      </w:pPr>
      <w:rPr>
        <w:dstrike w:val="false"/>
        <w:strike w:val="false"/>
        <w:sz w:val="20"/>
        <w:szCs w:val="20"/>
        <w:rFonts w:ascii="Titillium" w:hAnsi="Titillium" w:eastAsia="Times New Roman" w:cs="Times New Roman"/>
      </w:rPr>
    </w:lvl>
    <w:lvl w:ilvl="2">
      <w:start w:val="1"/>
      <w:numFmt w:val="lowerLetter"/>
      <w:lvlText w:val="%3)"/>
      <w:lvlJc w:val="left"/>
      <w:pPr>
        <w:tabs>
          <w:tab w:val="num" w:pos="0"/>
        </w:tabs>
        <w:ind w:left="2340" w:hanging="360"/>
      </w:pPr>
      <w:rPr>
        <w:dstrike w:val="false"/>
        <w:strike w:val="false"/>
        <w:sz w:val="20"/>
        <w:szCs w:val="20"/>
        <w:rFonts w:ascii="Titillium" w:hAnsi="Titillium" w:eastAsia="Times New Roman" w:cs="Times New Roman"/>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decimal"/>
      <w:lvlText w:val="%1."/>
      <w:lvlJc w:val="left"/>
      <w:pPr>
        <w:tabs>
          <w:tab w:val="num" w:pos="0"/>
        </w:tabs>
        <w:ind w:left="0" w:hanging="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440" w:hanging="360"/>
      </w:pPr>
      <w:rPr>
        <w:dstrike w:val="false"/>
        <w:strike w:val="false"/>
        <w:sz w:val="20"/>
        <w:szCs w:val="20"/>
        <w:rFonts w:ascii="Titillium" w:hAnsi="Titillium" w:eastAsia="Times New Roman" w:cs="Times New Roman"/>
      </w:rPr>
    </w:lvl>
    <w:lvl w:ilvl="2">
      <w:start w:val="1"/>
      <w:numFmt w:val="lowerLetter"/>
      <w:lvlText w:val="%3)"/>
      <w:lvlJc w:val="left"/>
      <w:pPr>
        <w:tabs>
          <w:tab w:val="num" w:pos="0"/>
        </w:tabs>
        <w:ind w:left="2340" w:hanging="360"/>
      </w:pPr>
      <w:rPr>
        <w:dstrike w:val="false"/>
        <w:strike w:val="false"/>
        <w:sz w:val="20"/>
        <w:szCs w:val="20"/>
        <w:rFonts w:ascii="Titillium" w:hAnsi="Titillium" w:eastAsia="Times New Roman" w:cs="Times New Roman"/>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5">
    <w:lvl w:ilvl="0">
      <w:start w:val="1"/>
      <w:numFmt w:val="decimal"/>
      <w:lvlText w:val="%1."/>
      <w:lvlJc w:val="left"/>
      <w:pPr>
        <w:tabs>
          <w:tab w:val="num" w:pos="0"/>
        </w:tabs>
        <w:ind w:left="0" w:hanging="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440" w:hanging="360"/>
      </w:pPr>
      <w:rPr>
        <w:dstrike w:val="false"/>
        <w:strike w:val="false"/>
        <w:sz w:val="20"/>
        <w:szCs w:val="20"/>
        <w:rFonts w:ascii="Titillium" w:hAnsi="Titillium" w:eastAsia="Times New Roman" w:cs="Times New Roman"/>
      </w:rPr>
    </w:lvl>
    <w:lvl w:ilvl="2">
      <w:start w:val="1"/>
      <w:numFmt w:val="lowerLetter"/>
      <w:lvlText w:val="%3)"/>
      <w:lvlJc w:val="left"/>
      <w:pPr>
        <w:tabs>
          <w:tab w:val="num" w:pos="0"/>
        </w:tabs>
        <w:ind w:left="2340" w:hanging="360"/>
      </w:pPr>
      <w:rPr>
        <w:dstrike w:val="false"/>
        <w:strike w:val="false"/>
        <w:sz w:val="20"/>
        <w:szCs w:val="20"/>
        <w:rFonts w:ascii="Titillium" w:hAnsi="Titillium" w:eastAsia="Times New Roman" w:cs="Times New Roman"/>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6">
    <w:lvl w:ilvl="0">
      <w:start w:val="1"/>
      <w:numFmt w:val="decimal"/>
      <w:lvlText w:val="%1."/>
      <w:lvlJc w:val="left"/>
      <w:pPr>
        <w:tabs>
          <w:tab w:val="num" w:pos="0"/>
        </w:tabs>
        <w:ind w:left="0" w:hanging="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440" w:hanging="360"/>
      </w:pPr>
      <w:rPr>
        <w:dstrike w:val="false"/>
        <w:strike w:val="false"/>
        <w:sz w:val="20"/>
        <w:szCs w:val="20"/>
        <w:rFonts w:ascii="Titillium" w:hAnsi="Titillium" w:eastAsia="Times New Roman" w:cs="Times New Roman"/>
      </w:rPr>
    </w:lvl>
    <w:lvl w:ilvl="2">
      <w:start w:val="1"/>
      <w:numFmt w:val="lowerLetter"/>
      <w:lvlText w:val="%3)"/>
      <w:lvlJc w:val="left"/>
      <w:pPr>
        <w:tabs>
          <w:tab w:val="num" w:pos="0"/>
        </w:tabs>
        <w:ind w:left="2340" w:hanging="360"/>
      </w:pPr>
      <w:rPr>
        <w:dstrike w:val="false"/>
        <w:strike w:val="false"/>
        <w:sz w:val="20"/>
        <w:szCs w:val="20"/>
        <w:rFonts w:ascii="Titillium" w:hAnsi="Titillium" w:eastAsia="Times New Roman" w:cs="Times New Roman"/>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7">
    <w:lvl w:ilvl="0">
      <w:start w:val="1"/>
      <w:numFmt w:val="decimal"/>
      <w:lvlText w:val="%1."/>
      <w:lvlJc w:val="left"/>
      <w:pPr>
        <w:tabs>
          <w:tab w:val="num" w:pos="0"/>
        </w:tabs>
        <w:ind w:left="0" w:hanging="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18">
    <w:lvl w:ilvl="0">
      <w:start w:val="1"/>
      <w:numFmt w:val="decimal"/>
      <w:lvlText w:val="%1)"/>
      <w:lvlJc w:val="left"/>
      <w:pPr>
        <w:tabs>
          <w:tab w:val="num" w:pos="0"/>
        </w:tabs>
        <w:ind w:left="360" w:hanging="360"/>
      </w:pPr>
      <w:rPr>
        <w:b w:val="false"/>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19">
    <w:lvl w:ilvl="0">
      <w:start w:val="1"/>
      <w:numFmt w:val="decimal"/>
      <w:lvlText w:val="%1)"/>
      <w:lvlJc w:val="left"/>
      <w:pPr>
        <w:tabs>
          <w:tab w:val="num" w:pos="0"/>
        </w:tabs>
        <w:ind w:left="360" w:hanging="360"/>
      </w:pPr>
      <w:rPr>
        <w:b w:val="false"/>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20">
    <w:lvl w:ilvl="0">
      <w:start w:val="1"/>
      <w:numFmt w:val="decimal"/>
      <w:lvlText w:val="%1)"/>
      <w:lvlJc w:val="left"/>
      <w:pPr>
        <w:tabs>
          <w:tab w:val="num" w:pos="0"/>
        </w:tabs>
        <w:ind w:left="360" w:hanging="360"/>
      </w:pPr>
      <w:rPr>
        <w:b w:val="false"/>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21">
    <w:lvl w:ilvl="0">
      <w:start w:val="2"/>
      <w:numFmt w:val="decimal"/>
      <w:lvlText w:val="%1. "/>
      <w:lvlJc w:val="left"/>
      <w:pPr>
        <w:tabs>
          <w:tab w:val="num" w:pos="0"/>
        </w:tabs>
        <w:ind w:left="1420" w:hanging="340"/>
      </w:pPr>
      <w:rPr>
        <w:dstrike w:val="false"/>
        <w:strike w:val="false"/>
        <w:sz w:val="20"/>
        <w:i w:val="false"/>
        <w:u w:val="none"/>
        <w:b w:val="false"/>
        <w:szCs w:val="20"/>
        <w:bCs/>
        <w:rFonts w:ascii="Titillium" w:hAnsi="Titillium" w:cs="Times New Roman"/>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22">
    <w:lvl w:ilvl="0">
      <w:start w:val="2"/>
      <w:numFmt w:val="decimal"/>
      <w:lvlText w:val="%1. "/>
      <w:lvlJc w:val="left"/>
      <w:pPr>
        <w:tabs>
          <w:tab w:val="num" w:pos="0"/>
        </w:tabs>
        <w:ind w:left="1420" w:hanging="340"/>
      </w:pPr>
      <w:rPr>
        <w:dstrike w:val="false"/>
        <w:strike w:val="false"/>
        <w:sz w:val="20"/>
        <w:i w:val="false"/>
        <w:u w:val="none"/>
        <w:b w:val="false"/>
        <w:szCs w:val="20"/>
        <w:bCs/>
        <w:rFonts w:ascii="Titillium" w:hAnsi="Titillium" w:cs="Times New Roman"/>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23">
    <w:lvl w:ilvl="0">
      <w:start w:val="2"/>
      <w:numFmt w:val="decimal"/>
      <w:lvlText w:val="%1. "/>
      <w:lvlJc w:val="left"/>
      <w:pPr>
        <w:tabs>
          <w:tab w:val="num" w:pos="0"/>
        </w:tabs>
        <w:ind w:left="1420" w:hanging="340"/>
      </w:pPr>
      <w:rPr>
        <w:dstrike w:val="false"/>
        <w:strike w:val="false"/>
        <w:sz w:val="20"/>
        <w:i w:val="false"/>
        <w:u w:val="none"/>
        <w:b w:val="false"/>
        <w:szCs w:val="20"/>
        <w:bCs/>
        <w:rFonts w:ascii="Titillium" w:hAnsi="Titillium" w:cs="Times New Roman"/>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24">
    <w:lvl w:ilvl="0">
      <w:start w:val="2"/>
      <w:numFmt w:val="decimal"/>
      <w:lvlText w:val="%1. "/>
      <w:lvlJc w:val="left"/>
      <w:pPr>
        <w:tabs>
          <w:tab w:val="num" w:pos="0"/>
        </w:tabs>
        <w:ind w:left="1420" w:hanging="340"/>
      </w:pPr>
      <w:rPr>
        <w:dstrike w:val="false"/>
        <w:strike w:val="false"/>
        <w:sz w:val="20"/>
        <w:i w:val="false"/>
        <w:u w:val="none"/>
        <w:b w:val="false"/>
        <w:szCs w:val="20"/>
        <w:bCs/>
        <w:rFonts w:ascii="Titillium" w:hAnsi="Titillium" w:cs="Times New Roman"/>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25">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126">
    <w:lvl w:ilvl="0">
      <w:start w:val="3"/>
      <w:numFmt w:val="decimal"/>
      <w:lvlText w:val="%1."/>
      <w:lvlJc w:val="left"/>
      <w:pPr>
        <w:tabs>
          <w:tab w:val="num" w:pos="0"/>
        </w:tabs>
        <w:ind w:left="720" w:hanging="360"/>
      </w:pPr>
      <w:rPr>
        <w:sz w:val="20"/>
        <w:szCs w:val="20"/>
        <w:rFonts w:ascii="Titillium" w:hAnsi="Titillium" w:cs="Times New Roman"/>
      </w:rPr>
    </w:lvl>
    <w:lvl w:ilvl="1">
      <w:start w:val="1"/>
      <w:numFmt w:val="decimal"/>
      <w:lvlText w:val="%2)"/>
      <w:lvlJc w:val="left"/>
      <w:pPr>
        <w:tabs>
          <w:tab w:val="num" w:pos="0"/>
        </w:tabs>
        <w:ind w:left="1440" w:hanging="360"/>
      </w:pPr>
      <w:rPr>
        <w:sz w:val="18"/>
        <w:szCs w:val="18"/>
      </w:rPr>
    </w:lvl>
    <w:lvl w:ilvl="2">
      <w:start w:val="0"/>
      <w:numFmt w:val="bullet"/>
      <w:lvlText w:val=""/>
      <w:lvlJc w:val="left"/>
      <w:pPr>
        <w:tabs>
          <w:tab w:val="num" w:pos="0"/>
        </w:tabs>
        <w:ind w:left="2340" w:hanging="360"/>
      </w:pPr>
      <w:rPr>
        <w:rFonts w:ascii="Symbol" w:hAnsi="Symbol" w:cs="Symbol" w:hint="default"/>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7">
    <w:lvl w:ilvl="0">
      <w:start w:val="1"/>
      <w:numFmt w:val="decimal"/>
      <w:lvlText w:val="%1)"/>
      <w:lvlJc w:val="left"/>
      <w:pPr>
        <w:tabs>
          <w:tab w:val="num" w:pos="0"/>
        </w:tabs>
        <w:ind w:left="3600" w:hanging="360"/>
      </w:pPr>
      <w:rPr>
        <w:bCs/>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28">
    <w:lvl w:ilvl="0">
      <w:start w:val="1"/>
      <w:numFmt w:val="decimal"/>
      <w:lvlText w:val="%1)"/>
      <w:lvlJc w:val="left"/>
      <w:pPr>
        <w:tabs>
          <w:tab w:val="num" w:pos="0"/>
        </w:tabs>
        <w:ind w:left="3600" w:hanging="360"/>
      </w:pPr>
      <w:rPr>
        <w:bCs/>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29">
    <w:lvl w:ilvl="0">
      <w:start w:val="2"/>
      <w:numFmt w:val="decimal"/>
      <w:lvlText w:val="%1. "/>
      <w:lvlJc w:val="left"/>
      <w:pPr>
        <w:tabs>
          <w:tab w:val="num" w:pos="0"/>
        </w:tabs>
        <w:ind w:left="700" w:hanging="340"/>
      </w:pPr>
      <w:rPr>
        <w:dstrike w:val="false"/>
        <w:strike w:val="false"/>
        <w:sz w:val="20"/>
        <w:i w:val="false"/>
        <w:u w:val="none"/>
        <w:b w:val="false"/>
        <w:szCs w:val="20"/>
        <w:rFonts w:ascii="Titillium" w:hAnsi="Titillium" w:cs="Times New Roman"/>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30">
    <w:lvl w:ilvl="0">
      <w:start w:val="2"/>
      <w:numFmt w:val="decimal"/>
      <w:lvlText w:val="%1. "/>
      <w:lvlJc w:val="left"/>
      <w:pPr>
        <w:tabs>
          <w:tab w:val="num" w:pos="0"/>
        </w:tabs>
        <w:ind w:left="700" w:hanging="340"/>
      </w:pPr>
      <w:rPr>
        <w:dstrike w:val="false"/>
        <w:strike w:val="false"/>
        <w:sz w:val="20"/>
        <w:i w:val="false"/>
        <w:u w:val="none"/>
        <w:b w:val="false"/>
        <w:szCs w:val="20"/>
        <w:rFonts w:ascii="Titillium" w:hAnsi="Titillium" w:cs="Times New Roman"/>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31">
    <w:lvl w:ilvl="0">
      <w:start w:val="1"/>
      <w:numFmt w:val="decimal"/>
      <w:lvlText w:val="%1. "/>
      <w:lvlJc w:val="left"/>
      <w:pPr>
        <w:tabs>
          <w:tab w:val="num" w:pos="0"/>
        </w:tabs>
        <w:ind w:left="700" w:hanging="340"/>
      </w:pPr>
      <w:rPr>
        <w:dstrike w:val="false"/>
        <w:strike w:val="false"/>
        <w:sz w:val="20"/>
        <w:i w:val="false"/>
        <w:u w:val="none"/>
        <w:b w:val="false"/>
        <w:szCs w:val="20"/>
        <w:bCs/>
        <w:rFonts w:ascii="Titillium" w:hAnsi="Titillium" w:cs="Times New Roman"/>
      </w:rPr>
    </w:lvl>
    <w:lvl w:ilvl="1">
      <w:start w:val="1"/>
      <w:numFmt w:val="decimal"/>
      <w:lvlText w:val="%2)"/>
      <w:lvlJc w:val="left"/>
      <w:pPr>
        <w:tabs>
          <w:tab w:val="num" w:pos="0"/>
        </w:tabs>
        <w:ind w:left="1440" w:hanging="360"/>
      </w:pPr>
      <w:rPr>
        <w:dstrike w:val="false"/>
        <w:strike w:val="false"/>
        <w:sz w:val="20"/>
        <w:i w:val="false"/>
        <w:b w:val="false"/>
        <w:szCs w:val="20"/>
        <w:iCs w:val="false"/>
        <w:bCs w:val="false"/>
        <w:rFonts w:ascii="Titillium" w:hAnsi="Titillium"/>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2">
    <w:lvl w:ilvl="0">
      <w:start w:val="1"/>
      <w:numFmt w:val="decimal"/>
      <w:lvlText w:val="%1. "/>
      <w:lvlJc w:val="left"/>
      <w:pPr>
        <w:tabs>
          <w:tab w:val="num" w:pos="0"/>
        </w:tabs>
        <w:ind w:left="700" w:hanging="340"/>
      </w:pPr>
      <w:rPr>
        <w:dstrike w:val="false"/>
        <w:strike w:val="false"/>
        <w:sz w:val="20"/>
        <w:i w:val="false"/>
        <w:u w:val="none"/>
        <w:b w:val="false"/>
        <w:szCs w:val="20"/>
        <w:bCs/>
        <w:rFonts w:ascii="Titillium" w:hAnsi="Titillium" w:cs="Times New Roman"/>
      </w:rPr>
    </w:lvl>
    <w:lvl w:ilvl="1">
      <w:start w:val="1"/>
      <w:numFmt w:val="decimal"/>
      <w:lvlText w:val="%2)"/>
      <w:lvlJc w:val="left"/>
      <w:pPr>
        <w:tabs>
          <w:tab w:val="num" w:pos="0"/>
        </w:tabs>
        <w:ind w:left="1440" w:hanging="360"/>
      </w:pPr>
      <w:rPr>
        <w:dstrike w:val="false"/>
        <w:strike w:val="false"/>
        <w:sz w:val="20"/>
        <w:i w:val="false"/>
        <w:b w:val="false"/>
        <w:szCs w:val="20"/>
        <w:iCs w:val="false"/>
        <w:bCs w:val="false"/>
        <w:rFonts w:ascii="Titillium" w:hAnsi="Titillium"/>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3">
    <w:lvl w:ilvl="0">
      <w:start w:val="1"/>
      <w:numFmt w:val="decimal"/>
      <w:lvlText w:val="%1. "/>
      <w:lvlJc w:val="left"/>
      <w:pPr>
        <w:tabs>
          <w:tab w:val="num" w:pos="0"/>
        </w:tabs>
        <w:ind w:left="700" w:hanging="340"/>
      </w:pPr>
      <w:rPr>
        <w:dstrike w:val="false"/>
        <w:strike w:val="false"/>
        <w:sz w:val="20"/>
        <w:i w:val="false"/>
        <w:u w:val="none"/>
        <w:b w:val="false"/>
        <w:szCs w:val="20"/>
        <w:bCs/>
        <w:rFonts w:ascii="Titillium" w:hAnsi="Titillium" w:cs="Times New Roman"/>
      </w:rPr>
    </w:lvl>
    <w:lvl w:ilvl="1">
      <w:start w:val="1"/>
      <w:numFmt w:val="decimal"/>
      <w:lvlText w:val="%2)"/>
      <w:lvlJc w:val="left"/>
      <w:pPr>
        <w:tabs>
          <w:tab w:val="num" w:pos="0"/>
        </w:tabs>
        <w:ind w:left="1440" w:hanging="360"/>
      </w:pPr>
      <w:rPr>
        <w:dstrike w:val="false"/>
        <w:strike w:val="false"/>
        <w:sz w:val="20"/>
        <w:i w:val="false"/>
        <w:b w:val="false"/>
        <w:szCs w:val="20"/>
        <w:iCs w:val="false"/>
        <w:bCs w:val="false"/>
        <w:rFonts w:ascii="Titillium" w:hAnsi="Titillium"/>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4">
    <w:lvl w:ilvl="0">
      <w:start w:val="1"/>
      <w:numFmt w:val="decimal"/>
      <w:lvlText w:val="%1. "/>
      <w:lvlJc w:val="left"/>
      <w:pPr>
        <w:tabs>
          <w:tab w:val="num" w:pos="0"/>
        </w:tabs>
        <w:ind w:left="700" w:hanging="340"/>
      </w:pPr>
      <w:rPr>
        <w:dstrike w:val="false"/>
        <w:strike w:val="false"/>
        <w:sz w:val="20"/>
        <w:i w:val="false"/>
        <w:u w:val="none"/>
        <w:b w:val="false"/>
        <w:szCs w:val="20"/>
        <w:bCs/>
        <w:rFonts w:ascii="Titillium" w:hAnsi="Titillium" w:cs="Times New Roman"/>
      </w:rPr>
    </w:lvl>
    <w:lvl w:ilvl="1">
      <w:start w:val="1"/>
      <w:numFmt w:val="decimal"/>
      <w:lvlText w:val="%2)"/>
      <w:lvlJc w:val="left"/>
      <w:pPr>
        <w:tabs>
          <w:tab w:val="num" w:pos="0"/>
        </w:tabs>
        <w:ind w:left="1440" w:hanging="360"/>
      </w:pPr>
      <w:rPr>
        <w:dstrike w:val="false"/>
        <w:strike w:val="false"/>
        <w:sz w:val="20"/>
        <w:i w:val="false"/>
        <w:b w:val="false"/>
        <w:szCs w:val="20"/>
        <w:iCs w:val="false"/>
        <w:bCs w:val="false"/>
        <w:rFonts w:ascii="Titillium" w:hAnsi="Titillium"/>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5">
    <w:lvl w:ilvl="0">
      <w:start w:val="1"/>
      <w:numFmt w:val="decimal"/>
      <w:lvlText w:val="%1. "/>
      <w:lvlJc w:val="left"/>
      <w:pPr>
        <w:tabs>
          <w:tab w:val="num" w:pos="0"/>
        </w:tabs>
        <w:ind w:left="700" w:hanging="340"/>
      </w:pPr>
      <w:rPr>
        <w:dstrike w:val="false"/>
        <w:strike w:val="false"/>
        <w:sz w:val="20"/>
        <w:i w:val="false"/>
        <w:u w:val="none"/>
        <w:b w:val="false"/>
        <w:szCs w:val="20"/>
        <w:bCs/>
        <w:rFonts w:ascii="Titillium" w:hAnsi="Titillium" w:cs="Times New Roman"/>
      </w:rPr>
    </w:lvl>
    <w:lvl w:ilvl="1">
      <w:start w:val="1"/>
      <w:numFmt w:val="decimal"/>
      <w:lvlText w:val="%2)"/>
      <w:lvlJc w:val="left"/>
      <w:pPr>
        <w:tabs>
          <w:tab w:val="num" w:pos="0"/>
        </w:tabs>
        <w:ind w:left="1440" w:hanging="360"/>
      </w:pPr>
      <w:rPr>
        <w:dstrike w:val="false"/>
        <w:strike w:val="false"/>
        <w:sz w:val="20"/>
        <w:i w:val="false"/>
        <w:b w:val="false"/>
        <w:szCs w:val="20"/>
        <w:iCs w:val="false"/>
        <w:bCs w:val="false"/>
        <w:rFonts w:ascii="Titillium" w:hAnsi="Titillium"/>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6">
    <w:lvl w:ilvl="0">
      <w:start w:val="1"/>
      <w:numFmt w:val="decimal"/>
      <w:lvlText w:val="%1. "/>
      <w:lvlJc w:val="left"/>
      <w:pPr>
        <w:tabs>
          <w:tab w:val="num" w:pos="0"/>
        </w:tabs>
        <w:ind w:left="700" w:hanging="340"/>
      </w:pPr>
      <w:rPr>
        <w:dstrike w:val="false"/>
        <w:strike w:val="false"/>
        <w:sz w:val="20"/>
        <w:i w:val="false"/>
        <w:u w:val="none"/>
        <w:b w:val="false"/>
        <w:szCs w:val="20"/>
        <w:bCs/>
        <w:rFonts w:ascii="Titillium" w:hAnsi="Titillium" w:cs="Times New Roman"/>
      </w:rPr>
    </w:lvl>
    <w:lvl w:ilvl="1">
      <w:start w:val="1"/>
      <w:numFmt w:val="decimal"/>
      <w:lvlText w:val="%2)"/>
      <w:lvlJc w:val="left"/>
      <w:pPr>
        <w:tabs>
          <w:tab w:val="num" w:pos="0"/>
        </w:tabs>
        <w:ind w:left="1440" w:hanging="360"/>
      </w:pPr>
      <w:rPr>
        <w:dstrike w:val="false"/>
        <w:strike w:val="false"/>
        <w:sz w:val="20"/>
        <w:i w:val="false"/>
        <w:b w:val="false"/>
        <w:szCs w:val="20"/>
        <w:iCs w:val="false"/>
        <w:bCs w:val="false"/>
        <w:rFonts w:ascii="Titillium" w:hAnsi="Titillium"/>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7">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38">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49"/>
    <w:lvlOverride w:ilvl="0">
      <w:startOverride w:val="9"/>
    </w:lvlOverride>
  </w:num>
  <w:num w:numId="140">
    <w:abstractNumId w:val="49"/>
  </w:num>
  <w:num w:numId="141">
    <w:abstractNumId w:val="49"/>
  </w:num>
  <w:num w:numId="142">
    <w:abstractNumId w:val="49"/>
  </w:num>
  <w:num w:numId="143">
    <w:abstractNumId w:val="49"/>
  </w:num>
  <w:num w:numId="144">
    <w:abstractNumId w:val="49"/>
  </w:num>
  <w:num w:numId="145">
    <w:abstractNumId w:val="49"/>
  </w:num>
  <w:num w:numId="146">
    <w:abstractNumId w:val="49"/>
  </w:num>
  <w:num w:numId="147">
    <w:abstractNumId w:val="57"/>
    <w:lvlOverride w:ilvl="0">
      <w:startOverride w:val="1"/>
    </w:lvlOverride>
  </w:num>
  <w:num w:numId="148">
    <w:abstractNumId w:val="57"/>
  </w:num>
  <w:num w:numId="149">
    <w:abstractNumId w:val="57"/>
  </w:num>
  <w:num w:numId="150">
    <w:abstractNumId w:val="57"/>
  </w:num>
  <w:num w:numId="151">
    <w:abstractNumId w:val="57"/>
  </w:num>
  <w:num w:numId="152">
    <w:abstractNumId w:val="57"/>
  </w:num>
  <w:num w:numId="153">
    <w:abstractNumId w:val="57"/>
  </w:num>
  <w:num w:numId="154">
    <w:abstractNumId w:val="57"/>
  </w:num>
  <w:num w:numId="155">
    <w:abstractNumId w:val="30"/>
    <w:lvlOverride w:ilvl="0">
      <w:startOverride w:val="1"/>
    </w:lvlOverride>
  </w:num>
  <w:num w:numId="156">
    <w:abstractNumId w:val="2"/>
    <w:lvlOverride w:ilvl="0">
      <w:startOverride w:val="1"/>
    </w:lvlOverride>
    <w:lvlOverride w:ilvl="1">
      <w:startOverride w:val="1"/>
    </w:lvlOverride>
    <w:lvlOverride w:ilvl="2">
      <w:startOverride w:val="1"/>
    </w:lvlOverride>
  </w:num>
  <w:num w:numId="157">
    <w:abstractNumId w:val="67"/>
    <w:lvlOverride w:ilvl="0">
      <w:startOverride w:val="1"/>
    </w:lvlOverride>
  </w:num>
  <w:num w:numId="158">
    <w:abstractNumId w:val="67"/>
  </w:num>
  <w:num w:numId="159">
    <w:abstractNumId w:val="67"/>
  </w:num>
  <w:num w:numId="160">
    <w:abstractNumId w:val="67"/>
  </w:num>
  <w:num w:numId="161">
    <w:abstractNumId w:val="67"/>
  </w:num>
  <w:num w:numId="162">
    <w:abstractNumId w:val="67"/>
  </w:num>
  <w:num w:numId="163">
    <w:abstractNumId w:val="67"/>
  </w:num>
  <w:num w:numId="164">
    <w:abstractNumId w:val="67"/>
  </w:num>
  <w:num w:numId="165">
    <w:abstractNumId w:val="67"/>
  </w:num>
  <w:num w:numId="166">
    <w:abstractNumId w:val="67"/>
  </w:num>
  <w:num w:numId="167">
    <w:abstractNumId w:val="67"/>
  </w:num>
  <w:num w:numId="168">
    <w:abstractNumId w:val="67"/>
  </w:num>
  <w:num w:numId="169">
    <w:abstractNumId w:val="67"/>
  </w:num>
  <w:num w:numId="170">
    <w:abstractNumId w:val="67"/>
  </w:num>
  <w:num w:numId="171">
    <w:abstractNumId w:val="67"/>
  </w:num>
  <w:num w:numId="172">
    <w:abstractNumId w:val="67"/>
  </w:num>
  <w:num w:numId="173">
    <w:abstractNumId w:val="67"/>
  </w:num>
  <w:num w:numId="174">
    <w:abstractNumId w:val="84"/>
    <w:lvlOverride w:ilvl="0">
      <w:startOverride w:val="1"/>
    </w:lvlOverride>
  </w:num>
  <w:num w:numId="175">
    <w:abstractNumId w:val="84"/>
  </w:num>
  <w:num w:numId="176">
    <w:abstractNumId w:val="84"/>
  </w:num>
  <w:num w:numId="177">
    <w:abstractNumId w:val="84"/>
  </w:num>
  <w:num w:numId="178">
    <w:abstractNumId w:val="84"/>
  </w:num>
  <w:num w:numId="179">
    <w:abstractNumId w:val="84"/>
  </w:num>
  <w:num w:numId="180">
    <w:abstractNumId w:val="84"/>
  </w:num>
  <w:num w:numId="181">
    <w:abstractNumId w:val="84"/>
  </w:num>
  <w:num w:numId="182">
    <w:abstractNumId w:val="92"/>
    <w:lvlOverride w:ilvl="0">
      <w:startOverride w:val="1"/>
    </w:lvlOverride>
  </w:num>
  <w:num w:numId="183">
    <w:abstractNumId w:val="92"/>
  </w:num>
  <w:num w:numId="184">
    <w:abstractNumId w:val="92"/>
  </w:num>
  <w:num w:numId="185">
    <w:abstractNumId w:val="92"/>
  </w:num>
  <w:num w:numId="186">
    <w:abstractNumId w:val="92"/>
  </w:num>
  <w:num w:numId="187">
    <w:abstractNumId w:val="48"/>
  </w:num>
  <w:num w:numId="188">
    <w:abstractNumId w:val="48"/>
  </w:num>
  <w:num w:numId="189">
    <w:abstractNumId w:val="48"/>
  </w:num>
  <w:num w:numId="190">
    <w:abstractNumId w:val="48"/>
  </w:num>
  <w:num w:numId="191">
    <w:abstractNumId w:val="48"/>
  </w:num>
  <w:num w:numId="192">
    <w:abstractNumId w:val="48"/>
  </w:num>
  <w:num w:numId="193">
    <w:abstractNumId w:val="48"/>
  </w:num>
  <w:num w:numId="194">
    <w:abstractNumId w:val="48"/>
  </w:num>
  <w:num w:numId="195">
    <w:abstractNumId w:val="48"/>
  </w:num>
  <w:num w:numId="196">
    <w:abstractNumId w:val="48"/>
  </w:num>
  <w:num w:numId="197">
    <w:abstractNumId w:val="48"/>
  </w:num>
  <w:num w:numId="198">
    <w:abstractNumId w:val="48"/>
  </w:num>
  <w:num w:numId="199">
    <w:abstractNumId w:val="48"/>
  </w:num>
  <w:num w:numId="200">
    <w:abstractNumId w:val="48"/>
    <w:lvlOverride w:ilvl="0">
      <w:startOverride w:val="1"/>
    </w:lvlOverride>
    <w:lvlOverride w:ilvl="1">
      <w:startOverride w:val="1"/>
    </w:lvlOverride>
    <w:lvlOverride w:ilvl="2">
      <w:startOverride w:val="1"/>
    </w:lvlOverride>
    <w:lvlOverride w:ilvl="3">
      <w:startOverride w:val="1"/>
    </w:lvlOverride>
    <w:lvlOverride w:ilvl="4">
      <w:lvl w:ilvl="4">
        <w:start w:val="1"/>
        <w:numFmt w:val="decimal"/>
        <w:lvlText w:val="%5)"/>
        <w:lvlJc w:val="left"/>
        <w:pPr>
          <w:tabs>
            <w:tab w:val="num" w:pos="0"/>
          </w:tabs>
          <w:ind w:left="3600" w:hanging="360"/>
        </w:pPr>
        <w:rPr/>
      </w:lvl>
      <w:startOverride w:val="1"/>
    </w:lvlOverride>
  </w:num>
  <w:num w:numId="201">
    <w:abstractNumId w:val="48"/>
    <w:lvlOverride w:ilvl="0">
      <w:startOverride w:val="1"/>
    </w:lvlOverride>
    <w:lvlOverride w:ilvl="1">
      <w:startOverride w:val="1"/>
    </w:lvlOverride>
    <w:lvlOverride w:ilvl="2">
      <w:startOverride w:val="1"/>
    </w:lvlOverride>
    <w:lvlOverride w:ilvl="3">
      <w:startOverride w:val="1"/>
    </w:lvlOverride>
    <w:lvlOverride w:ilvl="4">
      <w:lvl w:ilvl="4">
        <w:start w:val="1"/>
        <w:numFmt w:val="decimal"/>
        <w:lvlText w:val="%5)"/>
        <w:lvlJc w:val="left"/>
        <w:pPr>
          <w:tabs>
            <w:tab w:val="num" w:pos="0"/>
          </w:tabs>
          <w:ind w:left="3600" w:hanging="360"/>
        </w:pPr>
        <w:rPr/>
      </w:lvl>
    </w:lvlOverride>
  </w:num>
  <w:num w:numId="202">
    <w:abstractNumId w:val="48"/>
    <w:lvlOverride w:ilvl="0">
      <w:startOverride w:val="1"/>
    </w:lvlOverride>
    <w:lvlOverride w:ilvl="1">
      <w:startOverride w:val="3"/>
    </w:lvlOverride>
  </w:num>
  <w:num w:numId="203">
    <w:abstractNumId w:val="48"/>
  </w:num>
  <w:num w:numId="204">
    <w:abstractNumId w:val="48"/>
  </w:num>
  <w:num w:numId="205">
    <w:abstractNumId w:val="48"/>
  </w:num>
  <w:num w:numId="206">
    <w:abstractNumId w:val="48"/>
  </w:num>
  <w:num w:numId="207">
    <w:abstractNumId w:val="117"/>
    <w:lvlOverride w:ilvl="0">
      <w:startOverride w:val="1"/>
    </w:lvlOverride>
  </w:num>
  <w:num w:numId="208">
    <w:abstractNumId w:val="118"/>
    <w:lvlOverride w:ilvl="0">
      <w:startOverride w:val="1"/>
    </w:lvlOverride>
  </w:num>
  <w:num w:numId="209">
    <w:abstractNumId w:val="118"/>
  </w:num>
  <w:num w:numId="210">
    <w:abstractNumId w:val="118"/>
  </w:num>
  <w:num w:numId="211">
    <w:abstractNumId w:val="121"/>
    <w:lvlOverride w:ilvl="0">
      <w:startOverride w:val="2"/>
    </w:lvlOverride>
  </w:num>
  <w:num w:numId="212">
    <w:abstractNumId w:val="121"/>
  </w:num>
  <w:num w:numId="213">
    <w:abstractNumId w:val="121"/>
  </w:num>
  <w:num w:numId="214">
    <w:abstractNumId w:val="121"/>
  </w:num>
  <w:num w:numId="215">
    <w:abstractNumId w:val="36"/>
    <w:lvlOverride w:ilvl="0">
      <w:startOverride w:val="1"/>
    </w:lvlOverride>
  </w:num>
  <w:num w:numId="216">
    <w:abstractNumId w:val="126"/>
    <w:lvlOverride w:ilvl="0">
      <w:startOverride w:val="3"/>
    </w:lvlOverride>
  </w:num>
  <w:num w:numId="217">
    <w:abstractNumId w:val="127"/>
    <w:lvlOverride w:ilvl="0">
      <w:startOverride w:val="1"/>
    </w:lvlOverride>
  </w:num>
  <w:num w:numId="218">
    <w:abstractNumId w:val="127"/>
  </w:num>
  <w:num w:numId="219">
    <w:abstractNumId w:val="129"/>
    <w:lvlOverride w:ilvl="0">
      <w:startOverride w:val="2"/>
    </w:lvlOverride>
  </w:num>
  <w:num w:numId="220">
    <w:abstractNumId w:val="129"/>
  </w:num>
  <w:num w:numId="221">
    <w:abstractNumId w:val="131"/>
    <w:lvlOverride w:ilvl="0">
      <w:startOverride w:val="1"/>
    </w:lvlOverride>
  </w:num>
  <w:num w:numId="222">
    <w:abstractNumId w:val="131"/>
  </w:num>
  <w:num w:numId="223">
    <w:abstractNumId w:val="131"/>
  </w:num>
  <w:num w:numId="224">
    <w:abstractNumId w:val="131"/>
  </w:num>
  <w:num w:numId="225">
    <w:abstractNumId w:val="131"/>
    <w:lvlOverride w:ilvl="0">
      <w:startOverride w:val="1"/>
    </w:lvlOverride>
    <w:lvlOverride w:ilvl="1">
      <w:startOverride w:val="1"/>
    </w:lvlOverride>
  </w:num>
  <w:num w:numId="226">
    <w:abstractNumId w:val="131"/>
  </w:num>
  <w:num w:numId="227">
    <w:abstractNumId w:val="44"/>
    <w:lvlOverride w:ilvl="0">
      <w:startOverride w:val="1"/>
    </w:lvlOverride>
  </w:num>
  <w:num w:numId="228">
    <w:abstractNumId w:val="45"/>
    <w:lvlOverride w:ilvl="0">
      <w:startOverride w:val="1"/>
    </w:lvlOverride>
  </w:num>
</w:numbering>
</file>

<file path=word/settings.xml><?xml version="1.0" encoding="utf-8"?>
<w:settings xmlns:w="http://schemas.openxmlformats.org/wordprocessingml/2006/main">
  <w:zoom w:percent="160"/>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pl-P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tabs>
        <w:tab w:val="clear" w:pos="720"/>
        <w:tab w:val="left" w:pos="685" w:leader="none"/>
        <w:tab w:val="center" w:pos="4876" w:leader="none"/>
        <w:tab w:val="left" w:pos="5470" w:leader="none"/>
      </w:tabs>
      <w:suppressAutoHyphens w:val="true"/>
      <w:bidi w:val="0"/>
      <w:spacing w:before="0" w:after="0"/>
      <w:ind w:hanging="340" w:left="340"/>
      <w:jc w:val="both"/>
      <w:textAlignment w:val="baseline"/>
    </w:pPr>
    <w:rPr>
      <w:rFonts w:ascii="Liberation Serif" w:hAnsi="Liberation Serif" w:eastAsia="SimSun" w:cs="Mangal"/>
      <w:b/>
      <w:color w:val="auto"/>
      <w:kern w:val="2"/>
      <w:sz w:val="24"/>
      <w:szCs w:val="24"/>
      <w:lang w:val="pl-PL" w:eastAsia="zh-CN" w:bidi="hi-IN"/>
    </w:rPr>
  </w:style>
  <w:style w:type="paragraph" w:styleId="Heading1">
    <w:name w:val="Heading 1"/>
    <w:basedOn w:val="Standard"/>
    <w:next w:val="Standard"/>
    <w:uiPriority w:val="9"/>
    <w:qFormat/>
    <w:pPr>
      <w:keepNext w:val="true"/>
      <w:numPr>
        <w:ilvl w:val="0"/>
        <w:numId w:val="1"/>
      </w:numPr>
      <w:outlineLvl w:val="0"/>
    </w:pPr>
    <w:rPr>
      <w:rFonts w:ascii="Titillium" w:hAnsi="Titillium" w:eastAsia="Titillium" w:cs="Titillium"/>
      <w:b/>
      <w:sz w:val="28"/>
    </w:rPr>
  </w:style>
  <w:style w:type="paragraph" w:styleId="Heading2">
    <w:name w:val="Heading 2"/>
    <w:basedOn w:val="Standard"/>
    <w:next w:val="Standard"/>
    <w:uiPriority w:val="9"/>
    <w:unhideWhenUsed/>
    <w:qFormat/>
    <w:pPr>
      <w:keepNext w:val="true"/>
      <w:numPr>
        <w:ilvl w:val="1"/>
        <w:numId w:val="1"/>
      </w:numPr>
      <w:jc w:val="center"/>
      <w:outlineLvl w:val="1"/>
    </w:pPr>
    <w:rPr>
      <w:b/>
      <w:sz w:val="22"/>
    </w:rPr>
  </w:style>
  <w:style w:type="paragraph" w:styleId="Heading3">
    <w:name w:val="Heading 3"/>
    <w:basedOn w:val="Standard"/>
    <w:next w:val="Standard"/>
    <w:uiPriority w:val="9"/>
    <w:semiHidden/>
    <w:unhideWhenUsed/>
    <w:qFormat/>
    <w:pPr>
      <w:keepNext w:val="true"/>
      <w:jc w:val="both"/>
      <w:outlineLvl w:val="2"/>
    </w:pPr>
    <w:rPr>
      <w:b/>
      <w:sz w:val="22"/>
    </w:rPr>
  </w:style>
  <w:style w:type="paragraph" w:styleId="Heading4">
    <w:name w:val="Heading 4"/>
    <w:basedOn w:val="Standard"/>
    <w:next w:val="Standard"/>
    <w:uiPriority w:val="9"/>
    <w:semiHidden/>
    <w:unhideWhenUsed/>
    <w:qFormat/>
    <w:pPr>
      <w:keepNext w:val="true"/>
      <w:numPr>
        <w:ilvl w:val="3"/>
        <w:numId w:val="1"/>
      </w:numPr>
      <w:jc w:val="center"/>
      <w:outlineLvl w:val="3"/>
    </w:pPr>
    <w:rPr>
      <w:b/>
      <w:sz w:val="22"/>
    </w:rPr>
  </w:style>
  <w:style w:type="paragraph" w:styleId="Heading5">
    <w:name w:val="Heading 5"/>
    <w:basedOn w:val="Standard"/>
    <w:next w:val="Standard"/>
    <w:uiPriority w:val="9"/>
    <w:semiHidden/>
    <w:unhideWhenUsed/>
    <w:qFormat/>
    <w:pPr>
      <w:keepNext w:val="true"/>
      <w:numPr>
        <w:ilvl w:val="4"/>
        <w:numId w:val="1"/>
      </w:numPr>
      <w:tabs>
        <w:tab w:val="clear" w:pos="720"/>
        <w:tab w:val="left" w:pos="-4560" w:leader="none"/>
      </w:tabs>
      <w:jc w:val="both"/>
      <w:outlineLvl w:val="4"/>
    </w:pPr>
    <w:rPr>
      <w:b/>
      <w:color w:val="000080"/>
      <w:sz w:val="22"/>
    </w:rPr>
  </w:style>
  <w:style w:type="paragraph" w:styleId="Heading6">
    <w:name w:val="Heading 6"/>
    <w:basedOn w:val="Standard"/>
    <w:next w:val="Standard"/>
    <w:uiPriority w:val="9"/>
    <w:semiHidden/>
    <w:unhideWhenUsed/>
    <w:qFormat/>
    <w:pPr>
      <w:numPr>
        <w:ilvl w:val="5"/>
        <w:numId w:val="1"/>
      </w:numPr>
      <w:spacing w:before="240" w:after="60"/>
      <w:outlineLvl w:val="5"/>
    </w:pPr>
    <w:rPr>
      <w:b/>
      <w:bCs/>
      <w:sz w:val="22"/>
      <w:szCs w:val="22"/>
    </w:rPr>
  </w:style>
  <w:style w:type="paragraph" w:styleId="Heading7">
    <w:name w:val="Heading 7"/>
    <w:basedOn w:val="Standard"/>
    <w:next w:val="Standard"/>
    <w:qFormat/>
    <w:pPr>
      <w:numPr>
        <w:ilvl w:val="6"/>
        <w:numId w:val="1"/>
      </w:numPr>
      <w:spacing w:before="240" w:after="60"/>
      <w:outlineLvl w:val="6"/>
    </w:pPr>
    <w:rPr>
      <w:sz w:val="24"/>
      <w:szCs w:val="24"/>
    </w:rPr>
  </w:style>
  <w:style w:type="paragraph" w:styleId="Heading8">
    <w:name w:val="Heading 8"/>
    <w:basedOn w:val="Standard"/>
    <w:next w:val="Standard"/>
    <w:qFormat/>
    <w:pPr>
      <w:keepNext w:val="true"/>
      <w:numPr>
        <w:ilvl w:val="7"/>
        <w:numId w:val="1"/>
      </w:numPr>
      <w:outlineLvl w:val="7"/>
    </w:pPr>
    <w:rPr>
      <w:sz w:val="28"/>
      <w:u w:val="single"/>
    </w:rPr>
  </w:style>
  <w:style w:type="paragraph" w:styleId="Heading9">
    <w:name w:val="Heading 9"/>
    <w:basedOn w:val="Standard"/>
    <w:next w:val="Standard"/>
    <w:qFormat/>
    <w:pPr>
      <w:numPr>
        <w:ilvl w:val="8"/>
        <w:numId w:val="1"/>
      </w:numPr>
      <w:spacing w:before="240" w:after="60"/>
      <w:outlineLvl w:val="8"/>
    </w:pPr>
    <w:rPr>
      <w:rFonts w:ascii="Arial" w:hAnsi="Arial" w:eastAsia="Arial" w:cs="Arial"/>
      <w:sz w:val="22"/>
      <w:szCs w:val="22"/>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qFormat/>
    <w:rPr>
      <w:sz w:val="16"/>
      <w:szCs w:val="16"/>
    </w:rPr>
  </w:style>
  <w:style w:type="character" w:styleId="Hyperlink">
    <w:name w:val="Hyperlink"/>
    <w:basedOn w:val="DefaultParagraphFont"/>
    <w:rPr>
      <w:color w:val="0000FF"/>
      <w:u w:val="single"/>
    </w:rPr>
  </w:style>
  <w:style w:type="character" w:styleId="WW8Num1z0" w:customStyle="1">
    <w:name w:val="WW8Num1z0"/>
    <w:qFormat/>
    <w:rPr>
      <w:bCs/>
      <w:i w:val="false"/>
      <w:strike w:val="false"/>
      <w:dstrike w:val="false"/>
      <w:color w:val="231F20"/>
    </w:rPr>
  </w:style>
  <w:style w:type="character" w:styleId="WW8Num2z0" w:customStyle="1">
    <w:name w:val="WW8Num2z0"/>
    <w:qFormat/>
    <w:rPr>
      <w:color w:val="000000"/>
      <w:sz w:val="20"/>
      <w:szCs w:val="20"/>
    </w:rPr>
  </w:style>
  <w:style w:type="character" w:styleId="WW8Num3z0" w:customStyle="1">
    <w:name w:val="WW8Num3z0"/>
    <w:qFormat/>
    <w:rPr/>
  </w:style>
  <w:style w:type="character" w:styleId="WW8Num4z0" w:customStyle="1">
    <w:name w:val="WW8Num4z0"/>
    <w:qFormat/>
    <w:rPr>
      <w:b/>
    </w:rPr>
  </w:style>
  <w:style w:type="character" w:styleId="WW8Num5z0" w:customStyle="1">
    <w:name w:val="WW8Num5z0"/>
    <w:qFormat/>
    <w:rPr>
      <w:rFonts w:cs="Calibri"/>
      <w:bCs/>
    </w:rPr>
  </w:style>
  <w:style w:type="character" w:styleId="WW8Num6z0" w:customStyle="1">
    <w:name w:val="WW8Num6z0"/>
    <w:qFormat/>
    <w:rPr>
      <w:rFonts w:eastAsia="Arial Unicode MS"/>
      <w:b w:val="false"/>
      <w:bCs/>
      <w:i w:val="false"/>
      <w:color w:val="000000"/>
      <w:sz w:val="20"/>
      <w:szCs w:val="20"/>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Titillium" w:hAnsi="Titillium" w:eastAsia="Titillium" w:cs="Times New Roman"/>
      <w:b w:val="false"/>
      <w:i w:val="false"/>
      <w:strike w:val="false"/>
      <w:dstrike w:val="false"/>
      <w:color w:val="000000"/>
      <w:sz w:val="20"/>
      <w:szCs w:val="20"/>
      <w:u w:val="none"/>
    </w:rPr>
  </w:style>
  <w:style w:type="character" w:styleId="WW8Num8z0" w:customStyle="1">
    <w:name w:val="WW8Num8z0"/>
    <w:qFormat/>
    <w:rPr>
      <w:b w:val="false"/>
      <w:color w:val="000000"/>
    </w:rPr>
  </w:style>
  <w:style w:type="character" w:styleId="WW8Num9z0" w:customStyle="1">
    <w:name w:val="WW8Num9z0"/>
    <w:qFormat/>
    <w:rPr>
      <w:rFonts w:ascii="Titillium" w:hAnsi="Titillium" w:eastAsia="Titillium" w:cs="Times New Roman"/>
      <w:b w:val="false"/>
      <w:bCs w:val="false"/>
      <w:sz w:val="20"/>
      <w:szCs w:val="20"/>
    </w:rPr>
  </w:style>
  <w:style w:type="character" w:styleId="WW8Num9z1" w:customStyle="1">
    <w:name w:val="WW8Num9z1"/>
    <w:qFormat/>
    <w:rPr>
      <w:rFonts w:ascii="Times New Roman" w:hAnsi="Times New Roman" w:eastAsia="Times New Roman" w:cs="Times New Roman"/>
      <w:b w:val="false"/>
      <w:i w:val="false"/>
      <w:strike w:val="false"/>
      <w:dstrike w:val="false"/>
      <w:sz w:val="20"/>
      <w:szCs w:val="20"/>
      <w:u w:val="none"/>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b w:val="false"/>
      <w:bCs/>
      <w:sz w:val="20"/>
      <w:szCs w:val="20"/>
    </w:rPr>
  </w:style>
  <w:style w:type="character" w:styleId="WW8Num11z0" w:customStyle="1">
    <w:name w:val="WW8Num11z0"/>
    <w:qFormat/>
    <w:rPr>
      <w:rFonts w:ascii="Times New Roman" w:hAnsi="Times New Roman" w:eastAsia="Times New Roman" w:cs="Times New Roman"/>
      <w:b w:val="false"/>
      <w:bCs/>
      <w:i w:val="false"/>
      <w:color w:val="000000"/>
      <w:sz w:val="20"/>
      <w:szCs w:val="20"/>
    </w:rPr>
  </w:style>
  <w:style w:type="character" w:styleId="WW8Num12z0" w:customStyle="1">
    <w:name w:val="WW8Num12z0"/>
    <w:qFormat/>
    <w:rPr>
      <w:b w:val="false"/>
    </w:rPr>
  </w:style>
  <w:style w:type="character" w:styleId="WW8Num13z0" w:customStyle="1">
    <w:name w:val="WW8Num13z0"/>
    <w:qFormat/>
    <w:rPr>
      <w:rFonts w:ascii="Titillium" w:hAnsi="Titillium" w:eastAsia="Titillium" w:cs="Titillium"/>
      <w:sz w:val="22"/>
      <w:szCs w:val="22"/>
    </w:rPr>
  </w:style>
  <w:style w:type="character" w:styleId="WW8Num14z0" w:customStyle="1">
    <w:name w:val="WW8Num14z0"/>
    <w:qFormat/>
    <w:rPr>
      <w:rFonts w:ascii="Titillium" w:hAnsi="Titillium" w:eastAsia="Univers-PL, 'Times New Roman'" w:cs="Times New Roman"/>
      <w:b w:val="false"/>
      <w:color w:val="000000"/>
      <w:sz w:val="20"/>
      <w:szCs w:val="20"/>
      <w:lang w:eastAsia="pl-PL"/>
    </w:rPr>
  </w:style>
  <w:style w:type="character" w:styleId="WW8Num15z0" w:customStyle="1">
    <w:name w:val="WW8Num15z0"/>
    <w:qFormat/>
    <w:rPr>
      <w:rFonts w:eastAsia="Univers-PL, 'Times New Roman'"/>
      <w:b w:val="false"/>
      <w:sz w:val="20"/>
    </w:rPr>
  </w:style>
  <w:style w:type="character" w:styleId="WW8Num16z0" w:customStyle="1">
    <w:name w:val="WW8Num16z0"/>
    <w:qFormat/>
    <w:rPr>
      <w:rFonts w:ascii="Titillium" w:hAnsi="Titillium" w:eastAsia="Times-Roman, 'Times New Roman'" w:cs="Times New Roman"/>
      <w:b w:val="false"/>
      <w:sz w:val="20"/>
      <w:szCs w:val="20"/>
    </w:rPr>
  </w:style>
  <w:style w:type="character" w:styleId="WW8Num16z1" w:customStyle="1">
    <w:name w:val="WW8Num16z1"/>
    <w:qFormat/>
    <w:rPr>
      <w:rFonts w:eastAsia="Verdana"/>
      <w:b w:val="false"/>
      <w:sz w:val="20"/>
      <w:szCs w:val="20"/>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Titillium" w:hAnsi="Titillium" w:eastAsia="Titillium" w:cs="Times New Roman"/>
      <w:b w:val="false"/>
      <w:bCs/>
      <w:i w:val="false"/>
      <w:strike w:val="false"/>
      <w:dstrike w:val="false"/>
      <w:sz w:val="20"/>
      <w:szCs w:val="20"/>
      <w:u w:val="none"/>
    </w:rPr>
  </w:style>
  <w:style w:type="character" w:styleId="WW8Num18z0" w:customStyle="1">
    <w:name w:val="WW8Num18z0"/>
    <w:qFormat/>
    <w:rPr>
      <w:rFonts w:ascii="Times New Roman" w:hAnsi="Times New Roman" w:eastAsia="Times New Roman" w:cs="Times New Roman"/>
      <w:sz w:val="18"/>
      <w:szCs w:val="18"/>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Times New Roman" w:hAnsi="Times New Roman" w:eastAsia="Times-Roman, 'Times New Roman'" w:cs="Times New Roman"/>
      <w:b w:val="false"/>
      <w:bCs w:val="false"/>
      <w:i w:val="false"/>
      <w:iCs w:val="false"/>
      <w:strike w:val="false"/>
      <w:dstrike w:val="false"/>
      <w:sz w:val="20"/>
      <w:szCs w:val="20"/>
      <w:lang w:eastAsia="pl-PL"/>
    </w:rPr>
  </w:style>
  <w:style w:type="character" w:styleId="WW8Num20z0" w:customStyle="1">
    <w:name w:val="WW8Num20z0"/>
    <w:qFormat/>
    <w:rPr/>
  </w:style>
  <w:style w:type="character" w:styleId="WW8Num21z0" w:customStyle="1">
    <w:name w:val="WW8Num21z0"/>
    <w:qFormat/>
    <w:rPr>
      <w:b w:val="false"/>
      <w:bCs/>
      <w:i w:val="false"/>
      <w:strike w:val="false"/>
      <w:dstrike w:val="false"/>
      <w:color w:val="000000"/>
      <w:sz w:val="20"/>
      <w:szCs w:val="20"/>
      <w:u w:val="none"/>
    </w:rPr>
  </w:style>
  <w:style w:type="character" w:styleId="WW8Num21z1" w:customStyle="1">
    <w:name w:val="WW8Num21z1"/>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rFonts w:ascii="Symbol" w:hAnsi="Symbol" w:eastAsia="Times-Roman, 'Times New Roman'" w:cs="Symbol"/>
      <w:strike w:val="false"/>
      <w:dstrike w:val="false"/>
      <w:color w:val="FF0066"/>
      <w:kern w:val="2"/>
      <w:lang w:eastAsia="pl-PL"/>
    </w:rPr>
  </w:style>
  <w:style w:type="character" w:styleId="WW8Num23z0" w:customStyle="1">
    <w:name w:val="WW8Num23z0"/>
    <w:qFormat/>
    <w:rPr>
      <w:rFonts w:ascii="Times New Roman" w:hAnsi="Times New Roman" w:eastAsia="Times New Roman" w:cs="Times New Roman"/>
      <w:b w:val="false"/>
      <w:bCs/>
      <w:i w:val="false"/>
      <w:strike w:val="false"/>
      <w:dstrike w:val="false"/>
      <w:color w:val="000000"/>
      <w:sz w:val="20"/>
      <w:szCs w:val="20"/>
      <w:u w:val="none"/>
    </w:rPr>
  </w:style>
  <w:style w:type="character" w:styleId="WW8Num24z0" w:customStyle="1">
    <w:name w:val="WW8Num24z0"/>
    <w:qFormat/>
    <w:rPr>
      <w:rFonts w:ascii="Titillium" w:hAnsi="Titillium" w:eastAsia="Titillium" w:cs="Times New Roman"/>
      <w:b w:val="false"/>
      <w:i w:val="false"/>
      <w:strike w:val="false"/>
      <w:dstrike w:val="false"/>
      <w:sz w:val="20"/>
      <w:szCs w:val="20"/>
      <w:u w:val="none"/>
    </w:rPr>
  </w:style>
  <w:style w:type="character" w:styleId="WW8Num25z0" w:customStyle="1">
    <w:name w:val="WW8Num25z0"/>
    <w:qFormat/>
    <w:rPr>
      <w:color w:val="000000"/>
    </w:rPr>
  </w:style>
  <w:style w:type="character" w:styleId="WW8Num26z0" w:customStyle="1">
    <w:name w:val="WW8Num26z0"/>
    <w:qFormat/>
    <w:rPr>
      <w:b w:val="false"/>
      <w:color w:val="000000"/>
    </w:rPr>
  </w:style>
  <w:style w:type="character" w:styleId="WW8Num27z0" w:customStyle="1">
    <w:name w:val="WW8Num27z0"/>
    <w:qFormat/>
    <w:rPr>
      <w:rFonts w:cs="Tahoma"/>
    </w:rPr>
  </w:style>
  <w:style w:type="character" w:styleId="WW8Num28z0" w:customStyle="1">
    <w:name w:val="WW8Num28z0"/>
    <w:qFormat/>
    <w:rPr>
      <w:rFonts w:ascii="Times New Roman" w:hAnsi="Times New Roman" w:eastAsia="Times New Roman" w:cs="Times New Roman"/>
      <w:b w:val="false"/>
      <w:i w:val="false"/>
      <w:strike w:val="false"/>
      <w:dstrike w:val="false"/>
      <w:sz w:val="20"/>
      <w:szCs w:val="20"/>
      <w:u w:val="none"/>
    </w:rPr>
  </w:style>
  <w:style w:type="character" w:styleId="WW8Num28z2" w:customStyle="1">
    <w:name w:val="WW8Num28z2"/>
    <w:qFormat/>
    <w:rPr>
      <w:rFonts w:ascii="Symbol" w:hAnsi="Symbol" w:eastAsia="Symbol" w:cs="Symbol"/>
      <w:strike w:val="false"/>
      <w:dstrike w:val="false"/>
    </w:rPr>
  </w:style>
  <w:style w:type="character" w:styleId="WW8Num28z3" w:customStyle="1">
    <w:name w:val="WW8Num28z3"/>
    <w:qFormat/>
    <w:rPr/>
  </w:style>
  <w:style w:type="character" w:styleId="WW8Num28z4" w:customStyle="1">
    <w:name w:val="WW8Num28z4"/>
    <w:qFormat/>
    <w:rPr>
      <w:rFonts w:ascii="Times New Roman" w:hAnsi="Times New Roman" w:eastAsia="Times New Roman" w:cs="Times New Roman"/>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0" w:customStyle="1">
    <w:name w:val="WW8Num29z0"/>
    <w:qFormat/>
    <w:rPr/>
  </w:style>
  <w:style w:type="character" w:styleId="WW8Num29z1" w:customStyle="1">
    <w:name w:val="WW8Num29z1"/>
    <w:qFormat/>
    <w:rPr>
      <w:rFonts w:ascii="Courier New" w:hAnsi="Courier New" w:eastAsia="Courier New" w:cs="Courier New"/>
    </w:rPr>
  </w:style>
  <w:style w:type="character" w:styleId="WW8Num29z2" w:customStyle="1">
    <w:name w:val="WW8Num29z2"/>
    <w:qFormat/>
    <w:rPr>
      <w:rFonts w:ascii="Times New Roman" w:hAnsi="Times New Roman" w:eastAsia="Times-Roman, 'Times New Roman'" w:cs="Times New Roman"/>
      <w:b w:val="false"/>
      <w:i w:val="false"/>
      <w:iCs/>
      <w:color w:val="000000"/>
      <w:sz w:val="20"/>
      <w:szCs w:val="20"/>
    </w:rPr>
  </w:style>
  <w:style w:type="character" w:styleId="WW8Num29z3" w:customStyle="1">
    <w:name w:val="WW8Num29z3"/>
    <w:qFormat/>
    <w:rPr>
      <w:rFonts w:ascii="Symbol" w:hAnsi="Symbol" w:eastAsia="Symbol" w:cs="Symbol"/>
    </w:rPr>
  </w:style>
  <w:style w:type="character" w:styleId="WW8Num29z5" w:customStyle="1">
    <w:name w:val="WW8Num29z5"/>
    <w:qFormat/>
    <w:rPr>
      <w:rFonts w:ascii="Wingdings" w:hAnsi="Wingdings" w:eastAsia="Wingdings" w:cs="Wingdings"/>
    </w:rPr>
  </w:style>
  <w:style w:type="character" w:styleId="WW8Num30z0" w:customStyle="1">
    <w:name w:val="WW8Num30z0"/>
    <w:qFormat/>
    <w:rPr>
      <w:rFonts w:eastAsia="TimesNewRoman, 'MS Mincho'"/>
      <w:color w:val="000000"/>
    </w:rPr>
  </w:style>
  <w:style w:type="character" w:styleId="WW8Num31z0" w:customStyle="1">
    <w:name w:val="WW8Num31z0"/>
    <w:qFormat/>
    <w:rPr/>
  </w:style>
  <w:style w:type="character" w:styleId="WW8Num31z1" w:customStyle="1">
    <w:name w:val="WW8Num31z1"/>
    <w:qFormat/>
    <w:rPr>
      <w:rFonts w:cs="Tahoma"/>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strike w:val="false"/>
      <w:dstrike w:val="false"/>
    </w:rPr>
  </w:style>
  <w:style w:type="character" w:styleId="WW8Num33z0" w:customStyle="1">
    <w:name w:val="WW8Num33z0"/>
    <w:qFormat/>
    <w:rPr>
      <w:b w:val="false"/>
      <w:color w:val="000000"/>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0" w:customStyle="1">
    <w:name w:val="WW8Num34z0"/>
    <w:qFormat/>
    <w:rPr>
      <w:rFonts w:eastAsia="Times-Roman, 'Times New Roman'"/>
      <w:b w:val="false"/>
      <w:bCs w:val="false"/>
      <w:color w:val="000000"/>
    </w:rPr>
  </w:style>
  <w:style w:type="character" w:styleId="WW8Num34z2" w:customStyle="1">
    <w:name w:val="WW8Num34z2"/>
    <w:qFormat/>
    <w:rPr>
      <w:rFonts w:ascii="Symbol" w:hAnsi="Symbol" w:eastAsia="Symbol" w:cs="Symbol"/>
      <w:strike w:val="false"/>
      <w:dstrike w:val="false"/>
    </w:rPr>
  </w:style>
  <w:style w:type="character" w:styleId="WW8Num34z3" w:customStyle="1">
    <w:name w:val="WW8Num34z3"/>
    <w:qFormat/>
    <w:rPr/>
  </w:style>
  <w:style w:type="character" w:styleId="WW8Num34z4" w:customStyle="1">
    <w:name w:val="WW8Num34z4"/>
    <w:qFormat/>
    <w:rPr>
      <w:rFonts w:ascii="Times New Roman" w:hAnsi="Times New Roman" w:eastAsia="Times New Roman" w:cs="Times New Roman"/>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eastAsia="Times-Roman, 'Times New Roman'"/>
      <w:i w:val="false"/>
      <w:iCs w:val="false"/>
    </w:rPr>
  </w:style>
  <w:style w:type="character" w:styleId="WW8Num35z1" w:customStyle="1">
    <w:name w:val="WW8Num35z1"/>
    <w:qFormat/>
    <w:rPr>
      <w:rFonts w:eastAsia="Times-Roman, 'Times New Roman'"/>
      <w:i/>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0" w:customStyle="1">
    <w:name w:val="WW8Num36z0"/>
    <w:qFormat/>
    <w:rPr>
      <w:rFonts w:ascii="Titillium" w:hAnsi="Titillium" w:eastAsia="TimesNewRoman, 'MS Mincho'" w:cs="Times New Roman"/>
      <w:b w:val="false"/>
      <w:bCs w:val="false"/>
      <w:i w:val="false"/>
      <w:iCs w:val="false"/>
      <w:strike w:val="false"/>
      <w:dstrike w:val="false"/>
      <w:color w:val="000000"/>
      <w:sz w:val="20"/>
      <w:szCs w:val="20"/>
    </w:rPr>
  </w:style>
  <w:style w:type="character" w:styleId="WW8Num37z0" w:customStyle="1">
    <w:name w:val="WW8Num37z0"/>
    <w:qFormat/>
    <w:rPr>
      <w:rFonts w:ascii="Times New Roman" w:hAnsi="Times New Roman" w:eastAsia="Times New Roman" w:cs="Times New Roman"/>
      <w:bCs/>
      <w:sz w:val="20"/>
      <w:szCs w:val="20"/>
    </w:rPr>
  </w:style>
  <w:style w:type="character" w:styleId="WW8Num38z0" w:customStyle="1">
    <w:name w:val="WW8Num38z0"/>
    <w:qFormat/>
    <w:rPr>
      <w:bCs/>
    </w:rPr>
  </w:style>
  <w:style w:type="character" w:styleId="WW8Num39z0" w:customStyle="1">
    <w:name w:val="WW8Num39z0"/>
    <w:qFormat/>
    <w:rPr/>
  </w:style>
  <w:style w:type="character" w:styleId="WW8Num40z0" w:customStyle="1">
    <w:name w:val="WW8Num40z0"/>
    <w:qFormat/>
    <w:rPr>
      <w:b w:val="false"/>
    </w:rPr>
  </w:style>
  <w:style w:type="character" w:styleId="WW8Num41z0" w:customStyle="1">
    <w:name w:val="WW8Num41z0"/>
    <w:qFormat/>
    <w:rPr>
      <w:bCs/>
      <w:color w:val="000000"/>
    </w:rPr>
  </w:style>
  <w:style w:type="character" w:styleId="WW8Num42z0" w:customStyle="1">
    <w:name w:val="WW8Num42z0"/>
    <w:qFormat/>
    <w:rPr>
      <w:rFonts w:cs="Calibri"/>
    </w:rPr>
  </w:style>
  <w:style w:type="character" w:styleId="WW8Num42z1" w:customStyle="1">
    <w:name w:val="WW8Num42z1"/>
    <w:qFormat/>
    <w:rPr>
      <w:b w:val="false"/>
      <w:bCs/>
      <w:i w:val="false"/>
      <w:strike w:val="false"/>
      <w:dstrike w:val="false"/>
      <w:sz w:val="20"/>
      <w:szCs w:val="20"/>
      <w:u w:val="none"/>
    </w:rPr>
  </w:style>
  <w:style w:type="character" w:styleId="WW8Num42z2" w:customStyle="1">
    <w:name w:val="WW8Num42z2"/>
    <w:qFormat/>
    <w:rPr/>
  </w:style>
  <w:style w:type="character" w:styleId="WW8Num42z3" w:customStyle="1">
    <w:name w:val="WW8Num42z3"/>
    <w:qFormat/>
    <w:rPr/>
  </w:style>
  <w:style w:type="character" w:styleId="WW8Num42z4" w:customStyle="1">
    <w:name w:val="WW8Num42z4"/>
    <w:qFormat/>
    <w:rPr/>
  </w:style>
  <w:style w:type="character" w:styleId="WW8Num42z5" w:customStyle="1">
    <w:name w:val="WW8Num42z5"/>
    <w:qFormat/>
    <w:rPr/>
  </w:style>
  <w:style w:type="character" w:styleId="WW8Num42z6" w:customStyle="1">
    <w:name w:val="WW8Num42z6"/>
    <w:qFormat/>
    <w:rPr/>
  </w:style>
  <w:style w:type="character" w:styleId="WW8Num42z7" w:customStyle="1">
    <w:name w:val="WW8Num42z7"/>
    <w:qFormat/>
    <w:rPr/>
  </w:style>
  <w:style w:type="character" w:styleId="WW8Num42z8" w:customStyle="1">
    <w:name w:val="WW8Num42z8"/>
    <w:qFormat/>
    <w:rPr/>
  </w:style>
  <w:style w:type="character" w:styleId="WW8Num43z0" w:customStyle="1">
    <w:name w:val="WW8Num43z0"/>
    <w:qFormat/>
    <w:rPr>
      <w:color w:val="000000"/>
    </w:rPr>
  </w:style>
  <w:style w:type="character" w:styleId="WW8Num44z0" w:customStyle="1">
    <w:name w:val="WW8Num44z0"/>
    <w:qFormat/>
    <w:rPr>
      <w:rFonts w:ascii="Times New Roman" w:hAnsi="Times New Roman" w:eastAsia="Times New Roman" w:cs="Times New Roman"/>
      <w:color w:val="000000"/>
      <w:sz w:val="20"/>
      <w:szCs w:val="20"/>
    </w:rPr>
  </w:style>
  <w:style w:type="character" w:styleId="WW8Num45z0" w:customStyle="1">
    <w:name w:val="WW8Num45z0"/>
    <w:qFormat/>
    <w:rPr/>
  </w:style>
  <w:style w:type="character" w:styleId="WW8Num45z1" w:customStyle="1">
    <w:name w:val="WW8Num45z1"/>
    <w:qFormat/>
    <w:rPr>
      <w:rFonts w:ascii="Times New Roman" w:hAnsi="Times New Roman" w:eastAsia="Times New Roman" w:cs="Times New Roman"/>
      <w:b w:val="false"/>
      <w:color w:val="000000"/>
      <w:sz w:val="20"/>
      <w:szCs w:val="20"/>
      <w:lang w:eastAsia="pl-PL"/>
    </w:rPr>
  </w:style>
  <w:style w:type="character" w:styleId="WW8Num45z2" w:customStyle="1">
    <w:name w:val="WW8Num45z2"/>
    <w:qFormat/>
    <w:rPr/>
  </w:style>
  <w:style w:type="character" w:styleId="WW8Num45z3" w:customStyle="1">
    <w:name w:val="WW8Num45z3"/>
    <w:qFormat/>
    <w:rPr/>
  </w:style>
  <w:style w:type="character" w:styleId="WW8Num45z4" w:customStyle="1">
    <w:name w:val="WW8Num45z4"/>
    <w:qFormat/>
    <w:rPr/>
  </w:style>
  <w:style w:type="character" w:styleId="WW8Num45z5" w:customStyle="1">
    <w:name w:val="WW8Num45z5"/>
    <w:qFormat/>
    <w:rPr/>
  </w:style>
  <w:style w:type="character" w:styleId="WW8Num45z6" w:customStyle="1">
    <w:name w:val="WW8Num45z6"/>
    <w:qFormat/>
    <w:rPr/>
  </w:style>
  <w:style w:type="character" w:styleId="WW8Num45z7" w:customStyle="1">
    <w:name w:val="WW8Num45z7"/>
    <w:qFormat/>
    <w:rPr/>
  </w:style>
  <w:style w:type="character" w:styleId="WW8Num45z8" w:customStyle="1">
    <w:name w:val="WW8Num45z8"/>
    <w:qFormat/>
    <w:rPr/>
  </w:style>
  <w:style w:type="character" w:styleId="WW8Num46z0" w:customStyle="1">
    <w:name w:val="WW8Num46z0"/>
    <w:qFormat/>
    <w:rPr>
      <w:rFonts w:ascii="Times New Roman" w:hAnsi="Times New Roman" w:eastAsia="Times New Roman" w:cs="Times New Roman"/>
      <w:b w:val="false"/>
      <w:bCs w:val="false"/>
    </w:rPr>
  </w:style>
  <w:style w:type="character" w:styleId="WW8Num46z1" w:customStyle="1">
    <w:name w:val="WW8Num46z1"/>
    <w:qFormat/>
    <w:rPr/>
  </w:style>
  <w:style w:type="character" w:styleId="WW8Num46z2" w:customStyle="1">
    <w:name w:val="WW8Num46z2"/>
    <w:qFormat/>
    <w:rPr>
      <w:rFonts w:ascii="Symbol" w:hAnsi="Symbol" w:eastAsia="Symbol" w:cs="Symbol"/>
      <w:strike w:val="false"/>
      <w:dstrike w:val="false"/>
    </w:rPr>
  </w:style>
  <w:style w:type="character" w:styleId="WW8Num46z3" w:customStyle="1">
    <w:name w:val="WW8Num46z3"/>
    <w:qFormat/>
    <w:rPr/>
  </w:style>
  <w:style w:type="character" w:styleId="WW8Num46z4" w:customStyle="1">
    <w:name w:val="WW8Num46z4"/>
    <w:qFormat/>
    <w:rPr>
      <w:rFonts w:ascii="Tms Rmn" w:hAnsi="Tms Rmn" w:eastAsia="Times New Roman" w:cs="Times New Roman"/>
      <w:color w:val="000000"/>
      <w:position w:val="0"/>
      <w:sz w:val="20"/>
      <w:sz w:val="20"/>
      <w:szCs w:val="20"/>
      <w:vertAlign w:val="baseline"/>
    </w:rPr>
  </w:style>
  <w:style w:type="character" w:styleId="WW8Num46z5" w:customStyle="1">
    <w:name w:val="WW8Num46z5"/>
    <w:qFormat/>
    <w:rPr/>
  </w:style>
  <w:style w:type="character" w:styleId="WW8Num46z6" w:customStyle="1">
    <w:name w:val="WW8Num46z6"/>
    <w:qFormat/>
    <w:rPr/>
  </w:style>
  <w:style w:type="character" w:styleId="WW8Num46z7" w:customStyle="1">
    <w:name w:val="WW8Num46z7"/>
    <w:qFormat/>
    <w:rPr/>
  </w:style>
  <w:style w:type="character" w:styleId="WW8Num46z8" w:customStyle="1">
    <w:name w:val="WW8Num46z8"/>
    <w:qFormat/>
    <w:rPr/>
  </w:style>
  <w:style w:type="character" w:styleId="WW8Num47z0" w:customStyle="1">
    <w:name w:val="WW8Num47z0"/>
    <w:qFormat/>
    <w:rPr>
      <w:rFonts w:ascii="Times New Roman" w:hAnsi="Times New Roman" w:eastAsia="Times New Roman" w:cs="Times New Roman"/>
      <w:b w:val="false"/>
      <w:color w:val="000000"/>
    </w:rPr>
  </w:style>
  <w:style w:type="character" w:styleId="WW8Num48z0" w:customStyle="1">
    <w:name w:val="WW8Num48z0"/>
    <w:qFormat/>
    <w:rPr>
      <w:rFonts w:ascii="Titillium" w:hAnsi="Titillium" w:eastAsia="Titillium" w:cs="Times New Roman"/>
      <w:b w:val="false"/>
      <w:bCs/>
      <w:i w:val="false"/>
      <w:strike w:val="false"/>
      <w:dstrike w:val="false"/>
      <w:color w:val="000000"/>
      <w:sz w:val="20"/>
      <w:szCs w:val="20"/>
      <w:u w:val="none"/>
    </w:rPr>
  </w:style>
  <w:style w:type="character" w:styleId="WW8Num48z1" w:customStyle="1">
    <w:name w:val="WW8Num48z1"/>
    <w:qFormat/>
    <w:rPr>
      <w:rFonts w:ascii="Titillium" w:hAnsi="Titillium" w:eastAsia="Titillium" w:cs="Titillium"/>
      <w:b w:val="false"/>
      <w:bCs/>
      <w:i w:val="false"/>
      <w:iCs w:val="false"/>
      <w:color w:val="000000"/>
      <w:sz w:val="20"/>
      <w:szCs w:val="20"/>
    </w:rPr>
  </w:style>
  <w:style w:type="character" w:styleId="WW8Num48z2" w:customStyle="1">
    <w:name w:val="WW8Num48z2"/>
    <w:qFormat/>
    <w:rPr/>
  </w:style>
  <w:style w:type="character" w:styleId="WW8Num48z3" w:customStyle="1">
    <w:name w:val="WW8Num48z3"/>
    <w:qFormat/>
    <w:rPr/>
  </w:style>
  <w:style w:type="character" w:styleId="WW8Num48z4" w:customStyle="1">
    <w:name w:val="WW8Num48z4"/>
    <w:qFormat/>
    <w:rPr/>
  </w:style>
  <w:style w:type="character" w:styleId="WW8Num48z5" w:customStyle="1">
    <w:name w:val="WW8Num48z5"/>
    <w:qFormat/>
    <w:rPr/>
  </w:style>
  <w:style w:type="character" w:styleId="WW8Num48z6" w:customStyle="1">
    <w:name w:val="WW8Num48z6"/>
    <w:qFormat/>
    <w:rPr/>
  </w:style>
  <w:style w:type="character" w:styleId="WW8Num48z7" w:customStyle="1">
    <w:name w:val="WW8Num48z7"/>
    <w:qFormat/>
    <w:rPr/>
  </w:style>
  <w:style w:type="character" w:styleId="WW8Num48z8" w:customStyle="1">
    <w:name w:val="WW8Num48z8"/>
    <w:qFormat/>
    <w:rPr/>
  </w:style>
  <w:style w:type="character" w:styleId="WW8Num49z0" w:customStyle="1">
    <w:name w:val="WW8Num49z0"/>
    <w:qFormat/>
    <w:rPr>
      <w:b w:val="false"/>
      <w:i w:val="false"/>
      <w:strike w:val="false"/>
      <w:dstrike w:val="false"/>
      <w:sz w:val="20"/>
      <w:szCs w:val="20"/>
      <w:u w:val="none"/>
    </w:rPr>
  </w:style>
  <w:style w:type="character" w:styleId="WW8Num50z0" w:customStyle="1">
    <w:name w:val="WW8Num50z0"/>
    <w:qFormat/>
    <w:rPr>
      <w:rFonts w:ascii="Times New Roman" w:hAnsi="Times New Roman" w:eastAsia="Times New Roman" w:cs="Times New Roman"/>
      <w:sz w:val="20"/>
      <w:szCs w:val="20"/>
    </w:rPr>
  </w:style>
  <w:style w:type="character" w:styleId="WW8Num50z1" w:customStyle="1">
    <w:name w:val="WW8Num50z1"/>
    <w:qFormat/>
    <w:rPr>
      <w:sz w:val="20"/>
      <w:szCs w:val="20"/>
    </w:rPr>
  </w:style>
  <w:style w:type="character" w:styleId="WW8Num50z2" w:customStyle="1">
    <w:name w:val="WW8Num50z2"/>
    <w:qFormat/>
    <w:rPr/>
  </w:style>
  <w:style w:type="character" w:styleId="WW8Num50z3" w:customStyle="1">
    <w:name w:val="WW8Num50z3"/>
    <w:qFormat/>
    <w:rPr/>
  </w:style>
  <w:style w:type="character" w:styleId="WW8Num50z4" w:customStyle="1">
    <w:name w:val="WW8Num50z4"/>
    <w:qFormat/>
    <w:rPr/>
  </w:style>
  <w:style w:type="character" w:styleId="WW8Num50z5" w:customStyle="1">
    <w:name w:val="WW8Num50z5"/>
    <w:qFormat/>
    <w:rPr/>
  </w:style>
  <w:style w:type="character" w:styleId="WW8Num50z6" w:customStyle="1">
    <w:name w:val="WW8Num50z6"/>
    <w:qFormat/>
    <w:rPr/>
  </w:style>
  <w:style w:type="character" w:styleId="WW8Num50z7" w:customStyle="1">
    <w:name w:val="WW8Num50z7"/>
    <w:qFormat/>
    <w:rPr/>
  </w:style>
  <w:style w:type="character" w:styleId="WW8Num50z8" w:customStyle="1">
    <w:name w:val="WW8Num50z8"/>
    <w:qFormat/>
    <w:rPr/>
  </w:style>
  <w:style w:type="character" w:styleId="WW8Num51z0" w:customStyle="1">
    <w:name w:val="WW8Num51z0"/>
    <w:qFormat/>
    <w:rPr>
      <w:rFonts w:ascii="Times New Roman" w:hAnsi="Times New Roman" w:eastAsia="Times New Roman" w:cs="Times New Roman"/>
      <w:b w:val="false"/>
      <w:i w:val="false"/>
      <w:strike w:val="false"/>
      <w:dstrike w:val="false"/>
      <w:sz w:val="20"/>
      <w:szCs w:val="20"/>
      <w:u w:val="none"/>
    </w:rPr>
  </w:style>
  <w:style w:type="character" w:styleId="WW8Num51z1" w:customStyle="1">
    <w:name w:val="WW8Num51z1"/>
    <w:qFormat/>
    <w:rPr/>
  </w:style>
  <w:style w:type="character" w:styleId="WW8Num51z2" w:customStyle="1">
    <w:name w:val="WW8Num51z2"/>
    <w:qFormat/>
    <w:rPr/>
  </w:style>
  <w:style w:type="character" w:styleId="WW8Num51z3" w:customStyle="1">
    <w:name w:val="WW8Num51z3"/>
    <w:qFormat/>
    <w:rPr/>
  </w:style>
  <w:style w:type="character" w:styleId="WW8Num51z4" w:customStyle="1">
    <w:name w:val="WW8Num51z4"/>
    <w:qFormat/>
    <w:rPr/>
  </w:style>
  <w:style w:type="character" w:styleId="WW8Num51z5" w:customStyle="1">
    <w:name w:val="WW8Num51z5"/>
    <w:qFormat/>
    <w:rPr/>
  </w:style>
  <w:style w:type="character" w:styleId="WW8Num51z6" w:customStyle="1">
    <w:name w:val="WW8Num51z6"/>
    <w:qFormat/>
    <w:rPr/>
  </w:style>
  <w:style w:type="character" w:styleId="WW8Num51z7" w:customStyle="1">
    <w:name w:val="WW8Num51z7"/>
    <w:qFormat/>
    <w:rPr/>
  </w:style>
  <w:style w:type="character" w:styleId="WW8Num51z8" w:customStyle="1">
    <w:name w:val="WW8Num51z8"/>
    <w:qFormat/>
    <w:rPr/>
  </w:style>
  <w:style w:type="character" w:styleId="WW8Num52z0" w:customStyle="1">
    <w:name w:val="WW8Num52z0"/>
    <w:qFormat/>
    <w:rPr>
      <w:rFonts w:ascii="Times New Roman" w:hAnsi="Times New Roman" w:eastAsia="Times New Roman" w:cs="Times New Roman"/>
      <w:b w:val="false"/>
      <w:i w:val="false"/>
      <w:strike w:val="false"/>
      <w:dstrike w:val="false"/>
      <w:sz w:val="20"/>
      <w:szCs w:val="20"/>
      <w:u w:val="none"/>
    </w:rPr>
  </w:style>
  <w:style w:type="character" w:styleId="WW8Num53z0" w:customStyle="1">
    <w:name w:val="WW8Num53z0"/>
    <w:qFormat/>
    <w:rPr>
      <w:rFonts w:ascii="Times New Roman" w:hAnsi="Times New Roman" w:eastAsia="Times New Roman" w:cs="Times New Roman"/>
      <w:strike w:val="false"/>
      <w:dstrike w:val="false"/>
    </w:rPr>
  </w:style>
  <w:style w:type="character" w:styleId="WW8Num54z0" w:customStyle="1">
    <w:name w:val="WW8Num54z0"/>
    <w:qFormat/>
    <w:rPr/>
  </w:style>
  <w:style w:type="character" w:styleId="WW8Num54z1" w:customStyle="1">
    <w:name w:val="WW8Num54z1"/>
    <w:qFormat/>
    <w:rPr/>
  </w:style>
  <w:style w:type="character" w:styleId="WW8Num54z2" w:customStyle="1">
    <w:name w:val="WW8Num54z2"/>
    <w:qFormat/>
    <w:rPr/>
  </w:style>
  <w:style w:type="character" w:styleId="WW8Num54z3" w:customStyle="1">
    <w:name w:val="WW8Num54z3"/>
    <w:qFormat/>
    <w:rPr/>
  </w:style>
  <w:style w:type="character" w:styleId="WW8Num54z4" w:customStyle="1">
    <w:name w:val="WW8Num54z4"/>
    <w:qFormat/>
    <w:rPr/>
  </w:style>
  <w:style w:type="character" w:styleId="WW8Num54z5" w:customStyle="1">
    <w:name w:val="WW8Num54z5"/>
    <w:qFormat/>
    <w:rPr/>
  </w:style>
  <w:style w:type="character" w:styleId="WW8Num54z6" w:customStyle="1">
    <w:name w:val="WW8Num54z6"/>
    <w:qFormat/>
    <w:rPr/>
  </w:style>
  <w:style w:type="character" w:styleId="WW8Num54z7" w:customStyle="1">
    <w:name w:val="WW8Num54z7"/>
    <w:qFormat/>
    <w:rPr/>
  </w:style>
  <w:style w:type="character" w:styleId="WW8Num54z8" w:customStyle="1">
    <w:name w:val="WW8Num54z8"/>
    <w:qFormat/>
    <w:rPr/>
  </w:style>
  <w:style w:type="character" w:styleId="WW8Num55z0" w:customStyle="1">
    <w:name w:val="WW8Num55z0"/>
    <w:qFormat/>
    <w:rPr>
      <w:b w:val="false"/>
    </w:rPr>
  </w:style>
  <w:style w:type="character" w:styleId="WW8Num56z0" w:customStyle="1">
    <w:name w:val="WW8Num56z0"/>
    <w:qFormat/>
    <w:rPr>
      <w:rFonts w:ascii="Times New Roman" w:hAnsi="Times New Roman" w:eastAsia="Times New Roman" w:cs="Times New Roman"/>
      <w:b w:val="false"/>
      <w:bCs/>
      <w:i w:val="false"/>
      <w:strike w:val="false"/>
      <w:dstrike w:val="false"/>
      <w:sz w:val="20"/>
      <w:szCs w:val="20"/>
      <w:u w:val="none"/>
    </w:rPr>
  </w:style>
  <w:style w:type="character" w:styleId="WW8Num57z0" w:customStyle="1">
    <w:name w:val="WW8Num57z0"/>
    <w:qFormat/>
    <w:rPr>
      <w:rFonts w:ascii="Titillium" w:hAnsi="Titillium" w:eastAsia="Titillium" w:cs="Titillium"/>
      <w:b w:val="false"/>
      <w:bCs w:val="false"/>
      <w:sz w:val="20"/>
      <w:szCs w:val="20"/>
    </w:rPr>
  </w:style>
  <w:style w:type="character" w:styleId="WW8Num57z1" w:customStyle="1">
    <w:name w:val="WW8Num57z1"/>
    <w:qFormat/>
    <w:rPr/>
  </w:style>
  <w:style w:type="character" w:styleId="WW8Num57z2" w:customStyle="1">
    <w:name w:val="WW8Num57z2"/>
    <w:qFormat/>
    <w:rPr/>
  </w:style>
  <w:style w:type="character" w:styleId="WW8Num57z3" w:customStyle="1">
    <w:name w:val="WW8Num57z3"/>
    <w:qFormat/>
    <w:rPr/>
  </w:style>
  <w:style w:type="character" w:styleId="WW8Num57z4" w:customStyle="1">
    <w:name w:val="WW8Num57z4"/>
    <w:qFormat/>
    <w:rPr/>
  </w:style>
  <w:style w:type="character" w:styleId="WW8Num57z5" w:customStyle="1">
    <w:name w:val="WW8Num57z5"/>
    <w:qFormat/>
    <w:rPr/>
  </w:style>
  <w:style w:type="character" w:styleId="WW8Num57z6" w:customStyle="1">
    <w:name w:val="WW8Num57z6"/>
    <w:qFormat/>
    <w:rPr/>
  </w:style>
  <w:style w:type="character" w:styleId="WW8Num57z7" w:customStyle="1">
    <w:name w:val="WW8Num57z7"/>
    <w:qFormat/>
    <w:rPr/>
  </w:style>
  <w:style w:type="character" w:styleId="WW8Num57z8" w:customStyle="1">
    <w:name w:val="WW8Num57z8"/>
    <w:qFormat/>
    <w:rPr/>
  </w:style>
  <w:style w:type="character" w:styleId="WW8Num58z0" w:customStyle="1">
    <w:name w:val="WW8Num58z0"/>
    <w:qFormat/>
    <w:rPr>
      <w:rFonts w:ascii="Times New Roman" w:hAnsi="Times New Roman" w:eastAsia="Times New Roman" w:cs="Times New Roman"/>
      <w:bCs/>
      <w:i w:val="false"/>
      <w:iCs/>
      <w:color w:val="000000"/>
      <w:sz w:val="20"/>
      <w:szCs w:val="20"/>
    </w:rPr>
  </w:style>
  <w:style w:type="character" w:styleId="WW8Num59z0" w:customStyle="1">
    <w:name w:val="WW8Num59z0"/>
    <w:qFormat/>
    <w:rPr>
      <w:rFonts w:eastAsia="Arial Unicode MS"/>
      <w:b w:val="false"/>
      <w:bCs/>
      <w:i w:val="false"/>
      <w:color w:val="000000"/>
      <w:sz w:val="20"/>
      <w:szCs w:val="20"/>
    </w:rPr>
  </w:style>
  <w:style w:type="character" w:styleId="WW8Num59z3" w:customStyle="1">
    <w:name w:val="WW8Num59z3"/>
    <w:qFormat/>
    <w:rPr/>
  </w:style>
  <w:style w:type="character" w:styleId="WW8Num59z4" w:customStyle="1">
    <w:name w:val="WW8Num59z4"/>
    <w:qFormat/>
    <w:rPr/>
  </w:style>
  <w:style w:type="character" w:styleId="WW8Num59z5" w:customStyle="1">
    <w:name w:val="WW8Num59z5"/>
    <w:qFormat/>
    <w:rPr/>
  </w:style>
  <w:style w:type="character" w:styleId="WW8Num59z6" w:customStyle="1">
    <w:name w:val="WW8Num59z6"/>
    <w:qFormat/>
    <w:rPr/>
  </w:style>
  <w:style w:type="character" w:styleId="WW8Num59z7" w:customStyle="1">
    <w:name w:val="WW8Num59z7"/>
    <w:qFormat/>
    <w:rPr/>
  </w:style>
  <w:style w:type="character" w:styleId="WW8Num59z8" w:customStyle="1">
    <w:name w:val="WW8Num59z8"/>
    <w:qFormat/>
    <w:rPr/>
  </w:style>
  <w:style w:type="character" w:styleId="WW8Num60z0" w:customStyle="1">
    <w:name w:val="WW8Num60z0"/>
    <w:qFormat/>
    <w:rPr>
      <w:rFonts w:ascii="Titillium" w:hAnsi="Titillium" w:eastAsia="Titillium" w:cs="Times New Roman"/>
      <w:sz w:val="20"/>
      <w:szCs w:val="20"/>
    </w:rPr>
  </w:style>
  <w:style w:type="character" w:styleId="WW8Num60z1" w:customStyle="1">
    <w:name w:val="WW8Num60z1"/>
    <w:qFormat/>
    <w:rPr>
      <w:sz w:val="18"/>
      <w:szCs w:val="18"/>
    </w:rPr>
  </w:style>
  <w:style w:type="character" w:styleId="WW8Num60z2" w:customStyle="1">
    <w:name w:val="WW8Num60z2"/>
    <w:qFormat/>
    <w:rPr>
      <w:rFonts w:ascii="Symbol" w:hAnsi="Symbol" w:eastAsia="Symbol" w:cs="Symbol"/>
    </w:rPr>
  </w:style>
  <w:style w:type="character" w:styleId="WW8Num60z3" w:customStyle="1">
    <w:name w:val="WW8Num60z3"/>
    <w:qFormat/>
    <w:rPr/>
  </w:style>
  <w:style w:type="character" w:styleId="WW8Num60z4" w:customStyle="1">
    <w:name w:val="WW8Num60z4"/>
    <w:qFormat/>
    <w:rPr/>
  </w:style>
  <w:style w:type="character" w:styleId="WW8Num60z5" w:customStyle="1">
    <w:name w:val="WW8Num60z5"/>
    <w:qFormat/>
    <w:rPr/>
  </w:style>
  <w:style w:type="character" w:styleId="WW8Num60z6" w:customStyle="1">
    <w:name w:val="WW8Num60z6"/>
    <w:qFormat/>
    <w:rPr/>
  </w:style>
  <w:style w:type="character" w:styleId="WW8Num60z7" w:customStyle="1">
    <w:name w:val="WW8Num60z7"/>
    <w:qFormat/>
    <w:rPr/>
  </w:style>
  <w:style w:type="character" w:styleId="WW8Num60z8" w:customStyle="1">
    <w:name w:val="WW8Num60z8"/>
    <w:qFormat/>
    <w:rPr/>
  </w:style>
  <w:style w:type="character" w:styleId="WW8Num61z0" w:customStyle="1">
    <w:name w:val="WW8Num61z0"/>
    <w:qFormat/>
    <w:rPr>
      <w:rFonts w:ascii="Times New Roman" w:hAnsi="Times New Roman" w:eastAsia="Times-Roman, 'Times New Roman'" w:cs="Times-Roman, 'Times New Roman'"/>
      <w:i w:val="false"/>
      <w:color w:val="000000"/>
      <w:sz w:val="20"/>
      <w:szCs w:val="20"/>
    </w:rPr>
  </w:style>
  <w:style w:type="character" w:styleId="WW8Num62z0" w:customStyle="1">
    <w:name w:val="WW8Num62z0"/>
    <w:qFormat/>
    <w:rPr/>
  </w:style>
  <w:style w:type="character" w:styleId="WW8Num63z0" w:customStyle="1">
    <w:name w:val="WW8Num63z0"/>
    <w:qFormat/>
    <w:rPr>
      <w:rFonts w:ascii="Times New Roman" w:hAnsi="Times New Roman" w:eastAsia="TimesNewRoman, 'MS Mincho'" w:cs="Times New Roman"/>
      <w:b w:val="false"/>
      <w:bCs/>
      <w:sz w:val="18"/>
      <w:szCs w:val="18"/>
    </w:rPr>
  </w:style>
  <w:style w:type="character" w:styleId="WW8Num64z0" w:customStyle="1">
    <w:name w:val="WW8Num64z0"/>
    <w:qFormat/>
    <w:rPr/>
  </w:style>
  <w:style w:type="character" w:styleId="WW8Num64z1" w:customStyle="1">
    <w:name w:val="WW8Num64z1"/>
    <w:qFormat/>
    <w:rPr/>
  </w:style>
  <w:style w:type="character" w:styleId="WW8Num64z2" w:customStyle="1">
    <w:name w:val="WW8Num64z2"/>
    <w:qFormat/>
    <w:rPr>
      <w:b/>
    </w:rPr>
  </w:style>
  <w:style w:type="character" w:styleId="WW8Num64z3" w:customStyle="1">
    <w:name w:val="WW8Num64z3"/>
    <w:qFormat/>
    <w:rPr/>
  </w:style>
  <w:style w:type="character" w:styleId="WW8Num64z4" w:customStyle="1">
    <w:name w:val="WW8Num64z4"/>
    <w:qFormat/>
    <w:rPr/>
  </w:style>
  <w:style w:type="character" w:styleId="WW8Num64z5" w:customStyle="1">
    <w:name w:val="WW8Num64z5"/>
    <w:qFormat/>
    <w:rPr/>
  </w:style>
  <w:style w:type="character" w:styleId="WW8Num64z6" w:customStyle="1">
    <w:name w:val="WW8Num64z6"/>
    <w:qFormat/>
    <w:rPr/>
  </w:style>
  <w:style w:type="character" w:styleId="WW8Num64z7" w:customStyle="1">
    <w:name w:val="WW8Num64z7"/>
    <w:qFormat/>
    <w:rPr/>
  </w:style>
  <w:style w:type="character" w:styleId="WW8Num64z8" w:customStyle="1">
    <w:name w:val="WW8Num64z8"/>
    <w:qFormat/>
    <w:rPr/>
  </w:style>
  <w:style w:type="character" w:styleId="WW8Num65z0" w:customStyle="1">
    <w:name w:val="WW8Num65z0"/>
    <w:qFormat/>
    <w:rPr>
      <w:rFonts w:ascii="Times New Roman" w:hAnsi="Times New Roman" w:eastAsia="Times New Roman" w:cs="Times New Roman"/>
      <w:sz w:val="20"/>
      <w:szCs w:val="20"/>
    </w:rPr>
  </w:style>
  <w:style w:type="character" w:styleId="WW8Num65z1" w:customStyle="1">
    <w:name w:val="WW8Num65z1"/>
    <w:qFormat/>
    <w:rPr>
      <w:rFonts w:ascii="Titillium" w:hAnsi="Titillium" w:eastAsia="Titillium" w:cs="Times New Roman"/>
      <w:b w:val="false"/>
      <w:bCs/>
      <w:i w:val="false"/>
      <w:strike w:val="false"/>
      <w:dstrike w:val="false"/>
      <w:sz w:val="20"/>
      <w:szCs w:val="20"/>
      <w:u w:val="none"/>
    </w:rPr>
  </w:style>
  <w:style w:type="character" w:styleId="WW8Num65z2" w:customStyle="1">
    <w:name w:val="WW8Num65z2"/>
    <w:qFormat/>
    <w:rPr/>
  </w:style>
  <w:style w:type="character" w:styleId="WW8Num65z3" w:customStyle="1">
    <w:name w:val="WW8Num65z3"/>
    <w:qFormat/>
    <w:rPr/>
  </w:style>
  <w:style w:type="character" w:styleId="WW8Num65z4" w:customStyle="1">
    <w:name w:val="WW8Num65z4"/>
    <w:qFormat/>
    <w:rPr/>
  </w:style>
  <w:style w:type="character" w:styleId="WW8Num65z5" w:customStyle="1">
    <w:name w:val="WW8Num65z5"/>
    <w:qFormat/>
    <w:rPr/>
  </w:style>
  <w:style w:type="character" w:styleId="WW8Num65z6" w:customStyle="1">
    <w:name w:val="WW8Num65z6"/>
    <w:qFormat/>
    <w:rPr/>
  </w:style>
  <w:style w:type="character" w:styleId="WW8Num65z7" w:customStyle="1">
    <w:name w:val="WW8Num65z7"/>
    <w:qFormat/>
    <w:rPr/>
  </w:style>
  <w:style w:type="character" w:styleId="WW8Num65z8" w:customStyle="1">
    <w:name w:val="WW8Num65z8"/>
    <w:qFormat/>
    <w:rPr/>
  </w:style>
  <w:style w:type="character" w:styleId="WW8Num66z0" w:customStyle="1">
    <w:name w:val="WW8Num66z0"/>
    <w:qFormat/>
    <w:rPr>
      <w:rFonts w:ascii="Times New Roman" w:hAnsi="Times New Roman" w:eastAsia="Times New Roman" w:cs="Times New Roman"/>
      <w:b w:val="false"/>
      <w:bCs w:val="false"/>
      <w:strike w:val="false"/>
      <w:dstrike w:val="false"/>
      <w:sz w:val="20"/>
      <w:szCs w:val="20"/>
    </w:rPr>
  </w:style>
  <w:style w:type="character" w:styleId="WW8Num66z1" w:customStyle="1">
    <w:name w:val="WW8Num66z1"/>
    <w:qFormat/>
    <w:rPr>
      <w:rFonts w:ascii="Titillium" w:hAnsi="Titillium" w:eastAsia="Times New Roman" w:cs="Times New Roman"/>
      <w:strike w:val="false"/>
      <w:dstrike w:val="false"/>
      <w:sz w:val="20"/>
      <w:szCs w:val="20"/>
    </w:rPr>
  </w:style>
  <w:style w:type="character" w:styleId="WW8Num66z3" w:customStyle="1">
    <w:name w:val="WW8Num66z3"/>
    <w:qFormat/>
    <w:rPr/>
  </w:style>
  <w:style w:type="character" w:styleId="WW8Num66z4" w:customStyle="1">
    <w:name w:val="WW8Num66z4"/>
    <w:qFormat/>
    <w:rPr/>
  </w:style>
  <w:style w:type="character" w:styleId="WW8Num66z5" w:customStyle="1">
    <w:name w:val="WW8Num66z5"/>
    <w:qFormat/>
    <w:rPr/>
  </w:style>
  <w:style w:type="character" w:styleId="WW8Num66z6" w:customStyle="1">
    <w:name w:val="WW8Num66z6"/>
    <w:qFormat/>
    <w:rPr/>
  </w:style>
  <w:style w:type="character" w:styleId="WW8Num66z7" w:customStyle="1">
    <w:name w:val="WW8Num66z7"/>
    <w:qFormat/>
    <w:rPr/>
  </w:style>
  <w:style w:type="character" w:styleId="WW8Num66z8" w:customStyle="1">
    <w:name w:val="WW8Num66z8"/>
    <w:qFormat/>
    <w:rPr/>
  </w:style>
  <w:style w:type="character" w:styleId="WW8Num67z0" w:customStyle="1">
    <w:name w:val="WW8Num67z0"/>
    <w:qFormat/>
    <w:rPr/>
  </w:style>
  <w:style w:type="character" w:styleId="WW8Num67z1" w:customStyle="1">
    <w:name w:val="WW8Num67z1"/>
    <w:qFormat/>
    <w:rPr/>
  </w:style>
  <w:style w:type="character" w:styleId="WW8Num67z2" w:customStyle="1">
    <w:name w:val="WW8Num67z2"/>
    <w:qFormat/>
    <w:rPr/>
  </w:style>
  <w:style w:type="character" w:styleId="WW8Num67z3" w:customStyle="1">
    <w:name w:val="WW8Num67z3"/>
    <w:qFormat/>
    <w:rPr/>
  </w:style>
  <w:style w:type="character" w:styleId="WW8Num67z4" w:customStyle="1">
    <w:name w:val="WW8Num67z4"/>
    <w:qFormat/>
    <w:rPr/>
  </w:style>
  <w:style w:type="character" w:styleId="WW8Num67z5" w:customStyle="1">
    <w:name w:val="WW8Num67z5"/>
    <w:qFormat/>
    <w:rPr/>
  </w:style>
  <w:style w:type="character" w:styleId="WW8Num67z6" w:customStyle="1">
    <w:name w:val="WW8Num67z6"/>
    <w:qFormat/>
    <w:rPr/>
  </w:style>
  <w:style w:type="character" w:styleId="WW8Num67z7" w:customStyle="1">
    <w:name w:val="WW8Num67z7"/>
    <w:qFormat/>
    <w:rPr/>
  </w:style>
  <w:style w:type="character" w:styleId="WW8Num67z8" w:customStyle="1">
    <w:name w:val="WW8Num67z8"/>
    <w:qFormat/>
    <w:rPr/>
  </w:style>
  <w:style w:type="character" w:styleId="WW8Num68z0" w:customStyle="1">
    <w:name w:val="WW8Num68z0"/>
    <w:qFormat/>
    <w:rPr>
      <w:rFonts w:eastAsia="Times-Roman, 'Times New Roman'"/>
      <w:b/>
      <w:bCs/>
    </w:rPr>
  </w:style>
  <w:style w:type="character" w:styleId="WW8Num68z1" w:customStyle="1">
    <w:name w:val="WW8Num68z1"/>
    <w:qFormat/>
    <w:rPr/>
  </w:style>
  <w:style w:type="character" w:styleId="WW8Num68z2" w:customStyle="1">
    <w:name w:val="WW8Num68z2"/>
    <w:qFormat/>
    <w:rPr/>
  </w:style>
  <w:style w:type="character" w:styleId="WW8Num68z3" w:customStyle="1">
    <w:name w:val="WW8Num68z3"/>
    <w:qFormat/>
    <w:rPr/>
  </w:style>
  <w:style w:type="character" w:styleId="WW8Num68z4" w:customStyle="1">
    <w:name w:val="WW8Num68z4"/>
    <w:qFormat/>
    <w:rPr/>
  </w:style>
  <w:style w:type="character" w:styleId="WW8Num68z5" w:customStyle="1">
    <w:name w:val="WW8Num68z5"/>
    <w:qFormat/>
    <w:rPr/>
  </w:style>
  <w:style w:type="character" w:styleId="WW8Num68z6" w:customStyle="1">
    <w:name w:val="WW8Num68z6"/>
    <w:qFormat/>
    <w:rPr/>
  </w:style>
  <w:style w:type="character" w:styleId="WW8Num68z7" w:customStyle="1">
    <w:name w:val="WW8Num68z7"/>
    <w:qFormat/>
    <w:rPr/>
  </w:style>
  <w:style w:type="character" w:styleId="WW8Num68z8" w:customStyle="1">
    <w:name w:val="WW8Num68z8"/>
    <w:qFormat/>
    <w:rPr/>
  </w:style>
  <w:style w:type="character" w:styleId="WW8Num69z0" w:customStyle="1">
    <w:name w:val="WW8Num69z0"/>
    <w:qFormat/>
    <w:rPr>
      <w:i/>
      <w:iCs/>
    </w:rPr>
  </w:style>
  <w:style w:type="character" w:styleId="WW8Num69z1" w:customStyle="1">
    <w:name w:val="WW8Num69z1"/>
    <w:qFormat/>
    <w:rPr/>
  </w:style>
  <w:style w:type="character" w:styleId="WW8Num69z2" w:customStyle="1">
    <w:name w:val="WW8Num69z2"/>
    <w:qFormat/>
    <w:rPr/>
  </w:style>
  <w:style w:type="character" w:styleId="WW8Num69z3" w:customStyle="1">
    <w:name w:val="WW8Num69z3"/>
    <w:qFormat/>
    <w:rPr/>
  </w:style>
  <w:style w:type="character" w:styleId="WW8Num69z4" w:customStyle="1">
    <w:name w:val="WW8Num69z4"/>
    <w:qFormat/>
    <w:rPr/>
  </w:style>
  <w:style w:type="character" w:styleId="WW8Num69z5" w:customStyle="1">
    <w:name w:val="WW8Num69z5"/>
    <w:qFormat/>
    <w:rPr/>
  </w:style>
  <w:style w:type="character" w:styleId="WW8Num69z6" w:customStyle="1">
    <w:name w:val="WW8Num69z6"/>
    <w:qFormat/>
    <w:rPr/>
  </w:style>
  <w:style w:type="character" w:styleId="WW8Num69z7" w:customStyle="1">
    <w:name w:val="WW8Num69z7"/>
    <w:qFormat/>
    <w:rPr/>
  </w:style>
  <w:style w:type="character" w:styleId="WW8Num69z8" w:customStyle="1">
    <w:name w:val="WW8Num69z8"/>
    <w:qFormat/>
    <w:rPr/>
  </w:style>
  <w:style w:type="character" w:styleId="WW8Num70z0" w:customStyle="1">
    <w:name w:val="WW8Num70z0"/>
    <w:qFormat/>
    <w:rPr>
      <w:rFonts w:eastAsia="Times-Roman, 'Times New Roman'"/>
      <w:i w:val="false"/>
      <w:color w:val="000000"/>
    </w:rPr>
  </w:style>
  <w:style w:type="character" w:styleId="WW8Num70z1" w:customStyle="1">
    <w:name w:val="WW8Num70z1"/>
    <w:qFormat/>
    <w:rPr/>
  </w:style>
  <w:style w:type="character" w:styleId="WW8Num70z2" w:customStyle="1">
    <w:name w:val="WW8Num70z2"/>
    <w:qFormat/>
    <w:rPr>
      <w:rFonts w:eastAsia="Times-Roman, 'Times New Roman'" w:cs="Times-Roman, 'Times New Roman'"/>
    </w:rPr>
  </w:style>
  <w:style w:type="character" w:styleId="WW8Num70z3" w:customStyle="1">
    <w:name w:val="WW8Num70z3"/>
    <w:qFormat/>
    <w:rPr>
      <w:rFonts w:ascii="Times New Roman" w:hAnsi="Times New Roman" w:eastAsia="Times New Roman" w:cs="Times New Roman"/>
    </w:rPr>
  </w:style>
  <w:style w:type="character" w:styleId="WW8Num70z4" w:customStyle="1">
    <w:name w:val="WW8Num70z4"/>
    <w:qFormat/>
    <w:rPr/>
  </w:style>
  <w:style w:type="character" w:styleId="WW8Num70z5" w:customStyle="1">
    <w:name w:val="WW8Num70z5"/>
    <w:qFormat/>
    <w:rPr/>
  </w:style>
  <w:style w:type="character" w:styleId="WW8Num70z6" w:customStyle="1">
    <w:name w:val="WW8Num70z6"/>
    <w:qFormat/>
    <w:rPr/>
  </w:style>
  <w:style w:type="character" w:styleId="WW8Num70z7" w:customStyle="1">
    <w:name w:val="WW8Num70z7"/>
    <w:qFormat/>
    <w:rPr/>
  </w:style>
  <w:style w:type="character" w:styleId="WW8Num70z8" w:customStyle="1">
    <w:name w:val="WW8Num70z8"/>
    <w:qFormat/>
    <w:rPr/>
  </w:style>
  <w:style w:type="character" w:styleId="WW8Num71z0" w:customStyle="1">
    <w:name w:val="WW8Num71z0"/>
    <w:qFormat/>
    <w:rPr>
      <w:color w:val="000000"/>
    </w:rPr>
  </w:style>
  <w:style w:type="character" w:styleId="WW8Num71z1" w:customStyle="1">
    <w:name w:val="WW8Num71z1"/>
    <w:qFormat/>
    <w:rPr>
      <w:rFonts w:ascii="Times New Roman" w:hAnsi="Times New Roman" w:eastAsia="Times New Roman" w:cs="Times New Roman"/>
      <w:bCs/>
      <w:i w:val="false"/>
      <w:iCs w:val="false"/>
      <w:sz w:val="20"/>
      <w:szCs w:val="20"/>
    </w:rPr>
  </w:style>
  <w:style w:type="character" w:styleId="WW8Num71z2" w:customStyle="1">
    <w:name w:val="WW8Num71z2"/>
    <w:qFormat/>
    <w:rPr/>
  </w:style>
  <w:style w:type="character" w:styleId="WW8Num71z3" w:customStyle="1">
    <w:name w:val="WW8Num71z3"/>
    <w:qFormat/>
    <w:rPr/>
  </w:style>
  <w:style w:type="character" w:styleId="WW8Num71z4" w:customStyle="1">
    <w:name w:val="WW8Num71z4"/>
    <w:qFormat/>
    <w:rPr/>
  </w:style>
  <w:style w:type="character" w:styleId="WW8Num71z5" w:customStyle="1">
    <w:name w:val="WW8Num71z5"/>
    <w:qFormat/>
    <w:rPr/>
  </w:style>
  <w:style w:type="character" w:styleId="WW8Num71z6" w:customStyle="1">
    <w:name w:val="WW8Num71z6"/>
    <w:qFormat/>
    <w:rPr/>
  </w:style>
  <w:style w:type="character" w:styleId="WW8Num71z7" w:customStyle="1">
    <w:name w:val="WW8Num71z7"/>
    <w:qFormat/>
    <w:rPr/>
  </w:style>
  <w:style w:type="character" w:styleId="WW8Num71z8" w:customStyle="1">
    <w:name w:val="WW8Num71z8"/>
    <w:qFormat/>
    <w:rPr/>
  </w:style>
  <w:style w:type="character" w:styleId="WW8Num72z0" w:customStyle="1">
    <w:name w:val="WW8Num72z0"/>
    <w:qFormat/>
    <w:rPr>
      <w:color w:val="000000"/>
    </w:rPr>
  </w:style>
  <w:style w:type="character" w:styleId="WW8Num72z1" w:customStyle="1">
    <w:name w:val="WW8Num72z1"/>
    <w:qFormat/>
    <w:rPr/>
  </w:style>
  <w:style w:type="character" w:styleId="WW8Num72z2" w:customStyle="1">
    <w:name w:val="WW8Num72z2"/>
    <w:qFormat/>
    <w:rPr/>
  </w:style>
  <w:style w:type="character" w:styleId="WW8Num72z3" w:customStyle="1">
    <w:name w:val="WW8Num72z3"/>
    <w:qFormat/>
    <w:rPr/>
  </w:style>
  <w:style w:type="character" w:styleId="WW8Num72z4" w:customStyle="1">
    <w:name w:val="WW8Num72z4"/>
    <w:qFormat/>
    <w:rPr/>
  </w:style>
  <w:style w:type="character" w:styleId="WW8Num72z5" w:customStyle="1">
    <w:name w:val="WW8Num72z5"/>
    <w:qFormat/>
    <w:rPr/>
  </w:style>
  <w:style w:type="character" w:styleId="WW8Num72z6" w:customStyle="1">
    <w:name w:val="WW8Num72z6"/>
    <w:qFormat/>
    <w:rPr/>
  </w:style>
  <w:style w:type="character" w:styleId="WW8Num72z7" w:customStyle="1">
    <w:name w:val="WW8Num72z7"/>
    <w:qFormat/>
    <w:rPr/>
  </w:style>
  <w:style w:type="character" w:styleId="WW8Num72z8" w:customStyle="1">
    <w:name w:val="WW8Num72z8"/>
    <w:qFormat/>
    <w:rPr/>
  </w:style>
  <w:style w:type="character" w:styleId="WW8Num73z0" w:customStyle="1">
    <w:name w:val="WW8Num73z0"/>
    <w:qFormat/>
    <w:rPr>
      <w:rFonts w:eastAsia="Arial Unicode MS"/>
      <w:b w:val="false"/>
      <w:bCs/>
      <w:i w:val="false"/>
      <w:color w:val="000000"/>
      <w:sz w:val="20"/>
      <w:szCs w:val="20"/>
    </w:rPr>
  </w:style>
  <w:style w:type="character" w:styleId="WW8Num73z3" w:customStyle="1">
    <w:name w:val="WW8Num73z3"/>
    <w:qFormat/>
    <w:rPr/>
  </w:style>
  <w:style w:type="character" w:styleId="WW8Num73z4" w:customStyle="1">
    <w:name w:val="WW8Num73z4"/>
    <w:qFormat/>
    <w:rPr/>
  </w:style>
  <w:style w:type="character" w:styleId="WW8Num73z5" w:customStyle="1">
    <w:name w:val="WW8Num73z5"/>
    <w:qFormat/>
    <w:rPr/>
  </w:style>
  <w:style w:type="character" w:styleId="WW8Num73z6" w:customStyle="1">
    <w:name w:val="WW8Num73z6"/>
    <w:qFormat/>
    <w:rPr/>
  </w:style>
  <w:style w:type="character" w:styleId="WW8Num73z7" w:customStyle="1">
    <w:name w:val="WW8Num73z7"/>
    <w:qFormat/>
    <w:rPr/>
  </w:style>
  <w:style w:type="character" w:styleId="WW8Num73z8" w:customStyle="1">
    <w:name w:val="WW8Num73z8"/>
    <w:qFormat/>
    <w:rPr/>
  </w:style>
  <w:style w:type="character" w:styleId="WW8Num74z0" w:customStyle="1">
    <w:name w:val="WW8Num74z0"/>
    <w:qFormat/>
    <w:rPr>
      <w:b w:val="false"/>
      <w:bCs/>
      <w:i w:val="false"/>
      <w:strike w:val="false"/>
      <w:dstrike w:val="false"/>
      <w:color w:val="000000"/>
      <w:sz w:val="20"/>
      <w:szCs w:val="20"/>
      <w:u w:val="none"/>
    </w:rPr>
  </w:style>
  <w:style w:type="character" w:styleId="WW8Num74z1" w:customStyle="1">
    <w:name w:val="WW8Num74z1"/>
    <w:qFormat/>
    <w:rPr/>
  </w:style>
  <w:style w:type="character" w:styleId="WW8Num74z2" w:customStyle="1">
    <w:name w:val="WW8Num74z2"/>
    <w:qFormat/>
    <w:rPr/>
  </w:style>
  <w:style w:type="character" w:styleId="WW8Num74z3" w:customStyle="1">
    <w:name w:val="WW8Num74z3"/>
    <w:qFormat/>
    <w:rPr/>
  </w:style>
  <w:style w:type="character" w:styleId="WW8Num74z4" w:customStyle="1">
    <w:name w:val="WW8Num74z4"/>
    <w:qFormat/>
    <w:rPr/>
  </w:style>
  <w:style w:type="character" w:styleId="WW8Num74z5" w:customStyle="1">
    <w:name w:val="WW8Num74z5"/>
    <w:qFormat/>
    <w:rPr/>
  </w:style>
  <w:style w:type="character" w:styleId="WW8Num74z6" w:customStyle="1">
    <w:name w:val="WW8Num74z6"/>
    <w:qFormat/>
    <w:rPr/>
  </w:style>
  <w:style w:type="character" w:styleId="WW8Num74z7" w:customStyle="1">
    <w:name w:val="WW8Num74z7"/>
    <w:qFormat/>
    <w:rPr/>
  </w:style>
  <w:style w:type="character" w:styleId="WW8Num74z8" w:customStyle="1">
    <w:name w:val="WW8Num74z8"/>
    <w:qFormat/>
    <w:rPr/>
  </w:style>
  <w:style w:type="character" w:styleId="WW8Num75z0" w:customStyle="1">
    <w:name w:val="WW8Num75z0"/>
    <w:qFormat/>
    <w:rPr>
      <w:rFonts w:ascii="Times New Roman" w:hAnsi="Times New Roman" w:eastAsia="Times New Roman" w:cs="Times New Roman"/>
      <w:b w:val="false"/>
      <w:bCs w:val="false"/>
      <w:i w:val="false"/>
      <w:iCs w:val="false"/>
      <w:strike w:val="false"/>
      <w:dstrike w:val="false"/>
    </w:rPr>
  </w:style>
  <w:style w:type="character" w:styleId="WW8Num75z1" w:customStyle="1">
    <w:name w:val="WW8Num75z1"/>
    <w:qFormat/>
    <w:rPr>
      <w:b w:val="false"/>
      <w:bCs/>
    </w:rPr>
  </w:style>
  <w:style w:type="character" w:styleId="WW8Num75z2" w:customStyle="1">
    <w:name w:val="WW8Num75z2"/>
    <w:qFormat/>
    <w:rPr/>
  </w:style>
  <w:style w:type="character" w:styleId="WW8Num75z3" w:customStyle="1">
    <w:name w:val="WW8Num75z3"/>
    <w:qFormat/>
    <w:rPr/>
  </w:style>
  <w:style w:type="character" w:styleId="WW8Num75z4" w:customStyle="1">
    <w:name w:val="WW8Num75z4"/>
    <w:qFormat/>
    <w:rPr/>
  </w:style>
  <w:style w:type="character" w:styleId="WW8Num75z5" w:customStyle="1">
    <w:name w:val="WW8Num75z5"/>
    <w:qFormat/>
    <w:rPr/>
  </w:style>
  <w:style w:type="character" w:styleId="WW8Num75z6" w:customStyle="1">
    <w:name w:val="WW8Num75z6"/>
    <w:qFormat/>
    <w:rPr/>
  </w:style>
  <w:style w:type="character" w:styleId="WW8Num75z7" w:customStyle="1">
    <w:name w:val="WW8Num75z7"/>
    <w:qFormat/>
    <w:rPr/>
  </w:style>
  <w:style w:type="character" w:styleId="WW8Num75z8" w:customStyle="1">
    <w:name w:val="WW8Num75z8"/>
    <w:qFormat/>
    <w:rPr/>
  </w:style>
  <w:style w:type="character" w:styleId="WW8Num76z0" w:customStyle="1">
    <w:name w:val="WW8Num76z0"/>
    <w:qFormat/>
    <w:rPr/>
  </w:style>
  <w:style w:type="character" w:styleId="WW8Num76z1" w:customStyle="1">
    <w:name w:val="WW8Num76z1"/>
    <w:qFormat/>
    <w:rPr/>
  </w:style>
  <w:style w:type="character" w:styleId="WW8Num76z2" w:customStyle="1">
    <w:name w:val="WW8Num76z2"/>
    <w:qFormat/>
    <w:rPr/>
  </w:style>
  <w:style w:type="character" w:styleId="WW8Num76z3" w:customStyle="1">
    <w:name w:val="WW8Num76z3"/>
    <w:qFormat/>
    <w:rPr/>
  </w:style>
  <w:style w:type="character" w:styleId="WW8Num76z4" w:customStyle="1">
    <w:name w:val="WW8Num76z4"/>
    <w:qFormat/>
    <w:rPr/>
  </w:style>
  <w:style w:type="character" w:styleId="WW8Num76z5" w:customStyle="1">
    <w:name w:val="WW8Num76z5"/>
    <w:qFormat/>
    <w:rPr/>
  </w:style>
  <w:style w:type="character" w:styleId="WW8Num76z6" w:customStyle="1">
    <w:name w:val="WW8Num76z6"/>
    <w:qFormat/>
    <w:rPr/>
  </w:style>
  <w:style w:type="character" w:styleId="WW8Num76z7" w:customStyle="1">
    <w:name w:val="WW8Num76z7"/>
    <w:qFormat/>
    <w:rPr/>
  </w:style>
  <w:style w:type="character" w:styleId="WW8Num76z8" w:customStyle="1">
    <w:name w:val="WW8Num76z8"/>
    <w:qFormat/>
    <w:rPr/>
  </w:style>
  <w:style w:type="character" w:styleId="WW8Num77z0" w:customStyle="1">
    <w:name w:val="WW8Num77z0"/>
    <w:qFormat/>
    <w:rPr>
      <w:b w:val="false"/>
      <w:i w:val="false"/>
      <w:strike w:val="false"/>
      <w:dstrike w:val="false"/>
      <w:color w:val="000000"/>
      <w:sz w:val="20"/>
      <w:szCs w:val="20"/>
      <w:u w:val="none"/>
    </w:rPr>
  </w:style>
  <w:style w:type="character" w:styleId="WW8Num77z1" w:customStyle="1">
    <w:name w:val="WW8Num77z1"/>
    <w:qFormat/>
    <w:rPr/>
  </w:style>
  <w:style w:type="character" w:styleId="WW8Num77z4" w:customStyle="1">
    <w:name w:val="WW8Num77z4"/>
    <w:qFormat/>
    <w:rPr/>
  </w:style>
  <w:style w:type="character" w:styleId="WW8Num77z5" w:customStyle="1">
    <w:name w:val="WW8Num77z5"/>
    <w:qFormat/>
    <w:rPr/>
  </w:style>
  <w:style w:type="character" w:styleId="WW8Num77z6" w:customStyle="1">
    <w:name w:val="WW8Num77z6"/>
    <w:qFormat/>
    <w:rPr/>
  </w:style>
  <w:style w:type="character" w:styleId="WW8Num77z7" w:customStyle="1">
    <w:name w:val="WW8Num77z7"/>
    <w:qFormat/>
    <w:rPr/>
  </w:style>
  <w:style w:type="character" w:styleId="WW8Num77z8" w:customStyle="1">
    <w:name w:val="WW8Num77z8"/>
    <w:qFormat/>
    <w:rPr/>
  </w:style>
  <w:style w:type="character" w:styleId="WW8Num78z0" w:customStyle="1">
    <w:name w:val="WW8Num78z0"/>
    <w:qFormat/>
    <w:rPr/>
  </w:style>
  <w:style w:type="character" w:styleId="WW8Num78z1" w:customStyle="1">
    <w:name w:val="WW8Num78z1"/>
    <w:qFormat/>
    <w:rPr/>
  </w:style>
  <w:style w:type="character" w:styleId="WW8Num78z2" w:customStyle="1">
    <w:name w:val="WW8Num78z2"/>
    <w:qFormat/>
    <w:rPr/>
  </w:style>
  <w:style w:type="character" w:styleId="WW8Num78z3" w:customStyle="1">
    <w:name w:val="WW8Num78z3"/>
    <w:qFormat/>
    <w:rPr/>
  </w:style>
  <w:style w:type="character" w:styleId="WW8Num78z4" w:customStyle="1">
    <w:name w:val="WW8Num78z4"/>
    <w:qFormat/>
    <w:rPr/>
  </w:style>
  <w:style w:type="character" w:styleId="WW8Num78z5" w:customStyle="1">
    <w:name w:val="WW8Num78z5"/>
    <w:qFormat/>
    <w:rPr/>
  </w:style>
  <w:style w:type="character" w:styleId="WW8Num78z6" w:customStyle="1">
    <w:name w:val="WW8Num78z6"/>
    <w:qFormat/>
    <w:rPr/>
  </w:style>
  <w:style w:type="character" w:styleId="WW8Num78z7" w:customStyle="1">
    <w:name w:val="WW8Num78z7"/>
    <w:qFormat/>
    <w:rPr/>
  </w:style>
  <w:style w:type="character" w:styleId="WW8Num78z8" w:customStyle="1">
    <w:name w:val="WW8Num78z8"/>
    <w:qFormat/>
    <w:rPr/>
  </w:style>
  <w:style w:type="character" w:styleId="WW8Num79z0" w:customStyle="1">
    <w:name w:val="WW8Num79z0"/>
    <w:qFormat/>
    <w:rPr/>
  </w:style>
  <w:style w:type="character" w:styleId="WW8Num79z1" w:customStyle="1">
    <w:name w:val="WW8Num79z1"/>
    <w:qFormat/>
    <w:rPr/>
  </w:style>
  <w:style w:type="character" w:styleId="WW8Num79z2" w:customStyle="1">
    <w:name w:val="WW8Num79z2"/>
    <w:qFormat/>
    <w:rPr/>
  </w:style>
  <w:style w:type="character" w:styleId="WW8Num79z3" w:customStyle="1">
    <w:name w:val="WW8Num79z3"/>
    <w:qFormat/>
    <w:rPr/>
  </w:style>
  <w:style w:type="character" w:styleId="WW8Num79z4" w:customStyle="1">
    <w:name w:val="WW8Num79z4"/>
    <w:qFormat/>
    <w:rPr/>
  </w:style>
  <w:style w:type="character" w:styleId="WW8Num79z5" w:customStyle="1">
    <w:name w:val="WW8Num79z5"/>
    <w:qFormat/>
    <w:rPr/>
  </w:style>
  <w:style w:type="character" w:styleId="WW8Num79z6" w:customStyle="1">
    <w:name w:val="WW8Num79z6"/>
    <w:qFormat/>
    <w:rPr/>
  </w:style>
  <w:style w:type="character" w:styleId="WW8Num79z7" w:customStyle="1">
    <w:name w:val="WW8Num79z7"/>
    <w:qFormat/>
    <w:rPr/>
  </w:style>
  <w:style w:type="character" w:styleId="WW8Num79z8" w:customStyle="1">
    <w:name w:val="WW8Num79z8"/>
    <w:qFormat/>
    <w:rPr/>
  </w:style>
  <w:style w:type="character" w:styleId="WW8Num80z0" w:customStyle="1">
    <w:name w:val="WW8Num80z0"/>
    <w:qFormat/>
    <w:rPr/>
  </w:style>
  <w:style w:type="character" w:styleId="WW8Num80z1" w:customStyle="1">
    <w:name w:val="WW8Num80z1"/>
    <w:qFormat/>
    <w:rPr/>
  </w:style>
  <w:style w:type="character" w:styleId="WW8Num80z2" w:customStyle="1">
    <w:name w:val="WW8Num80z2"/>
    <w:qFormat/>
    <w:rPr/>
  </w:style>
  <w:style w:type="character" w:styleId="WW8Num80z3" w:customStyle="1">
    <w:name w:val="WW8Num80z3"/>
    <w:qFormat/>
    <w:rPr/>
  </w:style>
  <w:style w:type="character" w:styleId="WW8Num80z4" w:customStyle="1">
    <w:name w:val="WW8Num80z4"/>
    <w:qFormat/>
    <w:rPr/>
  </w:style>
  <w:style w:type="character" w:styleId="WW8Num80z5" w:customStyle="1">
    <w:name w:val="WW8Num80z5"/>
    <w:qFormat/>
    <w:rPr/>
  </w:style>
  <w:style w:type="character" w:styleId="WW8Num80z6" w:customStyle="1">
    <w:name w:val="WW8Num80z6"/>
    <w:qFormat/>
    <w:rPr/>
  </w:style>
  <w:style w:type="character" w:styleId="WW8Num80z7" w:customStyle="1">
    <w:name w:val="WW8Num80z7"/>
    <w:qFormat/>
    <w:rPr/>
  </w:style>
  <w:style w:type="character" w:styleId="WW8Num80z8" w:customStyle="1">
    <w:name w:val="WW8Num80z8"/>
    <w:qFormat/>
    <w:rPr/>
  </w:style>
  <w:style w:type="character" w:styleId="WW8Num81z0" w:customStyle="1">
    <w:name w:val="WW8Num81z0"/>
    <w:qFormat/>
    <w:rPr>
      <w:rFonts w:ascii="Titillium" w:hAnsi="Titillium" w:eastAsia="Titillium" w:cs="Times New Roman"/>
      <w:b w:val="false"/>
      <w:bCs/>
      <w:i w:val="false"/>
      <w:strike w:val="false"/>
      <w:dstrike w:val="false"/>
      <w:sz w:val="20"/>
      <w:szCs w:val="20"/>
      <w:u w:val="none"/>
    </w:rPr>
  </w:style>
  <w:style w:type="character" w:styleId="WW8Num81z1" w:customStyle="1">
    <w:name w:val="WW8Num81z1"/>
    <w:qFormat/>
    <w:rPr/>
  </w:style>
  <w:style w:type="character" w:styleId="WW8Num81z2" w:customStyle="1">
    <w:name w:val="WW8Num81z2"/>
    <w:qFormat/>
    <w:rPr/>
  </w:style>
  <w:style w:type="character" w:styleId="WW8Num81z3" w:customStyle="1">
    <w:name w:val="WW8Num81z3"/>
    <w:qFormat/>
    <w:rPr/>
  </w:style>
  <w:style w:type="character" w:styleId="WW8Num81z4" w:customStyle="1">
    <w:name w:val="WW8Num81z4"/>
    <w:qFormat/>
    <w:rPr/>
  </w:style>
  <w:style w:type="character" w:styleId="WW8Num81z5" w:customStyle="1">
    <w:name w:val="WW8Num81z5"/>
    <w:qFormat/>
    <w:rPr/>
  </w:style>
  <w:style w:type="character" w:styleId="WW8Num81z6" w:customStyle="1">
    <w:name w:val="WW8Num81z6"/>
    <w:qFormat/>
    <w:rPr/>
  </w:style>
  <w:style w:type="character" w:styleId="WW8Num81z7" w:customStyle="1">
    <w:name w:val="WW8Num81z7"/>
    <w:qFormat/>
    <w:rPr/>
  </w:style>
  <w:style w:type="character" w:styleId="WW8Num81z8" w:customStyle="1">
    <w:name w:val="WW8Num81z8"/>
    <w:qFormat/>
    <w:rPr/>
  </w:style>
  <w:style w:type="character" w:styleId="WW8Num82z0" w:customStyle="1">
    <w:name w:val="WW8Num82z0"/>
    <w:qFormat/>
    <w:rPr>
      <w:rFonts w:ascii="Times New Roman" w:hAnsi="Times New Roman" w:eastAsia="Times New Roman" w:cs="Times New Roman"/>
      <w:b w:val="false"/>
      <w:bCs w:val="false"/>
      <w:i w:val="false"/>
      <w:iCs w:val="false"/>
    </w:rPr>
  </w:style>
  <w:style w:type="character" w:styleId="WW8Num82z1" w:customStyle="1">
    <w:name w:val="WW8Num82z1"/>
    <w:qFormat/>
    <w:rPr/>
  </w:style>
  <w:style w:type="character" w:styleId="WW8Num82z2" w:customStyle="1">
    <w:name w:val="WW8Num82z2"/>
    <w:qFormat/>
    <w:rPr/>
  </w:style>
  <w:style w:type="character" w:styleId="WW8Num82z3" w:customStyle="1">
    <w:name w:val="WW8Num82z3"/>
    <w:qFormat/>
    <w:rPr/>
  </w:style>
  <w:style w:type="character" w:styleId="WW8Num82z4" w:customStyle="1">
    <w:name w:val="WW8Num82z4"/>
    <w:qFormat/>
    <w:rPr/>
  </w:style>
  <w:style w:type="character" w:styleId="WW8Num82z5" w:customStyle="1">
    <w:name w:val="WW8Num82z5"/>
    <w:qFormat/>
    <w:rPr/>
  </w:style>
  <w:style w:type="character" w:styleId="WW8Num82z6" w:customStyle="1">
    <w:name w:val="WW8Num82z6"/>
    <w:qFormat/>
    <w:rPr/>
  </w:style>
  <w:style w:type="character" w:styleId="WW8Num82z7" w:customStyle="1">
    <w:name w:val="WW8Num82z7"/>
    <w:qFormat/>
    <w:rPr/>
  </w:style>
  <w:style w:type="character" w:styleId="WW8Num82z8" w:customStyle="1">
    <w:name w:val="WW8Num82z8"/>
    <w:qFormat/>
    <w:rPr/>
  </w:style>
  <w:style w:type="character" w:styleId="WW8Num83z0" w:customStyle="1">
    <w:name w:val="WW8Num83z0"/>
    <w:qFormat/>
    <w:rPr>
      <w:rFonts w:ascii="Times New Roman" w:hAnsi="Times New Roman" w:eastAsia="Times New Roman" w:cs="Times New Roman"/>
      <w:sz w:val="20"/>
      <w:szCs w:val="20"/>
      <w:lang w:eastAsia="pl-PL"/>
    </w:rPr>
  </w:style>
  <w:style w:type="character" w:styleId="WW8Num83z1" w:customStyle="1">
    <w:name w:val="WW8Num83z1"/>
    <w:qFormat/>
    <w:rPr>
      <w:sz w:val="20"/>
      <w:szCs w:val="20"/>
    </w:rPr>
  </w:style>
  <w:style w:type="character" w:styleId="WW8Num83z2" w:customStyle="1">
    <w:name w:val="WW8Num83z2"/>
    <w:qFormat/>
    <w:rPr/>
  </w:style>
  <w:style w:type="character" w:styleId="WW8Num83z3" w:customStyle="1">
    <w:name w:val="WW8Num83z3"/>
    <w:qFormat/>
    <w:rPr/>
  </w:style>
  <w:style w:type="character" w:styleId="WW8Num83z4" w:customStyle="1">
    <w:name w:val="WW8Num83z4"/>
    <w:qFormat/>
    <w:rPr/>
  </w:style>
  <w:style w:type="character" w:styleId="WW8Num83z5" w:customStyle="1">
    <w:name w:val="WW8Num83z5"/>
    <w:qFormat/>
    <w:rPr/>
  </w:style>
  <w:style w:type="character" w:styleId="WW8Num83z6" w:customStyle="1">
    <w:name w:val="WW8Num83z6"/>
    <w:qFormat/>
    <w:rPr/>
  </w:style>
  <w:style w:type="character" w:styleId="WW8Num83z7" w:customStyle="1">
    <w:name w:val="WW8Num83z7"/>
    <w:qFormat/>
    <w:rPr/>
  </w:style>
  <w:style w:type="character" w:styleId="WW8Num83z8" w:customStyle="1">
    <w:name w:val="WW8Num83z8"/>
    <w:qFormat/>
    <w:rPr/>
  </w:style>
  <w:style w:type="character" w:styleId="WW8Num84z0" w:customStyle="1">
    <w:name w:val="WW8Num84z0"/>
    <w:qFormat/>
    <w:rPr>
      <w:lang w:eastAsia="pl-PL"/>
    </w:rPr>
  </w:style>
  <w:style w:type="character" w:styleId="WW8Num84z1" w:customStyle="1">
    <w:name w:val="WW8Num84z1"/>
    <w:qFormat/>
    <w:rPr/>
  </w:style>
  <w:style w:type="character" w:styleId="WW8Num84z2" w:customStyle="1">
    <w:name w:val="WW8Num84z2"/>
    <w:qFormat/>
    <w:rPr/>
  </w:style>
  <w:style w:type="character" w:styleId="WW8Num84z3" w:customStyle="1">
    <w:name w:val="WW8Num84z3"/>
    <w:qFormat/>
    <w:rPr/>
  </w:style>
  <w:style w:type="character" w:styleId="WW8Num84z4" w:customStyle="1">
    <w:name w:val="WW8Num84z4"/>
    <w:qFormat/>
    <w:rPr/>
  </w:style>
  <w:style w:type="character" w:styleId="WW8Num84z5" w:customStyle="1">
    <w:name w:val="WW8Num84z5"/>
    <w:qFormat/>
    <w:rPr/>
  </w:style>
  <w:style w:type="character" w:styleId="WW8Num84z6" w:customStyle="1">
    <w:name w:val="WW8Num84z6"/>
    <w:qFormat/>
    <w:rPr/>
  </w:style>
  <w:style w:type="character" w:styleId="WW8Num84z7" w:customStyle="1">
    <w:name w:val="WW8Num84z7"/>
    <w:qFormat/>
    <w:rPr/>
  </w:style>
  <w:style w:type="character" w:styleId="WW8Num84z8" w:customStyle="1">
    <w:name w:val="WW8Num84z8"/>
    <w:qFormat/>
    <w:rPr/>
  </w:style>
  <w:style w:type="character" w:styleId="WW8Num85z0" w:customStyle="1">
    <w:name w:val="WW8Num85z0"/>
    <w:qFormat/>
    <w:rPr/>
  </w:style>
  <w:style w:type="character" w:styleId="WW8Num85z1" w:customStyle="1">
    <w:name w:val="WW8Num85z1"/>
    <w:qFormat/>
    <w:rPr/>
  </w:style>
  <w:style w:type="character" w:styleId="WW8Num85z2" w:customStyle="1">
    <w:name w:val="WW8Num85z2"/>
    <w:qFormat/>
    <w:rPr/>
  </w:style>
  <w:style w:type="character" w:styleId="WW8Num85z3" w:customStyle="1">
    <w:name w:val="WW8Num85z3"/>
    <w:qFormat/>
    <w:rPr/>
  </w:style>
  <w:style w:type="character" w:styleId="WW8Num85z4" w:customStyle="1">
    <w:name w:val="WW8Num85z4"/>
    <w:qFormat/>
    <w:rPr/>
  </w:style>
  <w:style w:type="character" w:styleId="WW8Num85z5" w:customStyle="1">
    <w:name w:val="WW8Num85z5"/>
    <w:qFormat/>
    <w:rPr/>
  </w:style>
  <w:style w:type="character" w:styleId="WW8Num85z6" w:customStyle="1">
    <w:name w:val="WW8Num85z6"/>
    <w:qFormat/>
    <w:rPr/>
  </w:style>
  <w:style w:type="character" w:styleId="WW8Num85z7" w:customStyle="1">
    <w:name w:val="WW8Num85z7"/>
    <w:qFormat/>
    <w:rPr/>
  </w:style>
  <w:style w:type="character" w:styleId="WW8Num85z8" w:customStyle="1">
    <w:name w:val="WW8Num85z8"/>
    <w:qFormat/>
    <w:rPr/>
  </w:style>
  <w:style w:type="character" w:styleId="WW8Num86z0" w:customStyle="1">
    <w:name w:val="WW8Num86z0"/>
    <w:qFormat/>
    <w:rPr>
      <w:bCs/>
    </w:rPr>
  </w:style>
  <w:style w:type="character" w:styleId="WW8Num86z2" w:customStyle="1">
    <w:name w:val="WW8Num86z2"/>
    <w:qFormat/>
    <w:rPr/>
  </w:style>
  <w:style w:type="character" w:styleId="WW8Num86z3" w:customStyle="1">
    <w:name w:val="WW8Num86z3"/>
    <w:qFormat/>
    <w:rPr/>
  </w:style>
  <w:style w:type="character" w:styleId="WW8Num86z4" w:customStyle="1">
    <w:name w:val="WW8Num86z4"/>
    <w:qFormat/>
    <w:rPr/>
  </w:style>
  <w:style w:type="character" w:styleId="WW8Num86z5" w:customStyle="1">
    <w:name w:val="WW8Num86z5"/>
    <w:qFormat/>
    <w:rPr/>
  </w:style>
  <w:style w:type="character" w:styleId="WW8Num86z6" w:customStyle="1">
    <w:name w:val="WW8Num86z6"/>
    <w:qFormat/>
    <w:rPr/>
  </w:style>
  <w:style w:type="character" w:styleId="WW8Num86z7" w:customStyle="1">
    <w:name w:val="WW8Num86z7"/>
    <w:qFormat/>
    <w:rPr/>
  </w:style>
  <w:style w:type="character" w:styleId="WW8Num86z8" w:customStyle="1">
    <w:name w:val="WW8Num86z8"/>
    <w:qFormat/>
    <w:rPr/>
  </w:style>
  <w:style w:type="character" w:styleId="WW8Num87z0" w:customStyle="1">
    <w:name w:val="WW8Num87z0"/>
    <w:qFormat/>
    <w:rPr>
      <w:rFonts w:ascii="Times New Roman" w:hAnsi="Times New Roman" w:eastAsia="Times New Roman" w:cs="Times New Roman"/>
      <w:sz w:val="18"/>
      <w:szCs w:val="18"/>
    </w:rPr>
  </w:style>
  <w:style w:type="character" w:styleId="WW8Num87z1" w:customStyle="1">
    <w:name w:val="WW8Num87z1"/>
    <w:qFormat/>
    <w:rPr/>
  </w:style>
  <w:style w:type="character" w:styleId="WW8Num87z2" w:customStyle="1">
    <w:name w:val="WW8Num87z2"/>
    <w:qFormat/>
    <w:rPr/>
  </w:style>
  <w:style w:type="character" w:styleId="WW8Num87z3" w:customStyle="1">
    <w:name w:val="WW8Num87z3"/>
    <w:qFormat/>
    <w:rPr/>
  </w:style>
  <w:style w:type="character" w:styleId="WW8Num87z4" w:customStyle="1">
    <w:name w:val="WW8Num87z4"/>
    <w:qFormat/>
    <w:rPr/>
  </w:style>
  <w:style w:type="character" w:styleId="WW8Num87z5" w:customStyle="1">
    <w:name w:val="WW8Num87z5"/>
    <w:qFormat/>
    <w:rPr/>
  </w:style>
  <w:style w:type="character" w:styleId="WW8Num87z6" w:customStyle="1">
    <w:name w:val="WW8Num87z6"/>
    <w:qFormat/>
    <w:rPr/>
  </w:style>
  <w:style w:type="character" w:styleId="WW8Num87z7" w:customStyle="1">
    <w:name w:val="WW8Num87z7"/>
    <w:qFormat/>
    <w:rPr/>
  </w:style>
  <w:style w:type="character" w:styleId="WW8Num87z8" w:customStyle="1">
    <w:name w:val="WW8Num87z8"/>
    <w:qFormat/>
    <w:rPr/>
  </w:style>
  <w:style w:type="character" w:styleId="WW8Num88z0" w:customStyle="1">
    <w:name w:val="WW8Num88z0"/>
    <w:qFormat/>
    <w:rPr/>
  </w:style>
  <w:style w:type="character" w:styleId="WW8Num88z1" w:customStyle="1">
    <w:name w:val="WW8Num88z1"/>
    <w:qFormat/>
    <w:rPr/>
  </w:style>
  <w:style w:type="character" w:styleId="WW8Num88z2" w:customStyle="1">
    <w:name w:val="WW8Num88z2"/>
    <w:qFormat/>
    <w:rPr/>
  </w:style>
  <w:style w:type="character" w:styleId="WW8Num88z3" w:customStyle="1">
    <w:name w:val="WW8Num88z3"/>
    <w:qFormat/>
    <w:rPr/>
  </w:style>
  <w:style w:type="character" w:styleId="WW8Num88z4" w:customStyle="1">
    <w:name w:val="WW8Num88z4"/>
    <w:qFormat/>
    <w:rPr/>
  </w:style>
  <w:style w:type="character" w:styleId="WW8Num88z5" w:customStyle="1">
    <w:name w:val="WW8Num88z5"/>
    <w:qFormat/>
    <w:rPr/>
  </w:style>
  <w:style w:type="character" w:styleId="WW8Num88z6" w:customStyle="1">
    <w:name w:val="WW8Num88z6"/>
    <w:qFormat/>
    <w:rPr/>
  </w:style>
  <w:style w:type="character" w:styleId="WW8Num88z7" w:customStyle="1">
    <w:name w:val="WW8Num88z7"/>
    <w:qFormat/>
    <w:rPr/>
  </w:style>
  <w:style w:type="character" w:styleId="WW8Num88z8" w:customStyle="1">
    <w:name w:val="WW8Num88z8"/>
    <w:qFormat/>
    <w:rPr/>
  </w:style>
  <w:style w:type="character" w:styleId="WW8Num89z0" w:customStyle="1">
    <w:name w:val="WW8Num89z0"/>
    <w:qFormat/>
    <w:rPr>
      <w:b w:val="false"/>
      <w:bCs/>
    </w:rPr>
  </w:style>
  <w:style w:type="character" w:styleId="WW8Num89z1" w:customStyle="1">
    <w:name w:val="WW8Num89z1"/>
    <w:qFormat/>
    <w:rPr/>
  </w:style>
  <w:style w:type="character" w:styleId="WW8Num89z2" w:customStyle="1">
    <w:name w:val="WW8Num89z2"/>
    <w:qFormat/>
    <w:rPr/>
  </w:style>
  <w:style w:type="character" w:styleId="WW8Num89z3" w:customStyle="1">
    <w:name w:val="WW8Num89z3"/>
    <w:qFormat/>
    <w:rPr/>
  </w:style>
  <w:style w:type="character" w:styleId="WW8Num89z4" w:customStyle="1">
    <w:name w:val="WW8Num89z4"/>
    <w:qFormat/>
    <w:rPr/>
  </w:style>
  <w:style w:type="character" w:styleId="WW8Num89z5" w:customStyle="1">
    <w:name w:val="WW8Num89z5"/>
    <w:qFormat/>
    <w:rPr/>
  </w:style>
  <w:style w:type="character" w:styleId="WW8Num89z6" w:customStyle="1">
    <w:name w:val="WW8Num89z6"/>
    <w:qFormat/>
    <w:rPr/>
  </w:style>
  <w:style w:type="character" w:styleId="WW8Num89z7" w:customStyle="1">
    <w:name w:val="WW8Num89z7"/>
    <w:qFormat/>
    <w:rPr/>
  </w:style>
  <w:style w:type="character" w:styleId="WW8Num89z8" w:customStyle="1">
    <w:name w:val="WW8Num89z8"/>
    <w:qFormat/>
    <w:rPr/>
  </w:style>
  <w:style w:type="character" w:styleId="WW8Num90z0" w:customStyle="1">
    <w:name w:val="WW8Num90z0"/>
    <w:qFormat/>
    <w:rPr/>
  </w:style>
  <w:style w:type="character" w:styleId="WW8Num90z1" w:customStyle="1">
    <w:name w:val="WW8Num90z1"/>
    <w:qFormat/>
    <w:rPr/>
  </w:style>
  <w:style w:type="character" w:styleId="WW8Num90z2" w:customStyle="1">
    <w:name w:val="WW8Num90z2"/>
    <w:qFormat/>
    <w:rPr>
      <w:rFonts w:ascii="Titillium" w:hAnsi="Titillium" w:eastAsia="Titillium" w:cs="Titillium"/>
      <w:b w:val="false"/>
      <w:bCs w:val="false"/>
      <w:sz w:val="20"/>
      <w:szCs w:val="20"/>
    </w:rPr>
  </w:style>
  <w:style w:type="character" w:styleId="WW8Num90z3" w:customStyle="1">
    <w:name w:val="WW8Num90z3"/>
    <w:qFormat/>
    <w:rPr/>
  </w:style>
  <w:style w:type="character" w:styleId="WW8Num90z4" w:customStyle="1">
    <w:name w:val="WW8Num90z4"/>
    <w:qFormat/>
    <w:rPr/>
  </w:style>
  <w:style w:type="character" w:styleId="WW8Num90z5" w:customStyle="1">
    <w:name w:val="WW8Num90z5"/>
    <w:qFormat/>
    <w:rPr/>
  </w:style>
  <w:style w:type="character" w:styleId="WW8Num90z6" w:customStyle="1">
    <w:name w:val="WW8Num90z6"/>
    <w:qFormat/>
    <w:rPr/>
  </w:style>
  <w:style w:type="character" w:styleId="WW8Num90z7" w:customStyle="1">
    <w:name w:val="WW8Num90z7"/>
    <w:qFormat/>
    <w:rPr/>
  </w:style>
  <w:style w:type="character" w:styleId="WW8Num90z8" w:customStyle="1">
    <w:name w:val="WW8Num90z8"/>
    <w:qFormat/>
    <w:rPr/>
  </w:style>
  <w:style w:type="character" w:styleId="WW8Num7z1" w:customStyle="1">
    <w:name w:val="WW8Num7z1"/>
    <w:qFormat/>
    <w:rPr/>
  </w:style>
  <w:style w:type="character" w:styleId="WW8Num7z2" w:customStyle="1">
    <w:name w:val="WW8Num7z2"/>
    <w:qFormat/>
    <w:rPr>
      <w:b w:val="false"/>
      <w:color w:val="000000"/>
      <w:sz w:val="20"/>
      <w:szCs w:val="20"/>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9z1" w:customStyle="1">
    <w:name w:val="WW8Num19z1"/>
    <w:qFormat/>
    <w:rPr>
      <w:rFonts w:ascii="Times New Roman" w:hAnsi="Times New Roman" w:eastAsia="Times New Roman" w:cs="Times New Roman"/>
      <w:b w:val="false"/>
      <w:i w:val="false"/>
      <w:strike w:val="false"/>
      <w:dstrike w:val="false"/>
      <w:sz w:val="20"/>
      <w:szCs w:val="20"/>
      <w:u w:val="none"/>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4z1" w:customStyle="1">
    <w:name w:val="WW8Num24z1"/>
    <w:qFormat/>
    <w:rPr>
      <w:rFonts w:ascii="Times New Roman" w:hAnsi="Times New Roman" w:eastAsia="Times New Roman" w:cs="Times New Roman"/>
      <w:b w:val="false"/>
      <w:bCs/>
      <w:i w:val="false"/>
      <w:strike w:val="false"/>
      <w:dstrike w:val="false"/>
      <w:sz w:val="20"/>
      <w:szCs w:val="20"/>
      <w:u w:val="none"/>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1" w:customStyle="1">
    <w:name w:val="WW8Num28z1"/>
    <w:qFormat/>
    <w:rPr/>
  </w:style>
  <w:style w:type="character" w:styleId="WW8Num29z4" w:customStyle="1">
    <w:name w:val="WW8Num29z4"/>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1" w:customStyle="1">
    <w:name w:val="WW8Num33z1"/>
    <w:qFormat/>
    <w:rPr>
      <w:b w:val="false"/>
    </w:rPr>
  </w:style>
  <w:style w:type="character" w:styleId="WW8Num33z2" w:customStyle="1">
    <w:name w:val="WW8Num33z2"/>
    <w:qFormat/>
    <w:rPr/>
  </w:style>
  <w:style w:type="character" w:styleId="WW8Num34z1" w:customStyle="1">
    <w:name w:val="WW8Num34z1"/>
    <w:qFormat/>
    <w:rPr/>
  </w:style>
  <w:style w:type="character" w:styleId="WW8Num36z1" w:customStyle="1">
    <w:name w:val="WW8Num36z1"/>
    <w:qFormat/>
    <w:rPr>
      <w:rFonts w:ascii="Courier New" w:hAnsi="Courier New" w:eastAsia="Courier New" w:cs="Courier New"/>
    </w:rPr>
  </w:style>
  <w:style w:type="character" w:styleId="WW8Num36z2" w:customStyle="1">
    <w:name w:val="WW8Num36z2"/>
    <w:qFormat/>
    <w:rPr>
      <w:rFonts w:ascii="Wingdings" w:hAnsi="Wingdings" w:eastAsia="Wingdings" w:cs="Wingdings"/>
    </w:rPr>
  </w:style>
  <w:style w:type="character" w:styleId="WW8Num36z3" w:customStyle="1">
    <w:name w:val="WW8Num36z3"/>
    <w:qFormat/>
    <w:rPr>
      <w:rFonts w:ascii="Symbol" w:hAnsi="Symbol" w:eastAsia="Symbol" w:cs="Symbol"/>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1" w:customStyle="1">
    <w:name w:val="WW8Num38z1"/>
    <w:qFormat/>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1" w:customStyle="1">
    <w:name w:val="WW8Num41z1"/>
    <w:qFormat/>
    <w:rPr>
      <w:rFonts w:ascii="Symbol" w:hAnsi="Symbol" w:eastAsia="Times New Roman" w:cs="Arial"/>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WW8Num43z2" w:customStyle="1">
    <w:name w:val="WW8Num43z2"/>
    <w:qFormat/>
    <w:rPr>
      <w:rFonts w:ascii="Symbol" w:hAnsi="Symbol" w:eastAsia="Symbol" w:cs="Symbol"/>
      <w:strike w:val="false"/>
      <w:dstrike w:val="false"/>
    </w:rPr>
  </w:style>
  <w:style w:type="character" w:styleId="WW8Num43z3" w:customStyle="1">
    <w:name w:val="WW8Num43z3"/>
    <w:qFormat/>
    <w:rPr/>
  </w:style>
  <w:style w:type="character" w:styleId="WW8Num43z4" w:customStyle="1">
    <w:name w:val="WW8Num43z4"/>
    <w:qFormat/>
    <w:rPr>
      <w:rFonts w:ascii="Times New Roman" w:hAnsi="Times New Roman" w:eastAsia="Times New Roman" w:cs="Times New Roman"/>
    </w:rPr>
  </w:style>
  <w:style w:type="character" w:styleId="WW8Num43z5" w:customStyle="1">
    <w:name w:val="WW8Num43z5"/>
    <w:qFormat/>
    <w:rPr/>
  </w:style>
  <w:style w:type="character" w:styleId="WW8Num43z6" w:customStyle="1">
    <w:name w:val="WW8Num43z6"/>
    <w:qFormat/>
    <w:rPr/>
  </w:style>
  <w:style w:type="character" w:styleId="WW8Num43z7" w:customStyle="1">
    <w:name w:val="WW8Num43z7"/>
    <w:qFormat/>
    <w:rPr/>
  </w:style>
  <w:style w:type="character" w:styleId="WW8Num43z8" w:customStyle="1">
    <w:name w:val="WW8Num43z8"/>
    <w:qFormat/>
    <w:rPr/>
  </w:style>
  <w:style w:type="character" w:styleId="WW8Num44z1" w:customStyle="1">
    <w:name w:val="WW8Num44z1"/>
    <w:qFormat/>
    <w:rPr>
      <w:rFonts w:ascii="Courier New" w:hAnsi="Courier New" w:eastAsia="Courier New" w:cs="Courier New"/>
    </w:rPr>
  </w:style>
  <w:style w:type="character" w:styleId="WW8Num44z2" w:customStyle="1">
    <w:name w:val="WW8Num44z2"/>
    <w:qFormat/>
    <w:rPr>
      <w:rFonts w:ascii="Times New Roman" w:hAnsi="Times New Roman" w:eastAsia="Times-Roman, 'Times New Roman'" w:cs="Times New Roman"/>
      <w:i w:val="false"/>
      <w:color w:val="000000"/>
      <w:sz w:val="20"/>
      <w:szCs w:val="20"/>
    </w:rPr>
  </w:style>
  <w:style w:type="character" w:styleId="WW8Num44z3" w:customStyle="1">
    <w:name w:val="WW8Num44z3"/>
    <w:qFormat/>
    <w:rPr>
      <w:rFonts w:ascii="Symbol" w:hAnsi="Symbol" w:eastAsia="Symbol" w:cs="Symbol"/>
    </w:rPr>
  </w:style>
  <w:style w:type="character" w:styleId="WW8Num44z5" w:customStyle="1">
    <w:name w:val="WW8Num44z5"/>
    <w:qFormat/>
    <w:rPr>
      <w:rFonts w:ascii="Wingdings" w:hAnsi="Wingdings" w:eastAsia="Wingdings" w:cs="Wingdings"/>
    </w:rPr>
  </w:style>
  <w:style w:type="character" w:styleId="WW8Num47z1" w:customStyle="1">
    <w:name w:val="WW8Num47z1"/>
    <w:qFormat/>
    <w:rPr>
      <w:b w:val="false"/>
      <w:sz w:val="20"/>
      <w:szCs w:val="20"/>
    </w:rPr>
  </w:style>
  <w:style w:type="character" w:styleId="WW8Num47z2" w:customStyle="1">
    <w:name w:val="WW8Num47z2"/>
    <w:qFormat/>
    <w:rPr/>
  </w:style>
  <w:style w:type="character" w:styleId="WW8Num47z3" w:customStyle="1">
    <w:name w:val="WW8Num47z3"/>
    <w:qFormat/>
    <w:rPr/>
  </w:style>
  <w:style w:type="character" w:styleId="WW8Num47z4" w:customStyle="1">
    <w:name w:val="WW8Num47z4"/>
    <w:qFormat/>
    <w:rPr/>
  </w:style>
  <w:style w:type="character" w:styleId="WW8Num47z5" w:customStyle="1">
    <w:name w:val="WW8Num47z5"/>
    <w:qFormat/>
    <w:rPr/>
  </w:style>
  <w:style w:type="character" w:styleId="WW8Num47z6" w:customStyle="1">
    <w:name w:val="WW8Num47z6"/>
    <w:qFormat/>
    <w:rPr/>
  </w:style>
  <w:style w:type="character" w:styleId="WW8Num47z7" w:customStyle="1">
    <w:name w:val="WW8Num47z7"/>
    <w:qFormat/>
    <w:rPr/>
  </w:style>
  <w:style w:type="character" w:styleId="WW8Num47z8" w:customStyle="1">
    <w:name w:val="WW8Num47z8"/>
    <w:qFormat/>
    <w:rPr/>
  </w:style>
  <w:style w:type="character" w:styleId="WW8Num49z1" w:customStyle="1">
    <w:name w:val="WW8Num49z1"/>
    <w:qFormat/>
    <w:rPr/>
  </w:style>
  <w:style w:type="character" w:styleId="WW8Num49z2" w:customStyle="1">
    <w:name w:val="WW8Num49z2"/>
    <w:qFormat/>
    <w:rPr/>
  </w:style>
  <w:style w:type="character" w:styleId="WW8Num49z3" w:customStyle="1">
    <w:name w:val="WW8Num49z3"/>
    <w:qFormat/>
    <w:rPr/>
  </w:style>
  <w:style w:type="character" w:styleId="WW8Num49z4" w:customStyle="1">
    <w:name w:val="WW8Num49z4"/>
    <w:qFormat/>
    <w:rPr/>
  </w:style>
  <w:style w:type="character" w:styleId="WW8Num49z5" w:customStyle="1">
    <w:name w:val="WW8Num49z5"/>
    <w:qFormat/>
    <w:rPr/>
  </w:style>
  <w:style w:type="character" w:styleId="WW8Num49z6" w:customStyle="1">
    <w:name w:val="WW8Num49z6"/>
    <w:qFormat/>
    <w:rPr/>
  </w:style>
  <w:style w:type="character" w:styleId="WW8Num49z7" w:customStyle="1">
    <w:name w:val="WW8Num49z7"/>
    <w:qFormat/>
    <w:rPr/>
  </w:style>
  <w:style w:type="character" w:styleId="WW8Num49z8" w:customStyle="1">
    <w:name w:val="WW8Num49z8"/>
    <w:qFormat/>
    <w:rPr/>
  </w:style>
  <w:style w:type="character" w:styleId="WW8Num52z2" w:customStyle="1">
    <w:name w:val="WW8Num52z2"/>
    <w:qFormat/>
    <w:rPr>
      <w:rFonts w:ascii="Symbol" w:hAnsi="Symbol" w:eastAsia="Symbol" w:cs="Symbol"/>
      <w:strike w:val="false"/>
      <w:dstrike w:val="false"/>
    </w:rPr>
  </w:style>
  <w:style w:type="character" w:styleId="WW8Num52z3" w:customStyle="1">
    <w:name w:val="WW8Num52z3"/>
    <w:qFormat/>
    <w:rPr/>
  </w:style>
  <w:style w:type="character" w:styleId="WW8Num52z4" w:customStyle="1">
    <w:name w:val="WW8Num52z4"/>
    <w:qFormat/>
    <w:rPr>
      <w:rFonts w:ascii="Times New Roman" w:hAnsi="Times New Roman" w:eastAsia="Times New Roman" w:cs="Times New Roman"/>
    </w:rPr>
  </w:style>
  <w:style w:type="character" w:styleId="WW8Num52z5" w:customStyle="1">
    <w:name w:val="WW8Num52z5"/>
    <w:qFormat/>
    <w:rPr/>
  </w:style>
  <w:style w:type="character" w:styleId="WW8Num52z6" w:customStyle="1">
    <w:name w:val="WW8Num52z6"/>
    <w:qFormat/>
    <w:rPr/>
  </w:style>
  <w:style w:type="character" w:styleId="WW8Num52z7" w:customStyle="1">
    <w:name w:val="WW8Num52z7"/>
    <w:qFormat/>
    <w:rPr/>
  </w:style>
  <w:style w:type="character" w:styleId="WW8Num52z8" w:customStyle="1">
    <w:name w:val="WW8Num52z8"/>
    <w:qFormat/>
    <w:rPr/>
  </w:style>
  <w:style w:type="character" w:styleId="WW8Num53z1" w:customStyle="1">
    <w:name w:val="WW8Num53z1"/>
    <w:qFormat/>
    <w:rPr>
      <w:rFonts w:eastAsia="Times-Roman, 'Times New Roman'"/>
      <w:i/>
    </w:rPr>
  </w:style>
  <w:style w:type="character" w:styleId="WW8Num53z2" w:customStyle="1">
    <w:name w:val="WW8Num53z2"/>
    <w:qFormat/>
    <w:rPr/>
  </w:style>
  <w:style w:type="character" w:styleId="WW8Num53z3" w:customStyle="1">
    <w:name w:val="WW8Num53z3"/>
    <w:qFormat/>
    <w:rPr/>
  </w:style>
  <w:style w:type="character" w:styleId="WW8Num53z4" w:customStyle="1">
    <w:name w:val="WW8Num53z4"/>
    <w:qFormat/>
    <w:rPr/>
  </w:style>
  <w:style w:type="character" w:styleId="WW8Num53z5" w:customStyle="1">
    <w:name w:val="WW8Num53z5"/>
    <w:qFormat/>
    <w:rPr/>
  </w:style>
  <w:style w:type="character" w:styleId="WW8Num53z6" w:customStyle="1">
    <w:name w:val="WW8Num53z6"/>
    <w:qFormat/>
    <w:rPr/>
  </w:style>
  <w:style w:type="character" w:styleId="WW8Num53z7" w:customStyle="1">
    <w:name w:val="WW8Num53z7"/>
    <w:qFormat/>
    <w:rPr/>
  </w:style>
  <w:style w:type="character" w:styleId="WW8Num53z8" w:customStyle="1">
    <w:name w:val="WW8Num53z8"/>
    <w:qFormat/>
    <w:rPr/>
  </w:style>
  <w:style w:type="character" w:styleId="WW8Num55z1" w:customStyle="1">
    <w:name w:val="WW8Num55z1"/>
    <w:qFormat/>
    <w:rPr/>
  </w:style>
  <w:style w:type="character" w:styleId="WW8Num55z2" w:customStyle="1">
    <w:name w:val="WW8Num55z2"/>
    <w:qFormat/>
    <w:rPr/>
  </w:style>
  <w:style w:type="character" w:styleId="WW8Num55z3" w:customStyle="1">
    <w:name w:val="WW8Num55z3"/>
    <w:qFormat/>
    <w:rPr/>
  </w:style>
  <w:style w:type="character" w:styleId="WW8Num55z4" w:customStyle="1">
    <w:name w:val="WW8Num55z4"/>
    <w:qFormat/>
    <w:rPr/>
  </w:style>
  <w:style w:type="character" w:styleId="WW8Num55z5" w:customStyle="1">
    <w:name w:val="WW8Num55z5"/>
    <w:qFormat/>
    <w:rPr/>
  </w:style>
  <w:style w:type="character" w:styleId="WW8Num55z6" w:customStyle="1">
    <w:name w:val="WW8Num55z6"/>
    <w:qFormat/>
    <w:rPr/>
  </w:style>
  <w:style w:type="character" w:styleId="WW8Num55z7" w:customStyle="1">
    <w:name w:val="WW8Num55z7"/>
    <w:qFormat/>
    <w:rPr/>
  </w:style>
  <w:style w:type="character" w:styleId="WW8Num55z8" w:customStyle="1">
    <w:name w:val="WW8Num55z8"/>
    <w:qFormat/>
    <w:rPr/>
  </w:style>
  <w:style w:type="character" w:styleId="WW8Num56z1" w:customStyle="1">
    <w:name w:val="WW8Num56z1"/>
    <w:qFormat/>
    <w:rPr/>
  </w:style>
  <w:style w:type="character" w:styleId="WW8Num56z2" w:customStyle="1">
    <w:name w:val="WW8Num56z2"/>
    <w:qFormat/>
    <w:rPr/>
  </w:style>
  <w:style w:type="character" w:styleId="WW8Num56z3" w:customStyle="1">
    <w:name w:val="WW8Num56z3"/>
    <w:qFormat/>
    <w:rPr/>
  </w:style>
  <w:style w:type="character" w:styleId="WW8Num56z4" w:customStyle="1">
    <w:name w:val="WW8Num56z4"/>
    <w:qFormat/>
    <w:rPr/>
  </w:style>
  <w:style w:type="character" w:styleId="WW8Num56z5" w:customStyle="1">
    <w:name w:val="WW8Num56z5"/>
    <w:qFormat/>
    <w:rPr/>
  </w:style>
  <w:style w:type="character" w:styleId="WW8Num56z6" w:customStyle="1">
    <w:name w:val="WW8Num56z6"/>
    <w:qFormat/>
    <w:rPr/>
  </w:style>
  <w:style w:type="character" w:styleId="WW8Num56z7" w:customStyle="1">
    <w:name w:val="WW8Num56z7"/>
    <w:qFormat/>
    <w:rPr/>
  </w:style>
  <w:style w:type="character" w:styleId="WW8Num56z8" w:customStyle="1">
    <w:name w:val="WW8Num56z8"/>
    <w:qFormat/>
    <w:rPr/>
  </w:style>
  <w:style w:type="character" w:styleId="WW8Num58z1" w:customStyle="1">
    <w:name w:val="WW8Num58z1"/>
    <w:qFormat/>
    <w:rPr/>
  </w:style>
  <w:style w:type="character" w:styleId="WW8Num58z2" w:customStyle="1">
    <w:name w:val="WW8Num58z2"/>
    <w:qFormat/>
    <w:rPr/>
  </w:style>
  <w:style w:type="character" w:styleId="WW8Num58z3" w:customStyle="1">
    <w:name w:val="WW8Num58z3"/>
    <w:qFormat/>
    <w:rPr/>
  </w:style>
  <w:style w:type="character" w:styleId="WW8Num58z4" w:customStyle="1">
    <w:name w:val="WW8Num58z4"/>
    <w:qFormat/>
    <w:rPr/>
  </w:style>
  <w:style w:type="character" w:styleId="WW8Num58z5" w:customStyle="1">
    <w:name w:val="WW8Num58z5"/>
    <w:qFormat/>
    <w:rPr/>
  </w:style>
  <w:style w:type="character" w:styleId="WW8Num58z6" w:customStyle="1">
    <w:name w:val="WW8Num58z6"/>
    <w:qFormat/>
    <w:rPr/>
  </w:style>
  <w:style w:type="character" w:styleId="WW8Num58z7" w:customStyle="1">
    <w:name w:val="WW8Num58z7"/>
    <w:qFormat/>
    <w:rPr/>
  </w:style>
  <w:style w:type="character" w:styleId="WW8Num58z8" w:customStyle="1">
    <w:name w:val="WW8Num58z8"/>
    <w:qFormat/>
    <w:rPr/>
  </w:style>
  <w:style w:type="character" w:styleId="WW8Num59z1" w:customStyle="1">
    <w:name w:val="WW8Num59z1"/>
    <w:qFormat/>
    <w:rPr/>
  </w:style>
  <w:style w:type="character" w:styleId="WW8Num59z2" w:customStyle="1">
    <w:name w:val="WW8Num59z2"/>
    <w:qFormat/>
    <w:rPr/>
  </w:style>
  <w:style w:type="character" w:styleId="WW8Num61z1" w:customStyle="1">
    <w:name w:val="WW8Num61z1"/>
    <w:qFormat/>
    <w:rPr/>
  </w:style>
  <w:style w:type="character" w:styleId="WW8Num61z2" w:customStyle="1">
    <w:name w:val="WW8Num61z2"/>
    <w:qFormat/>
    <w:rPr/>
  </w:style>
  <w:style w:type="character" w:styleId="WW8Num61z3" w:customStyle="1">
    <w:name w:val="WW8Num61z3"/>
    <w:qFormat/>
    <w:rPr/>
  </w:style>
  <w:style w:type="character" w:styleId="WW8Num61z4" w:customStyle="1">
    <w:name w:val="WW8Num61z4"/>
    <w:qFormat/>
    <w:rPr/>
  </w:style>
  <w:style w:type="character" w:styleId="WW8Num61z5" w:customStyle="1">
    <w:name w:val="WW8Num61z5"/>
    <w:qFormat/>
    <w:rPr/>
  </w:style>
  <w:style w:type="character" w:styleId="WW8Num61z6" w:customStyle="1">
    <w:name w:val="WW8Num61z6"/>
    <w:qFormat/>
    <w:rPr/>
  </w:style>
  <w:style w:type="character" w:styleId="WW8Num61z7" w:customStyle="1">
    <w:name w:val="WW8Num61z7"/>
    <w:qFormat/>
    <w:rPr/>
  </w:style>
  <w:style w:type="character" w:styleId="WW8Num61z8" w:customStyle="1">
    <w:name w:val="WW8Num61z8"/>
    <w:qFormat/>
    <w:rPr/>
  </w:style>
  <w:style w:type="character" w:styleId="WW8Num62z1" w:customStyle="1">
    <w:name w:val="WW8Num62z1"/>
    <w:qFormat/>
    <w:rPr>
      <w:b w:val="false"/>
      <w:bCs/>
      <w:i w:val="false"/>
      <w:strike w:val="false"/>
      <w:dstrike w:val="false"/>
      <w:sz w:val="20"/>
      <w:szCs w:val="20"/>
      <w:u w:val="none"/>
    </w:rPr>
  </w:style>
  <w:style w:type="character" w:styleId="WW8Num62z2" w:customStyle="1">
    <w:name w:val="WW8Num62z2"/>
    <w:qFormat/>
    <w:rPr/>
  </w:style>
  <w:style w:type="character" w:styleId="WW8Num62z3" w:customStyle="1">
    <w:name w:val="WW8Num62z3"/>
    <w:qFormat/>
    <w:rPr/>
  </w:style>
  <w:style w:type="character" w:styleId="WW8Num62z4" w:customStyle="1">
    <w:name w:val="WW8Num62z4"/>
    <w:qFormat/>
    <w:rPr/>
  </w:style>
  <w:style w:type="character" w:styleId="WW8Num62z5" w:customStyle="1">
    <w:name w:val="WW8Num62z5"/>
    <w:qFormat/>
    <w:rPr/>
  </w:style>
  <w:style w:type="character" w:styleId="WW8Num62z6" w:customStyle="1">
    <w:name w:val="WW8Num62z6"/>
    <w:qFormat/>
    <w:rPr/>
  </w:style>
  <w:style w:type="character" w:styleId="WW8Num62z7" w:customStyle="1">
    <w:name w:val="WW8Num62z7"/>
    <w:qFormat/>
    <w:rPr/>
  </w:style>
  <w:style w:type="character" w:styleId="WW8Num62z8" w:customStyle="1">
    <w:name w:val="WW8Num62z8"/>
    <w:qFormat/>
    <w:rPr/>
  </w:style>
  <w:style w:type="character" w:styleId="WW8Num63z1" w:customStyle="1">
    <w:name w:val="WW8Num63z1"/>
    <w:qFormat/>
    <w:rPr/>
  </w:style>
  <w:style w:type="character" w:styleId="WW8Num63z2" w:customStyle="1">
    <w:name w:val="WW8Num63z2"/>
    <w:qFormat/>
    <w:rPr/>
  </w:style>
  <w:style w:type="character" w:styleId="WW8Num63z3" w:customStyle="1">
    <w:name w:val="WW8Num63z3"/>
    <w:qFormat/>
    <w:rPr/>
  </w:style>
  <w:style w:type="character" w:styleId="WW8Num63z4" w:customStyle="1">
    <w:name w:val="WW8Num63z4"/>
    <w:qFormat/>
    <w:rPr/>
  </w:style>
  <w:style w:type="character" w:styleId="WW8Num63z5" w:customStyle="1">
    <w:name w:val="WW8Num63z5"/>
    <w:qFormat/>
    <w:rPr/>
  </w:style>
  <w:style w:type="character" w:styleId="WW8Num63z6" w:customStyle="1">
    <w:name w:val="WW8Num63z6"/>
    <w:qFormat/>
    <w:rPr/>
  </w:style>
  <w:style w:type="character" w:styleId="WW8Num63z7" w:customStyle="1">
    <w:name w:val="WW8Num63z7"/>
    <w:qFormat/>
    <w:rPr/>
  </w:style>
  <w:style w:type="character" w:styleId="WW8Num63z8" w:customStyle="1">
    <w:name w:val="WW8Num63z8"/>
    <w:qFormat/>
    <w:rPr/>
  </w:style>
  <w:style w:type="character" w:styleId="WW8Num66z2" w:customStyle="1">
    <w:name w:val="WW8Num66z2"/>
    <w:qFormat/>
    <w:rPr>
      <w:rFonts w:ascii="Symbol" w:hAnsi="Symbol" w:eastAsia="Symbol" w:cs="Symbol"/>
      <w:strike w:val="false"/>
      <w:dstrike w:val="false"/>
    </w:rPr>
  </w:style>
  <w:style w:type="character" w:styleId="WW8Num73z1" w:customStyle="1">
    <w:name w:val="WW8Num73z1"/>
    <w:qFormat/>
    <w:rPr>
      <w:rFonts w:ascii="Courier New" w:hAnsi="Courier New" w:eastAsia="Courier New" w:cs="Courier New"/>
    </w:rPr>
  </w:style>
  <w:style w:type="character" w:styleId="WW8Num73z2" w:customStyle="1">
    <w:name w:val="WW8Num73z2"/>
    <w:qFormat/>
    <w:rPr>
      <w:rFonts w:ascii="Wingdings" w:hAnsi="Wingdings" w:eastAsia="Wingdings" w:cs="Wingdings"/>
    </w:rPr>
  </w:style>
  <w:style w:type="character" w:styleId="WW8Num77z2" w:customStyle="1">
    <w:name w:val="WW8Num77z2"/>
    <w:qFormat/>
    <w:rPr/>
  </w:style>
  <w:style w:type="character" w:styleId="WW8Num77z3" w:customStyle="1">
    <w:name w:val="WW8Num77z3"/>
    <w:qFormat/>
    <w:rPr/>
  </w:style>
  <w:style w:type="character" w:styleId="WW8Num86z1" w:customStyle="1">
    <w:name w:val="WW8Num86z1"/>
    <w:qFormat/>
    <w:rPr/>
  </w:style>
  <w:style w:type="character" w:styleId="WW8Num91z0" w:customStyle="1">
    <w:name w:val="WW8Num91z0"/>
    <w:qFormat/>
    <w:rPr>
      <w:rFonts w:ascii="Symbol" w:hAnsi="Symbol" w:eastAsia="Symbol" w:cs="Symbol"/>
      <w:strike w:val="false"/>
      <w:dstrike w:val="false"/>
    </w:rPr>
  </w:style>
  <w:style w:type="character" w:styleId="WW8Num91z1" w:customStyle="1">
    <w:name w:val="WW8Num91z1"/>
    <w:qFormat/>
    <w:rPr>
      <w:rFonts w:ascii="Courier New" w:hAnsi="Courier New" w:eastAsia="Courier New" w:cs="Courier New"/>
    </w:rPr>
  </w:style>
  <w:style w:type="character" w:styleId="WW8Num91z2" w:customStyle="1">
    <w:name w:val="WW8Num91z2"/>
    <w:qFormat/>
    <w:rPr>
      <w:rFonts w:ascii="Wingdings" w:hAnsi="Wingdings" w:eastAsia="Wingdings" w:cs="Wingdings"/>
    </w:rPr>
  </w:style>
  <w:style w:type="character" w:styleId="WW8Num91z3" w:customStyle="1">
    <w:name w:val="WW8Num91z3"/>
    <w:qFormat/>
    <w:rPr>
      <w:rFonts w:ascii="Symbol" w:hAnsi="Symbol" w:eastAsia="Symbol" w:cs="Symbol"/>
    </w:rPr>
  </w:style>
  <w:style w:type="character" w:styleId="WW8Num92z0" w:customStyle="1">
    <w:name w:val="WW8Num92z0"/>
    <w:qFormat/>
    <w:rPr>
      <w:b w:val="false"/>
      <w:bCs w:val="false"/>
      <w:strike w:val="false"/>
      <w:dstrike w:val="false"/>
    </w:rPr>
  </w:style>
  <w:style w:type="character" w:styleId="WW8Num92z1" w:customStyle="1">
    <w:name w:val="WW8Num92z1"/>
    <w:qFormat/>
    <w:rPr>
      <w:rFonts w:ascii="Times New Roman" w:hAnsi="Times New Roman" w:eastAsia="Times New Roman" w:cs="Times New Roman"/>
      <w:strike w:val="false"/>
      <w:dstrike w:val="false"/>
    </w:rPr>
  </w:style>
  <w:style w:type="character" w:styleId="WW8Num92z3" w:customStyle="1">
    <w:name w:val="WW8Num92z3"/>
    <w:qFormat/>
    <w:rPr/>
  </w:style>
  <w:style w:type="character" w:styleId="WW8Num92z4" w:customStyle="1">
    <w:name w:val="WW8Num92z4"/>
    <w:qFormat/>
    <w:rPr/>
  </w:style>
  <w:style w:type="character" w:styleId="WW8Num92z5" w:customStyle="1">
    <w:name w:val="WW8Num92z5"/>
    <w:qFormat/>
    <w:rPr/>
  </w:style>
  <w:style w:type="character" w:styleId="WW8Num92z6" w:customStyle="1">
    <w:name w:val="WW8Num92z6"/>
    <w:qFormat/>
    <w:rPr/>
  </w:style>
  <w:style w:type="character" w:styleId="WW8Num92z7" w:customStyle="1">
    <w:name w:val="WW8Num92z7"/>
    <w:qFormat/>
    <w:rPr/>
  </w:style>
  <w:style w:type="character" w:styleId="WW8Num92z8" w:customStyle="1">
    <w:name w:val="WW8Num92z8"/>
    <w:qFormat/>
    <w:rPr/>
  </w:style>
  <w:style w:type="character" w:styleId="WW8Num93z0" w:customStyle="1">
    <w:name w:val="WW8Num93z0"/>
    <w:qFormat/>
    <w:rPr/>
  </w:style>
  <w:style w:type="character" w:styleId="WW8Num93z1" w:customStyle="1">
    <w:name w:val="WW8Num93z1"/>
    <w:qFormat/>
    <w:rPr/>
  </w:style>
  <w:style w:type="character" w:styleId="WW8Num93z2" w:customStyle="1">
    <w:name w:val="WW8Num93z2"/>
    <w:qFormat/>
    <w:rPr/>
  </w:style>
  <w:style w:type="character" w:styleId="WW8Num93z3" w:customStyle="1">
    <w:name w:val="WW8Num93z3"/>
    <w:qFormat/>
    <w:rPr/>
  </w:style>
  <w:style w:type="character" w:styleId="WW8Num93z4" w:customStyle="1">
    <w:name w:val="WW8Num93z4"/>
    <w:qFormat/>
    <w:rPr/>
  </w:style>
  <w:style w:type="character" w:styleId="WW8Num93z5" w:customStyle="1">
    <w:name w:val="WW8Num93z5"/>
    <w:qFormat/>
    <w:rPr/>
  </w:style>
  <w:style w:type="character" w:styleId="WW8Num93z6" w:customStyle="1">
    <w:name w:val="WW8Num93z6"/>
    <w:qFormat/>
    <w:rPr/>
  </w:style>
  <w:style w:type="character" w:styleId="WW8Num93z7" w:customStyle="1">
    <w:name w:val="WW8Num93z7"/>
    <w:qFormat/>
    <w:rPr/>
  </w:style>
  <w:style w:type="character" w:styleId="WW8Num93z8" w:customStyle="1">
    <w:name w:val="WW8Num93z8"/>
    <w:qFormat/>
    <w:rPr/>
  </w:style>
  <w:style w:type="character" w:styleId="Domylnaczcionkaakapitu1" w:customStyle="1">
    <w:name w:val="Domyślna czcionka akapitu1"/>
    <w:qFormat/>
    <w:rPr/>
  </w:style>
  <w:style w:type="character" w:styleId="Internetlink" w:customStyle="1">
    <w:name w:val="Internet link"/>
    <w:basedOn w:val="Domylnaczcionkaakapitu1"/>
    <w:qFormat/>
    <w:rPr>
      <w:color w:val="0000FF"/>
      <w:u w:val="single"/>
    </w:rPr>
  </w:style>
  <w:style w:type="character" w:styleId="Pagenumber">
    <w:name w:val="page number"/>
    <w:basedOn w:val="Domylnaczcionkaakapitu1"/>
    <w:qFormat/>
    <w:rPr/>
  </w:style>
  <w:style w:type="character" w:styleId="StrongEmphasis" w:customStyle="1">
    <w:name w:val="Strong Emphasis"/>
    <w:basedOn w:val="Domylnaczcionkaakapitu1"/>
    <w:qFormat/>
    <w:rPr>
      <w:b/>
      <w:bCs/>
    </w:rPr>
  </w:style>
  <w:style w:type="character" w:styleId="StandardZnak" w:customStyle="1">
    <w:name w:val="Standard Znak"/>
    <w:basedOn w:val="Domylnaczcionkaakapitu1"/>
    <w:qFormat/>
    <w:rPr>
      <w:sz w:val="24"/>
      <w:lang w:bidi="ar-SA"/>
    </w:rPr>
  </w:style>
  <w:style w:type="character" w:styleId="ZnakZnak1" w:customStyle="1">
    <w:name w:val="Znak Znak1"/>
    <w:basedOn w:val="Domylnaczcionkaakapitu1"/>
    <w:qFormat/>
    <w:rPr>
      <w:rFonts w:ascii="Courier New" w:hAnsi="Courier New" w:eastAsia="Courier New" w:cs="Courier New"/>
      <w:lang w:bidi="ar-SA"/>
    </w:rPr>
  </w:style>
  <w:style w:type="character" w:styleId="EndnoteSymbol" w:customStyle="1">
    <w:name w:val="Endnote Symbol"/>
    <w:basedOn w:val="Domylnaczcionkaakapitu1"/>
    <w:qFormat/>
    <w:rPr>
      <w:vertAlign w:val="superscript"/>
    </w:rPr>
  </w:style>
  <w:style w:type="character" w:styleId="ZnakZnak11" w:customStyle="1">
    <w:name w:val="Znak Znak11"/>
    <w:basedOn w:val="Domylnaczcionkaakapitu1"/>
    <w:qFormat/>
    <w:rPr>
      <w:sz w:val="16"/>
      <w:szCs w:val="16"/>
      <w:lang w:bidi="ar-SA"/>
    </w:rPr>
  </w:style>
  <w:style w:type="character" w:styleId="FootnoteSymbol" w:customStyle="1">
    <w:name w:val="Footnote Symbol"/>
    <w:basedOn w:val="Domylnaczcionkaakapitu1"/>
    <w:qFormat/>
    <w:rPr>
      <w:vertAlign w:val="superscript"/>
    </w:rPr>
  </w:style>
  <w:style w:type="character" w:styleId="Odwoaniedokomentarza1" w:customStyle="1">
    <w:name w:val="Odwołanie do komentarza1"/>
    <w:basedOn w:val="Domylnaczcionkaakapitu1"/>
    <w:qFormat/>
    <w:rPr>
      <w:sz w:val="16"/>
      <w:szCs w:val="16"/>
    </w:rPr>
  </w:style>
  <w:style w:type="character" w:styleId="ZnakZnak2" w:customStyle="1">
    <w:name w:val="Znak Znak2"/>
    <w:basedOn w:val="Domylnaczcionkaakapitu1"/>
    <w:qFormat/>
    <w:rPr>
      <w:sz w:val="24"/>
      <w:lang w:bidi="ar-SA"/>
    </w:rPr>
  </w:style>
  <w:style w:type="character" w:styleId="ZnakZnak3" w:customStyle="1">
    <w:name w:val="Znak Znak3"/>
    <w:basedOn w:val="Domylnaczcionkaakapitu1"/>
    <w:qFormat/>
    <w:rPr>
      <w:b/>
      <w:sz w:val="22"/>
      <w:lang w:bidi="ar-SA"/>
    </w:rPr>
  </w:style>
  <w:style w:type="character" w:styleId="VisitedInternetLink" w:customStyle="1">
    <w:name w:val="Visited Internet Link"/>
    <w:basedOn w:val="Domylnaczcionkaakapitu1"/>
    <w:qFormat/>
    <w:rPr>
      <w:color w:val="800080"/>
      <w:u w:val="single"/>
    </w:rPr>
  </w:style>
  <w:style w:type="character" w:styleId="Prawonorm" w:customStyle="1">
    <w:name w:val="prawonorm"/>
    <w:basedOn w:val="Domylnaczcionkaakapitu1"/>
    <w:qFormat/>
    <w:rPr/>
  </w:style>
  <w:style w:type="character" w:styleId="Txt-new" w:customStyle="1">
    <w:name w:val="txt-new"/>
    <w:basedOn w:val="Domylnaczcionkaakapitu1"/>
    <w:qFormat/>
    <w:rPr/>
  </w:style>
  <w:style w:type="character" w:styleId="Tabulatory" w:customStyle="1">
    <w:name w:val="tabulatory"/>
    <w:basedOn w:val="Domylnaczcionkaakapitu1"/>
    <w:qFormat/>
    <w:rPr/>
  </w:style>
  <w:style w:type="character" w:styleId="Prawoakt" w:customStyle="1">
    <w:name w:val="prawoakt"/>
    <w:basedOn w:val="Domylnaczcionkaakapitu1"/>
    <w:qFormat/>
    <w:rPr/>
  </w:style>
  <w:style w:type="character" w:styleId="Ustb" w:customStyle="1">
    <w:name w:val="ustb"/>
    <w:basedOn w:val="Domylnaczcionkaakapitu1"/>
    <w:qFormat/>
    <w:rPr/>
  </w:style>
  <w:style w:type="character" w:styleId="ZnakZnak" w:customStyle="1">
    <w:name w:val="Znak Znak"/>
    <w:basedOn w:val="Domylnaczcionkaakapitu1"/>
    <w:qFormat/>
    <w:rPr>
      <w:rFonts w:eastAsia="SimSun, 宋体"/>
    </w:rPr>
  </w:style>
  <w:style w:type="character" w:styleId="WW-Znakiprzypiswdolnych" w:customStyle="1">
    <w:name w:val="WW-Znaki przypisów dolnych"/>
    <w:basedOn w:val="Domylnaczcionkaakapitu1"/>
    <w:qFormat/>
    <w:rPr>
      <w:vertAlign w:val="superscript"/>
    </w:rPr>
  </w:style>
  <w:style w:type="character" w:styleId="Znakiprzypiswdolnych" w:customStyle="1">
    <w:name w:val="Znaki przypisów dolnych"/>
    <w:qFormat/>
    <w:rPr>
      <w:vertAlign w:val="superscript"/>
    </w:rPr>
  </w:style>
  <w:style w:type="character" w:styleId="FootnoteReference">
    <w:name w:val="Footnote Reference"/>
    <w:rPr>
      <w:vertAlign w:val="superscript"/>
    </w:rPr>
  </w:style>
  <w:style w:type="character" w:styleId="Znakinumeracji" w:customStyle="1">
    <w:name w:val="Znaki numeracji"/>
    <w:qFormat/>
    <w:rPr>
      <w:rFonts w:ascii="Titillium" w:hAnsi="Titillium" w:eastAsia="Titillium" w:cs="Titillium"/>
      <w:b w:val="false"/>
      <w:bCs w:val="false"/>
      <w:i w:val="false"/>
      <w:iCs w:val="false"/>
      <w:strike w:val="false"/>
      <w:dstrike w:val="false"/>
      <w:sz w:val="20"/>
      <w:szCs w:val="20"/>
    </w:rPr>
  </w:style>
  <w:style w:type="character" w:styleId="Znakiwypunktowania" w:customStyle="1">
    <w:name w:val="Znaki wypunktowania"/>
    <w:qFormat/>
    <w:rPr>
      <w:rFonts w:ascii="OpenSymbol" w:hAnsi="OpenSymbol" w:eastAsia="OpenSymbol" w:cs="OpenSymbol"/>
    </w:rPr>
  </w:style>
  <w:style w:type="character" w:styleId="Znakiprzypiswkocowych">
    <w:name w:val="Znaki przypisów końcowych"/>
    <w:qFormat/>
    <w:rPr>
      <w:vertAlign w:val="superscript"/>
    </w:rPr>
  </w:style>
  <w:style w:type="character" w:styleId="EndnoteReference">
    <w:name w:val="Endnote Reference"/>
    <w:rPr>
      <w:vertAlign w:val="superscript"/>
    </w:rPr>
  </w:style>
  <w:style w:type="character" w:styleId="Character20style" w:customStyle="1">
    <w:name w:val="Character_20_style"/>
    <w:qFormat/>
    <w:rPr/>
  </w:style>
  <w:style w:type="character" w:styleId="WW8Num92z2" w:customStyle="1">
    <w:name w:val="WW8Num92z2"/>
    <w:qFormat/>
    <w:rPr/>
  </w:style>
  <w:style w:type="character" w:styleId="Emphasis">
    <w:name w:val="Emphasis"/>
    <w:qFormat/>
    <w:rPr>
      <w:i/>
      <w:iCs/>
    </w:rPr>
  </w:style>
  <w:style w:type="character" w:styleId="UnresolvedMention">
    <w:name w:val="Unresolved Mention"/>
    <w:basedOn w:val="DefaultParagraphFont"/>
    <w:qFormat/>
    <w:rPr>
      <w:color w:val="605E5C"/>
      <w:shd w:fill="E1DFDD" w:val="clear"/>
    </w:rPr>
  </w:style>
  <w:style w:type="character" w:styleId="TekstkomentarzaZnak" w:customStyle="1">
    <w:name w:val="Tekst komentarza Znak"/>
    <w:basedOn w:val="DefaultParagraphFont"/>
    <w:qFormat/>
    <w:rPr>
      <w:b/>
      <w:sz w:val="20"/>
      <w:szCs w:val="18"/>
    </w:rPr>
  </w:style>
  <w:style w:type="character" w:styleId="Domylnaczcionkaakapitu">
    <w:name w:val="Domyślna czcionka akapitu"/>
    <w:qFormat/>
    <w:rPr/>
  </w:style>
  <w:style w:type="character" w:styleId="ZnakZnak31">
    <w:name w:val=" Znak Znak3"/>
    <w:basedOn w:val="Domylnaczcionkaakapitu1"/>
    <w:qFormat/>
    <w:rPr>
      <w:b/>
      <w:sz w:val="22"/>
      <w:lang w:bidi="ar-SA"/>
    </w:rPr>
  </w:style>
  <w:style w:type="character" w:styleId="WWCharLFO18LVL1">
    <w:name w:val="WW_CharLFO18LVL1"/>
    <w:qFormat/>
    <w:rPr>
      <w:rFonts w:eastAsia="Times New Roman" w:cs="Times New Roman"/>
      <w:sz w:val="20"/>
    </w:rPr>
  </w:style>
  <w:style w:type="character" w:styleId="Strong">
    <w:name w:val="Strong"/>
    <w:basedOn w:val="Domylnaczcionkaakapitu1"/>
    <w:qFormat/>
    <w:rPr>
      <w:b/>
      <w:bCs/>
    </w:rPr>
  </w:style>
  <w:style w:type="paragraph" w:styleId="Nagwek" w:customStyle="1">
    <w:name w:val="Nagłówek"/>
    <w:basedOn w:val="Standard"/>
    <w:next w:val="Textbody"/>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Standard"/>
    <w:pPr>
      <w:ind w:hanging="283" w:left="283"/>
    </w:pPr>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Standard"/>
    <w:qFormat/>
    <w:pPr>
      <w:suppressLineNumbers/>
    </w:pPr>
    <w:rPr>
      <w:rFonts w:cs="Mangal"/>
    </w:rPr>
  </w:style>
  <w:style w:type="paragraph" w:styleId="Annotationtext">
    <w:name w:val="annotation text"/>
    <w:basedOn w:val="Normal"/>
    <w:qFormat/>
    <w:pPr/>
    <w:rPr>
      <w:sz w:val="20"/>
      <w:szCs w:val="18"/>
    </w:rPr>
  </w:style>
  <w:style w:type="paragraph" w:styleId="Text-justify" w:customStyle="1">
    <w:name w:val="text-justify"/>
    <w:basedOn w:val="Normal"/>
    <w:qFormat/>
    <w:pPr>
      <w:widowControl/>
      <w:tabs>
        <w:tab w:val="clear" w:pos="685"/>
        <w:tab w:val="clear" w:pos="4876"/>
        <w:tab w:val="clear" w:pos="5470"/>
      </w:tabs>
      <w:spacing w:before="100" w:after="100"/>
      <w:ind w:hanging="0" w:left="0"/>
      <w:jc w:val="left"/>
      <w:textAlignment w:val="auto"/>
    </w:pPr>
    <w:rPr>
      <w:rFonts w:ascii="Times New Roman" w:hAnsi="Times New Roman" w:eastAsia="Times New Roman" w:cs="Times New Roman"/>
      <w:b w:val="false"/>
      <w:kern w:val="0"/>
      <w:lang w:eastAsia="pl-PL" w:bidi="ar-SA"/>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0"/>
      <w:szCs w:val="20"/>
      <w:lang w:val="pl-PL" w:eastAsia="zh-CN" w:bidi="ar-SA"/>
    </w:rPr>
  </w:style>
  <w:style w:type="paragraph" w:styleId="Textbody" w:customStyle="1">
    <w:name w:val="Text body"/>
    <w:basedOn w:val="Standard"/>
    <w:qFormat/>
    <w:pPr/>
    <w:rPr>
      <w:sz w:val="24"/>
    </w:rPr>
  </w:style>
  <w:style w:type="paragraph" w:styleId="Caption1">
    <w:name w:val="caption1"/>
    <w:basedOn w:val="Standard"/>
    <w:qFormat/>
    <w:pPr>
      <w:suppressLineNumbers/>
      <w:spacing w:before="120" w:after="120"/>
    </w:pPr>
    <w:rPr>
      <w:rFonts w:cs="Mangal"/>
      <w:i/>
      <w:iCs/>
      <w:sz w:val="24"/>
      <w:szCs w:val="24"/>
    </w:rPr>
  </w:style>
  <w:style w:type="paragraph" w:styleId="Nagwek1" w:customStyle="1">
    <w:name w:val="Nagłówek1"/>
    <w:basedOn w:val="Standard"/>
    <w:next w:val="Textbody"/>
    <w:qFormat/>
    <w:pPr>
      <w:keepNext w:val="true"/>
      <w:spacing w:before="240" w:after="120"/>
    </w:pPr>
    <w:rPr>
      <w:rFonts w:ascii="Liberation Sans" w:hAnsi="Liberation Sans" w:eastAsia="Microsoft YaHei" w:cs="Mangal"/>
      <w:sz w:val="28"/>
      <w:szCs w:val="28"/>
    </w:rPr>
  </w:style>
  <w:style w:type="paragraph" w:styleId="NormalWeb">
    <w:name w:val="Normal (Web)"/>
    <w:basedOn w:val="Standard"/>
    <w:qFormat/>
    <w:pPr>
      <w:spacing w:before="280" w:after="119"/>
    </w:pPr>
    <w:rPr/>
  </w:style>
  <w:style w:type="paragraph" w:styleId="Contents1" w:customStyle="1">
    <w:name w:val="Contents 1"/>
    <w:basedOn w:val="Standard"/>
    <w:next w:val="Standard"/>
    <w:qFormat/>
    <w:pPr>
      <w:tabs>
        <w:tab w:val="clear" w:pos="720"/>
        <w:tab w:val="left" w:pos="180" w:leader="none"/>
        <w:tab w:val="left" w:pos="360" w:leader="none"/>
        <w:tab w:val="right" w:pos="8856" w:leader="none"/>
      </w:tabs>
      <w:spacing w:lineRule="auto" w:line="192" w:before="360" w:after="0"/>
      <w:jc w:val="both"/>
    </w:pPr>
    <w:rPr>
      <w:b/>
      <w:bCs/>
      <w:caps/>
      <w:lang w:eastAsia="pl-PL"/>
    </w:rPr>
  </w:style>
  <w:style w:type="paragraph" w:styleId="BodyText2">
    <w:name w:val="Body Text 2"/>
    <w:basedOn w:val="Standard"/>
    <w:qFormat/>
    <w:pPr>
      <w:spacing w:lineRule="auto" w:line="480" w:before="0" w:after="120"/>
    </w:pPr>
    <w:rPr/>
  </w:style>
  <w:style w:type="paragraph" w:styleId="WW-Tekstkomentarza" w:customStyle="1">
    <w:name w:val="WW-Tekst komentarza"/>
    <w:basedOn w:val="Standard"/>
    <w:qFormat/>
    <w:pPr>
      <w:widowControl w:val="false"/>
    </w:pPr>
    <w:rPr/>
  </w:style>
  <w:style w:type="paragraph" w:styleId="WW-Tekstpodstawowy2" w:customStyle="1">
    <w:name w:val="WW-Tekst podstawowy 2"/>
    <w:basedOn w:val="Standard"/>
    <w:qFormat/>
    <w:pPr>
      <w:widowControl w:val="false"/>
      <w:jc w:val="both"/>
    </w:pPr>
    <w:rPr>
      <w:rFonts w:ascii="Tahoma" w:hAnsi="Tahoma" w:eastAsia="Tahoma" w:cs="Tahoma"/>
      <w:sz w:val="22"/>
    </w:rPr>
  </w:style>
  <w:style w:type="paragraph" w:styleId="Tekstpodstawowy32" w:customStyle="1">
    <w:name w:val="Tekst podstawowy 32"/>
    <w:basedOn w:val="Standard"/>
    <w:qFormat/>
    <w:pPr>
      <w:spacing w:before="0" w:after="120"/>
    </w:pPr>
    <w:rPr>
      <w:sz w:val="16"/>
      <w:szCs w:val="16"/>
    </w:rPr>
  </w:style>
  <w:style w:type="paragraph" w:styleId="Gwkaistopka" w:customStyle="1">
    <w:name w:val="Główka i stopka"/>
    <w:basedOn w:val="Standard"/>
    <w:qFormat/>
    <w:pPr>
      <w:suppressLineNumbers/>
      <w:tabs>
        <w:tab w:val="clear" w:pos="720"/>
        <w:tab w:val="center" w:pos="4819" w:leader="none"/>
        <w:tab w:val="right" w:pos="9638" w:leader="none"/>
      </w:tabs>
    </w:pPr>
    <w:rPr/>
  </w:style>
  <w:style w:type="paragraph" w:styleId="Footer">
    <w:name w:val="Footer"/>
    <w:basedOn w:val="Standard"/>
    <w:pPr>
      <w:tabs>
        <w:tab w:val="clear" w:pos="720"/>
        <w:tab w:val="center" w:pos="4536" w:leader="none"/>
        <w:tab w:val="right" w:pos="9072" w:leader="none"/>
      </w:tabs>
    </w:pPr>
    <w:rPr/>
  </w:style>
  <w:style w:type="paragraph" w:styleId="Textbodyindent" w:customStyle="1">
    <w:name w:val="Text body indent"/>
    <w:basedOn w:val="Standard"/>
    <w:qFormat/>
    <w:pPr>
      <w:spacing w:before="0" w:after="120"/>
      <w:ind w:left="283"/>
    </w:pPr>
    <w:rPr/>
  </w:style>
  <w:style w:type="paragraph" w:styleId="Tekstpodstawowywcity31" w:customStyle="1">
    <w:name w:val="Tekst podstawowy wcięty 31"/>
    <w:basedOn w:val="Standard"/>
    <w:qFormat/>
    <w:pPr>
      <w:spacing w:before="0" w:after="120"/>
      <w:ind w:left="283"/>
    </w:pPr>
    <w:rPr>
      <w:sz w:val="16"/>
      <w:szCs w:val="16"/>
    </w:rPr>
  </w:style>
  <w:style w:type="paragraph" w:styleId="Tekstpodstawowywcity21" w:customStyle="1">
    <w:name w:val="Tekst podstawowy wcięty 21"/>
    <w:basedOn w:val="Standard"/>
    <w:qFormat/>
    <w:pPr>
      <w:widowControl w:val="false"/>
      <w:spacing w:lineRule="auto" w:line="480" w:before="0" w:after="120"/>
      <w:ind w:left="283"/>
    </w:pPr>
    <w:rPr>
      <w:rFonts w:eastAsia="SimSun, 宋体"/>
    </w:rPr>
  </w:style>
  <w:style w:type="paragraph" w:styleId="Tytu" w:customStyle="1">
    <w:name w:val="Tytu?"/>
    <w:basedOn w:val="Standard"/>
    <w:qFormat/>
    <w:pPr>
      <w:jc w:val="center"/>
    </w:pPr>
    <w:rPr>
      <w:rFonts w:eastAsia="SimSun, 宋体"/>
      <w:b/>
      <w:bCs/>
      <w:sz w:val="28"/>
      <w:szCs w:val="28"/>
    </w:rPr>
  </w:style>
  <w:style w:type="paragraph" w:styleId="Tekstpodstawowy21" w:customStyle="1">
    <w:name w:val="Tekst podstawowy 21"/>
    <w:basedOn w:val="Standard"/>
    <w:qFormat/>
    <w:pPr>
      <w:spacing w:lineRule="auto" w:line="480" w:before="0" w:after="120"/>
    </w:pPr>
    <w:rPr/>
  </w:style>
  <w:style w:type="paragraph" w:styleId="HTMLPreformatted">
    <w:name w:val="HTML Preformatted"/>
    <w:basedOn w:val="Standard"/>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color w:val="000000"/>
      <w:sz w:val="18"/>
    </w:rPr>
  </w:style>
  <w:style w:type="paragraph" w:styleId="Header">
    <w:name w:val="Header"/>
    <w:basedOn w:val="Standard"/>
    <w:pPr>
      <w:tabs>
        <w:tab w:val="clear" w:pos="720"/>
        <w:tab w:val="center" w:pos="4536" w:leader="none"/>
        <w:tab w:val="right" w:pos="9072" w:leader="none"/>
      </w:tabs>
    </w:pPr>
    <w:rPr/>
  </w:style>
  <w:style w:type="paragraph" w:styleId="BodyText21" w:customStyle="1">
    <w:name w:val="Body Text 21"/>
    <w:basedOn w:val="Standard"/>
    <w:qFormat/>
    <w:pPr>
      <w:widowControl w:val="false"/>
      <w:jc w:val="both"/>
    </w:pPr>
    <w:rPr>
      <w:rFonts w:ascii="Arial" w:hAnsi="Arial" w:eastAsia="SimSun, 宋体" w:cs="Arial"/>
      <w:sz w:val="22"/>
      <w:szCs w:val="22"/>
    </w:rPr>
  </w:style>
  <w:style w:type="paragraph" w:styleId="Tekstost" w:customStyle="1">
    <w:name w:val="tekst ost"/>
    <w:basedOn w:val="Standard"/>
    <w:qFormat/>
    <w:pPr>
      <w:widowControl w:val="false"/>
      <w:jc w:val="both"/>
    </w:pPr>
    <w:rPr/>
  </w:style>
  <w:style w:type="paragraph" w:styleId="Standard1" w:customStyle="1">
    <w:name w:val="Standard1"/>
    <w:qFormat/>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4"/>
      <w:szCs w:val="20"/>
      <w:lang w:val="pl-PL" w:eastAsia="zh-CN" w:bidi="ar-SA"/>
    </w:rPr>
  </w:style>
  <w:style w:type="paragraph" w:styleId="BalloonText">
    <w:name w:val="Balloon Text"/>
    <w:basedOn w:val="Standard"/>
    <w:qFormat/>
    <w:pPr/>
    <w:rPr>
      <w:rFonts w:ascii="Tahoma" w:hAnsi="Tahoma" w:eastAsia="Tahoma" w:cs="Tahoma"/>
      <w:sz w:val="16"/>
      <w:szCs w:val="16"/>
    </w:rPr>
  </w:style>
  <w:style w:type="paragraph" w:styleId="Default" w:customStyle="1">
    <w:name w:val="Default"/>
    <w:qFormat/>
    <w:pPr>
      <w:widowControl/>
      <w:suppressAutoHyphens w:val="true"/>
      <w:bidi w:val="0"/>
      <w:spacing w:before="0" w:after="0"/>
      <w:jc w:val="left"/>
      <w:textAlignment w:val="baseline"/>
    </w:pPr>
    <w:rPr>
      <w:rFonts w:ascii="Arial" w:hAnsi="Arial" w:eastAsia="Times New Roman" w:cs="Arial"/>
      <w:color w:val="000000"/>
      <w:kern w:val="2"/>
      <w:sz w:val="24"/>
      <w:szCs w:val="24"/>
      <w:lang w:val="pl-PL" w:eastAsia="zh-CN" w:bidi="ar-SA"/>
    </w:rPr>
  </w:style>
  <w:style w:type="paragraph" w:styleId="Tekstblokowy1" w:customStyle="1">
    <w:name w:val="Tekst blokowy1"/>
    <w:basedOn w:val="Standard"/>
    <w:qFormat/>
    <w:pPr>
      <w:ind w:left="720" w:right="29"/>
      <w:jc w:val="both"/>
    </w:pPr>
    <w:rPr>
      <w:rFonts w:ascii="Verdana" w:hAnsi="Verdana" w:eastAsia="Verdana" w:cs="Verdana"/>
    </w:rPr>
  </w:style>
  <w:style w:type="paragraph" w:styleId="ListBullet2">
    <w:name w:val="List Bullet 2"/>
    <w:basedOn w:val="Standard"/>
    <w:pPr>
      <w:spacing w:before="0" w:after="0"/>
      <w:ind w:hanging="283" w:left="566"/>
      <w:contextualSpacing/>
    </w:pPr>
    <w:rPr/>
  </w:style>
  <w:style w:type="paragraph" w:styleId="Zwykytekst1" w:customStyle="1">
    <w:name w:val="Zwykły tekst1"/>
    <w:basedOn w:val="Standard"/>
    <w:qFormat/>
    <w:pPr/>
    <w:rPr>
      <w:rFonts w:ascii="Courier New" w:hAnsi="Courier New" w:eastAsia="Courier New" w:cs="Courier New"/>
    </w:rPr>
  </w:style>
  <w:style w:type="paragraph" w:styleId="Endnote" w:customStyle="1">
    <w:name w:val="Endnote"/>
    <w:basedOn w:val="Standard"/>
    <w:qFormat/>
    <w:pPr/>
    <w:rPr/>
  </w:style>
  <w:style w:type="paragraph" w:styleId="Pkt" w:customStyle="1">
    <w:name w:val="pkt"/>
    <w:basedOn w:val="Standard"/>
    <w:qFormat/>
    <w:pPr>
      <w:spacing w:lineRule="auto" w:line="360" w:before="60" w:after="60"/>
      <w:ind w:hanging="295" w:left="851"/>
      <w:jc w:val="both"/>
    </w:pPr>
    <w:rPr>
      <w:rFonts w:ascii="Univers-PL, 'Times New Roman'" w:hAnsi="Univers-PL, 'Times New Roman'" w:eastAsia="Univers-PL, 'Times New Roman'" w:cs="Univers-PL, 'Times New Roman'"/>
      <w:sz w:val="19"/>
      <w:szCs w:val="19"/>
    </w:rPr>
  </w:style>
  <w:style w:type="paragraph" w:styleId="Tekstpodstawowy31" w:customStyle="1">
    <w:name w:val="Tekst podstawowy 31"/>
    <w:basedOn w:val="Standard"/>
    <w:qFormat/>
    <w:pPr>
      <w:widowControl w:val="false"/>
    </w:pPr>
    <w:rPr>
      <w:rFonts w:eastAsia="Lucida Sans Unicode"/>
      <w:sz w:val="24"/>
      <w:szCs w:val="24"/>
    </w:rPr>
  </w:style>
  <w:style w:type="paragraph" w:styleId="ListParagraph">
    <w:name w:val="List Paragraph"/>
    <w:basedOn w:val="Standard"/>
    <w:qFormat/>
    <w:pPr>
      <w:ind w:left="708"/>
    </w:pPr>
    <w:rPr>
      <w:sz w:val="21"/>
    </w:rPr>
  </w:style>
  <w:style w:type="paragraph" w:styleId="Footnote" w:customStyle="1">
    <w:name w:val="Footnote"/>
    <w:basedOn w:val="Standard"/>
    <w:qFormat/>
    <w:pPr/>
    <w:rPr/>
  </w:style>
  <w:style w:type="paragraph" w:styleId="Tekstkomentarza1" w:customStyle="1">
    <w:name w:val="Tekst komentarza1"/>
    <w:basedOn w:val="Standard"/>
    <w:qFormat/>
    <w:pPr/>
    <w:rPr/>
  </w:style>
  <w:style w:type="paragraph" w:styleId="Annotationsubject">
    <w:name w:val="annotation subject"/>
    <w:basedOn w:val="Tekstkomentarza1"/>
    <w:next w:val="Tekstkomentarza1"/>
    <w:qFormat/>
    <w:pPr/>
    <w:rPr>
      <w:b/>
      <w:bCs/>
    </w:rPr>
  </w:style>
  <w:style w:type="paragraph" w:styleId="Contents2" w:customStyle="1">
    <w:name w:val="Contents 2"/>
    <w:basedOn w:val="Standard"/>
    <w:next w:val="Standard"/>
    <w:qFormat/>
    <w:pPr>
      <w:tabs>
        <w:tab w:val="clear" w:pos="720"/>
        <w:tab w:val="left" w:pos="284" w:leader="none"/>
        <w:tab w:val="left" w:pos="540" w:leader="none"/>
        <w:tab w:val="right" w:pos="8856" w:leader="none"/>
      </w:tabs>
      <w:spacing w:lineRule="auto" w:line="216" w:before="240" w:after="0"/>
      <w:jc w:val="both"/>
    </w:pPr>
    <w:rPr>
      <w:b/>
      <w:bCs/>
      <w:lang w:eastAsia="pl-PL"/>
    </w:rPr>
  </w:style>
  <w:style w:type="paragraph" w:styleId="Contents3" w:customStyle="1">
    <w:name w:val="Contents 3"/>
    <w:basedOn w:val="Standard"/>
    <w:next w:val="Standard"/>
    <w:qFormat/>
    <w:pPr>
      <w:ind w:left="200"/>
    </w:pPr>
    <w:rPr>
      <w:rFonts w:ascii="Calibri" w:hAnsi="Calibri" w:eastAsia="Calibri" w:cs="Calibri"/>
    </w:rPr>
  </w:style>
  <w:style w:type="paragraph" w:styleId="Contents4" w:customStyle="1">
    <w:name w:val="Contents 4"/>
    <w:basedOn w:val="Standard"/>
    <w:next w:val="Standard"/>
    <w:qFormat/>
    <w:pPr>
      <w:ind w:left="400"/>
    </w:pPr>
    <w:rPr>
      <w:rFonts w:ascii="Calibri" w:hAnsi="Calibri" w:eastAsia="Calibri" w:cs="Calibri"/>
    </w:rPr>
  </w:style>
  <w:style w:type="paragraph" w:styleId="Contents5" w:customStyle="1">
    <w:name w:val="Contents 5"/>
    <w:basedOn w:val="Standard"/>
    <w:next w:val="Standard"/>
    <w:qFormat/>
    <w:pPr>
      <w:ind w:left="600"/>
    </w:pPr>
    <w:rPr>
      <w:rFonts w:ascii="Calibri" w:hAnsi="Calibri" w:eastAsia="Calibri" w:cs="Calibri"/>
    </w:rPr>
  </w:style>
  <w:style w:type="paragraph" w:styleId="Contents6" w:customStyle="1">
    <w:name w:val="Contents 6"/>
    <w:basedOn w:val="Standard"/>
    <w:next w:val="Standard"/>
    <w:qFormat/>
    <w:pPr>
      <w:ind w:left="800"/>
    </w:pPr>
    <w:rPr>
      <w:rFonts w:ascii="Calibri" w:hAnsi="Calibri" w:eastAsia="Calibri" w:cs="Calibri"/>
    </w:rPr>
  </w:style>
  <w:style w:type="paragraph" w:styleId="Contents7" w:customStyle="1">
    <w:name w:val="Contents 7"/>
    <w:basedOn w:val="Standard"/>
    <w:next w:val="Standard"/>
    <w:qFormat/>
    <w:pPr>
      <w:ind w:left="1000"/>
    </w:pPr>
    <w:rPr>
      <w:rFonts w:ascii="Calibri" w:hAnsi="Calibri" w:eastAsia="Calibri" w:cs="Calibri"/>
    </w:rPr>
  </w:style>
  <w:style w:type="paragraph" w:styleId="Contents8" w:customStyle="1">
    <w:name w:val="Contents 8"/>
    <w:basedOn w:val="Standard"/>
    <w:next w:val="Standard"/>
    <w:qFormat/>
    <w:pPr>
      <w:ind w:left="1200"/>
    </w:pPr>
    <w:rPr>
      <w:rFonts w:ascii="Calibri" w:hAnsi="Calibri" w:eastAsia="Calibri" w:cs="Calibri"/>
    </w:rPr>
  </w:style>
  <w:style w:type="paragraph" w:styleId="Contents9" w:customStyle="1">
    <w:name w:val="Contents 9"/>
    <w:basedOn w:val="Standard"/>
    <w:next w:val="Standard"/>
    <w:qFormat/>
    <w:pPr>
      <w:ind w:left="1400"/>
    </w:pPr>
    <w:rPr>
      <w:rFonts w:ascii="Calibri" w:hAnsi="Calibri" w:eastAsia="Calibri" w:cs="Calibri"/>
    </w:rPr>
  </w:style>
  <w:style w:type="paragraph" w:styleId="Tekstpodstawowywcity32" w:customStyle="1">
    <w:name w:val="Tekst podstawowy wcięty 32"/>
    <w:basedOn w:val="Standard"/>
    <w:qFormat/>
    <w:pPr>
      <w:spacing w:before="0" w:after="120"/>
      <w:ind w:left="283"/>
    </w:pPr>
    <w:rPr>
      <w:sz w:val="16"/>
      <w:szCs w:val="16"/>
    </w:rPr>
  </w:style>
  <w:style w:type="paragraph" w:styleId="ZnakZnakZnakZnakZnakZnakZnak" w:customStyle="1">
    <w:name w:val="Znak Znak Znak Znak Znak Znak Znak"/>
    <w:basedOn w:val="Standard"/>
    <w:qFormat/>
    <w:pPr/>
    <w:rPr>
      <w:sz w:val="24"/>
      <w:szCs w:val="24"/>
    </w:rPr>
  </w:style>
  <w:style w:type="paragraph" w:styleId="Zawartoramki" w:customStyle="1">
    <w:name w:val="Zawartość ramki"/>
    <w:basedOn w:val="Standard"/>
    <w:qFormat/>
    <w:pPr/>
    <w:rPr/>
  </w:style>
  <w:style w:type="paragraph" w:styleId="Zawartotabeli" w:customStyle="1">
    <w:name w:val="Zawartość tabeli"/>
    <w:basedOn w:val="Standard1"/>
    <w:qFormat/>
    <w:pPr>
      <w:suppressLineNumbers/>
    </w:pPr>
    <w:rPr/>
  </w:style>
  <w:style w:type="paragraph" w:styleId="Nagwektabeli" w:customStyle="1">
    <w:name w:val="Nagłówek tabeli"/>
    <w:basedOn w:val="Zawartotabeli"/>
    <w:qFormat/>
    <w:pPr>
      <w:jc w:val="center"/>
    </w:pPr>
    <w:rPr>
      <w:b/>
      <w:bCs/>
    </w:rPr>
  </w:style>
  <w:style w:type="paragraph" w:styleId="Cytatblokowy" w:customStyle="1">
    <w:name w:val="Cytat blokowy"/>
    <w:basedOn w:val="Standard"/>
    <w:qFormat/>
    <w:pPr>
      <w:spacing w:before="0" w:after="283"/>
      <w:ind w:left="567" w:right="567"/>
    </w:pPr>
    <w:rPr/>
  </w:style>
  <w:style w:type="paragraph" w:styleId="Title">
    <w:name w:val="Title"/>
    <w:basedOn w:val="Nagwek"/>
    <w:next w:val="Textbody"/>
    <w:uiPriority w:val="10"/>
    <w:qFormat/>
    <w:pPr>
      <w:jc w:val="center"/>
    </w:pPr>
    <w:rPr>
      <w:b/>
      <w:bCs/>
      <w:sz w:val="56"/>
      <w:szCs w:val="56"/>
    </w:rPr>
  </w:style>
  <w:style w:type="paragraph" w:styleId="Subtitle">
    <w:name w:val="Subtitle"/>
    <w:basedOn w:val="Nagwek"/>
    <w:next w:val="Textbody"/>
    <w:uiPriority w:val="11"/>
    <w:qFormat/>
    <w:pPr>
      <w:spacing w:before="60" w:after="120"/>
      <w:jc w:val="center"/>
    </w:pPr>
    <w:rPr>
      <w:sz w:val="36"/>
      <w:szCs w:val="36"/>
    </w:rPr>
  </w:style>
  <w:style w:type="paragraph" w:styleId="Tekstpodstawowywcity22" w:customStyle="1">
    <w:name w:val="Tekst podstawowy wcięty 22"/>
    <w:basedOn w:val="Standard"/>
    <w:qFormat/>
    <w:pPr>
      <w:spacing w:lineRule="auto" w:line="480" w:before="0" w:after="120"/>
      <w:ind w:left="283"/>
    </w:pPr>
    <w:rPr/>
  </w:style>
  <w:style w:type="paragraph" w:styleId="DocumentMap" w:customStyle="1">
    <w:name w:val="Document Map"/>
    <w:qFormat/>
    <w:pPr>
      <w:widowControl/>
      <w:suppressAutoHyphens w:val="true"/>
      <w:bidi w:val="0"/>
      <w:spacing w:before="0" w:after="0"/>
      <w:jc w:val="left"/>
      <w:textAlignment w:val="baseline"/>
    </w:pPr>
    <w:rPr>
      <w:rFonts w:ascii="Times New Roman" w:hAnsi="Times New Roman" w:eastAsia="Arial" w:cs="Times New Roman"/>
      <w:color w:val="auto"/>
      <w:kern w:val="2"/>
      <w:sz w:val="20"/>
      <w:szCs w:val="24"/>
      <w:lang w:val="pl-PL" w:eastAsia="zh-CN" w:bidi="hi-IN"/>
    </w:rPr>
  </w:style>
  <w:style w:type="paragraph" w:styleId="Tabela-Prosty11" w:customStyle="1">
    <w:name w:val="Tabela - Prosty 11"/>
    <w:basedOn w:val="DocumentMap"/>
    <w:qFormat/>
    <w:pPr/>
    <w:rPr>
      <w:rFonts w:eastAsia="Times New Roman"/>
    </w:rPr>
  </w:style>
  <w:style w:type="paragraph" w:styleId="Ust" w:customStyle="1">
    <w:name w:val="ust"/>
    <w:basedOn w:val="Standard"/>
    <w:qFormat/>
    <w:pPr>
      <w:spacing w:before="0" w:after="80"/>
      <w:ind w:hanging="255" w:left="431"/>
      <w:jc w:val="both"/>
    </w:pPr>
    <w:rPr/>
  </w:style>
  <w:style w:type="paragraph" w:styleId="Normalny1" w:customStyle="1">
    <w:name w:val="Normalny1"/>
    <w:qFormat/>
    <w:pPr>
      <w:widowControl w:val="false"/>
      <w:suppressAutoHyphens w:val="true"/>
      <w:bidi w:val="0"/>
      <w:spacing w:before="0" w:after="0"/>
      <w:jc w:val="left"/>
      <w:textAlignment w:val="baseline"/>
    </w:pPr>
    <w:rPr>
      <w:rFonts w:ascii="Times New Roman" w:hAnsi="Times New Roman" w:eastAsia="SimSun, 宋体" w:cs="Mangal"/>
      <w:color w:val="auto"/>
      <w:kern w:val="2"/>
      <w:sz w:val="24"/>
      <w:szCs w:val="24"/>
      <w:lang w:val="pl-PL" w:eastAsia="zh-CN" w:bidi="hi-IN"/>
    </w:rPr>
  </w:style>
  <w:style w:type="paragraph" w:styleId="Standardowy1" w:customStyle="1">
    <w:name w:val="Standardowy1"/>
    <w:qFormat/>
    <w:pPr>
      <w:widowControl w:val="false"/>
      <w:suppressAutoHyphens w:val="true"/>
      <w:bidi w:val="0"/>
      <w:spacing w:before="0" w:after="0"/>
      <w:jc w:val="left"/>
      <w:textAlignment w:val="baseline"/>
    </w:pPr>
    <w:rPr>
      <w:rFonts w:ascii="Times New Roman" w:hAnsi="Times New Roman" w:eastAsia="Arial" w:cs="Times New Roman"/>
      <w:color w:val="auto"/>
      <w:kern w:val="2"/>
      <w:sz w:val="20"/>
      <w:szCs w:val="24"/>
      <w:lang w:val="pl-PL" w:eastAsia="zh-CN" w:bidi="hi-IN"/>
    </w:rPr>
  </w:style>
  <w:style w:type="paragraph" w:styleId="Textbody1" w:customStyle="1">
    <w:name w:val="Text body1"/>
    <w:basedOn w:val="Standard1"/>
    <w:qFormat/>
    <w:pPr/>
    <w:rPr/>
  </w:style>
  <w:style w:type="paragraph" w:styleId="111Normalny" w:customStyle="1">
    <w:name w:val="111Normalny"/>
    <w:basedOn w:val="Standard"/>
    <w:qFormat/>
    <w:pPr>
      <w:spacing w:lineRule="auto" w:line="276"/>
      <w:ind w:firstLine="709"/>
      <w:jc w:val="both"/>
    </w:pPr>
    <w:rPr/>
  </w:style>
  <w:style w:type="paragraph" w:styleId="1mylnik" w:customStyle="1">
    <w:name w:val="1 myślnik"/>
    <w:basedOn w:val="111Normalny"/>
    <w:qFormat/>
    <w:pPr/>
    <w:rPr>
      <w:lang w:eastAsia="pl-PL"/>
    </w:rPr>
  </w:style>
  <w:style w:type="paragraph" w:styleId="1kropka" w:customStyle="1">
    <w:name w:val="1 kropka"/>
    <w:basedOn w:val="111Normalny"/>
    <w:qFormat/>
    <w:pPr/>
    <w:rPr>
      <w:bCs/>
      <w:szCs w:val="24"/>
    </w:rPr>
  </w:style>
  <w:style w:type="paragraph" w:styleId="Styl1" w:customStyle="1">
    <w:name w:val="Styl1"/>
    <w:next w:val="PlainText"/>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0"/>
      <w:lang w:val="pl-PL" w:eastAsia="zh-CN" w:bidi="ar-SA"/>
    </w:rPr>
  </w:style>
  <w:style w:type="paragraph" w:styleId="PlainText">
    <w:name w:val="Plain Text"/>
    <w:basedOn w:val="Standard"/>
    <w:qFormat/>
    <w:pPr/>
    <w:rPr>
      <w:rFonts w:ascii="Courier New" w:hAnsi="Courier New" w:eastAsia="Courier New" w:cs="Courier New"/>
    </w:rPr>
  </w:style>
  <w:style w:type="paragraph" w:styleId="Danefirmy" w:customStyle="1">
    <w:name w:val="dane firmy"/>
    <w:basedOn w:val="Normal"/>
    <w:qFormat/>
    <w:pPr>
      <w:suppressLineNumbers/>
      <w:spacing w:lineRule="atLeast" w:line="100"/>
      <w:ind w:hanging="0" w:left="0"/>
      <w:jc w:val="left"/>
      <w:textAlignment w:val="top"/>
    </w:pPr>
    <w:rPr>
      <w:rFonts w:eastAsia="Lucida Sans Unicode"/>
      <w:sz w:val="18"/>
    </w:rPr>
  </w:style>
  <w:style w:type="paragraph" w:styleId="NoSpacing">
    <w:name w:val="No Spacing"/>
    <w:qFormat/>
    <w:pPr>
      <w:widowControl w:val="false"/>
      <w:suppressAutoHyphens w:val="true"/>
      <w:bidi w:val="0"/>
      <w:spacing w:before="0" w:after="0"/>
      <w:jc w:val="left"/>
      <w:textAlignment w:val="auto"/>
    </w:pPr>
    <w:rPr>
      <w:rFonts w:ascii="Calibri" w:hAnsi="Calibri" w:eastAsia="Calibri" w:cs="Times New Roman"/>
      <w:color w:val="auto"/>
      <w:kern w:val="0"/>
      <w:sz w:val="22"/>
      <w:szCs w:val="22"/>
      <w:lang w:val="pl-PL" w:eastAsia="en-US" w:bidi="ar-SA"/>
    </w:rPr>
  </w:style>
  <w:style w:type="paragraph" w:styleId="Nagwek10" w:customStyle="1">
    <w:name w:val="Nagłówek 10"/>
    <w:basedOn w:val="Nagwek"/>
    <w:next w:val="Textbody"/>
    <w:qFormat/>
    <w:pPr>
      <w:spacing w:before="60" w:after="60"/>
    </w:pPr>
    <w:rPr>
      <w:b/>
      <w:bCs/>
    </w:rPr>
  </w:style>
  <w:style w:type="paragraph" w:styleId="HTML-wstpniesformatowany">
    <w:name w:val="HTML - wstępnie sformatowany"/>
    <w:basedOn w:val="Normal"/>
    <w:qFormat/>
    <w:pPr>
      <w:tabs>
        <w:tab w:val="clear" w:pos="685"/>
        <w:tab w:val="clear" w:pos="4876"/>
        <w:tab w:val="clear" w:pos="547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000000"/>
      <w:sz w:val="18"/>
    </w:rPr>
  </w:style>
  <w:style w:type="paragraph" w:styleId="Tekstpodstawowy2">
    <w:name w:val="Tekst podstawowy 2"/>
    <w:basedOn w:val="Normal"/>
    <w:qFormat/>
    <w:pPr>
      <w:spacing w:lineRule="auto" w:line="480" w:before="0" w:after="120"/>
    </w:pPr>
    <w:rPr/>
  </w:style>
  <w:style w:type="numbering" w:styleId="NoList" w:default="1">
    <w:name w:val="No List"/>
    <w:uiPriority w:val="99"/>
    <w:semiHidden/>
    <w:unhideWhenUsed/>
    <w:qFormat/>
  </w:style>
  <w:style w:type="numbering" w:styleId="WWOutlineListStyle4" w:customStyle="1">
    <w:name w:val="WW_OutlineListStyle_4"/>
    <w:qFormat/>
  </w:style>
  <w:style w:type="numbering" w:styleId="WWOutlineListStyle3" w:customStyle="1">
    <w:name w:val="WW_OutlineListStyle_3"/>
    <w:qFormat/>
  </w:style>
  <w:style w:type="numbering" w:styleId="WWOutlineListStyle2" w:customStyle="1">
    <w:name w:val="WW_OutlineListStyle_2"/>
    <w:qFormat/>
  </w:style>
  <w:style w:type="numbering" w:styleId="WWOutlineListStyle1" w:customStyle="1">
    <w:name w:val="WW_OutlineListStyle_1"/>
    <w:qFormat/>
  </w:style>
  <w:style w:type="numbering" w:styleId="WWOutlineListStyle" w:customStyle="1">
    <w:name w:val="WW_OutlineListStyle"/>
    <w:qFormat/>
  </w:style>
  <w:style w:type="numbering" w:styleId="Numeracja123" w:customStyle="1">
    <w:name w:val="Numeracja 123"/>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numbering" w:styleId="WW8Num30" w:customStyle="1">
    <w:name w:val="WW8Num30"/>
    <w:qFormat/>
  </w:style>
  <w:style w:type="numbering" w:styleId="WW8Num31" w:customStyle="1">
    <w:name w:val="WW8Num31"/>
    <w:qFormat/>
  </w:style>
  <w:style w:type="numbering" w:styleId="WW8Num32" w:customStyle="1">
    <w:name w:val="WW8Num32"/>
    <w:qFormat/>
  </w:style>
  <w:style w:type="numbering" w:styleId="WW8Num33" w:customStyle="1">
    <w:name w:val="WW8Num33"/>
    <w:qFormat/>
  </w:style>
  <w:style w:type="numbering" w:styleId="WW8Num34" w:customStyle="1">
    <w:name w:val="WW8Num34"/>
    <w:qFormat/>
  </w:style>
  <w:style w:type="numbering" w:styleId="WW8Num35" w:customStyle="1">
    <w:name w:val="WW8Num35"/>
    <w:qFormat/>
  </w:style>
  <w:style w:type="numbering" w:styleId="WW8Num36" w:customStyle="1">
    <w:name w:val="WW8Num36"/>
    <w:qFormat/>
  </w:style>
  <w:style w:type="numbering" w:styleId="WW8Num37" w:customStyle="1">
    <w:name w:val="WW8Num37"/>
    <w:qFormat/>
  </w:style>
  <w:style w:type="numbering" w:styleId="WW8Num38" w:customStyle="1">
    <w:name w:val="WW8Num38"/>
    <w:qFormat/>
  </w:style>
  <w:style w:type="numbering" w:styleId="WW8Num39" w:customStyle="1">
    <w:name w:val="WW8Num39"/>
    <w:qFormat/>
  </w:style>
  <w:style w:type="numbering" w:styleId="WW8Num40" w:customStyle="1">
    <w:name w:val="WW8Num40"/>
    <w:qFormat/>
  </w:style>
  <w:style w:type="numbering" w:styleId="WW8Num41" w:customStyle="1">
    <w:name w:val="WW8Num41"/>
    <w:qFormat/>
  </w:style>
  <w:style w:type="numbering" w:styleId="WW8Num42" w:customStyle="1">
    <w:name w:val="WW8Num42"/>
    <w:qFormat/>
  </w:style>
  <w:style w:type="numbering" w:styleId="WW8Num43" w:customStyle="1">
    <w:name w:val="WW8Num43"/>
    <w:qFormat/>
  </w:style>
  <w:style w:type="numbering" w:styleId="WW8Num44" w:customStyle="1">
    <w:name w:val="WW8Num44"/>
    <w:qFormat/>
  </w:style>
  <w:style w:type="numbering" w:styleId="WW8Num45" w:customStyle="1">
    <w:name w:val="WW8Num45"/>
    <w:qFormat/>
  </w:style>
  <w:style w:type="numbering" w:styleId="WW8Num46" w:customStyle="1">
    <w:name w:val="WW8Num46"/>
    <w:qFormat/>
  </w:style>
  <w:style w:type="numbering" w:styleId="WW8Num47" w:customStyle="1">
    <w:name w:val="WW8Num47"/>
    <w:qFormat/>
  </w:style>
  <w:style w:type="numbering" w:styleId="WW8Num48" w:customStyle="1">
    <w:name w:val="WW8Num48"/>
    <w:qFormat/>
  </w:style>
  <w:style w:type="numbering" w:styleId="WW8Num49" w:customStyle="1">
    <w:name w:val="WW8Num49"/>
    <w:qFormat/>
  </w:style>
  <w:style w:type="numbering" w:styleId="WW8Num50" w:customStyle="1">
    <w:name w:val="WW8Num50"/>
    <w:qFormat/>
  </w:style>
  <w:style w:type="numbering" w:styleId="WW8Num51" w:customStyle="1">
    <w:name w:val="WW8Num51"/>
    <w:qFormat/>
  </w:style>
  <w:style w:type="numbering" w:styleId="WW8Num52" w:customStyle="1">
    <w:name w:val="WW8Num52"/>
    <w:qFormat/>
  </w:style>
  <w:style w:type="numbering" w:styleId="WW8Num53" w:customStyle="1">
    <w:name w:val="WW8Num53"/>
    <w:qFormat/>
  </w:style>
  <w:style w:type="numbering" w:styleId="WW8Num54" w:customStyle="1">
    <w:name w:val="WW8Num54"/>
    <w:qFormat/>
  </w:style>
  <w:style w:type="numbering" w:styleId="WW8Num55" w:customStyle="1">
    <w:name w:val="WW8Num55"/>
    <w:qFormat/>
  </w:style>
  <w:style w:type="numbering" w:styleId="WW8Num56" w:customStyle="1">
    <w:name w:val="WW8Num56"/>
    <w:qFormat/>
  </w:style>
  <w:style w:type="numbering" w:styleId="WW8Num57" w:customStyle="1">
    <w:name w:val="WW8Num57"/>
    <w:qFormat/>
  </w:style>
  <w:style w:type="numbering" w:styleId="WW8Num58" w:customStyle="1">
    <w:name w:val="WW8Num58"/>
    <w:qFormat/>
  </w:style>
  <w:style w:type="numbering" w:styleId="WW8Num59" w:customStyle="1">
    <w:name w:val="WW8Num59"/>
    <w:qFormat/>
  </w:style>
  <w:style w:type="numbering" w:styleId="WW8Num60" w:customStyle="1">
    <w:name w:val="WW8Num60"/>
    <w:qFormat/>
  </w:style>
  <w:style w:type="numbering" w:styleId="WW8Num61" w:customStyle="1">
    <w:name w:val="WW8Num61"/>
    <w:qFormat/>
  </w:style>
  <w:style w:type="numbering" w:styleId="WW8Num62" w:customStyle="1">
    <w:name w:val="WW8Num62"/>
    <w:qFormat/>
  </w:style>
  <w:style w:type="numbering" w:styleId="WW8Num63" w:customStyle="1">
    <w:name w:val="WW8Num63"/>
    <w:qFormat/>
  </w:style>
  <w:style w:type="numbering" w:styleId="WW8Num64" w:customStyle="1">
    <w:name w:val="WW8Num64"/>
    <w:qFormat/>
  </w:style>
  <w:style w:type="numbering" w:styleId="WW8Num65" w:customStyle="1">
    <w:name w:val="WW8Num65"/>
    <w:qFormat/>
  </w:style>
  <w:style w:type="numbering" w:styleId="WW8Num66" w:customStyle="1">
    <w:name w:val="WW8Num66"/>
    <w:qFormat/>
  </w:style>
  <w:style w:type="numbering" w:styleId="WW8Num67" w:customStyle="1">
    <w:name w:val="WW8Num67"/>
    <w:qFormat/>
  </w:style>
  <w:style w:type="numbering" w:styleId="WW8Num68" w:customStyle="1">
    <w:name w:val="WW8Num68"/>
    <w:qFormat/>
  </w:style>
  <w:style w:type="numbering" w:styleId="WW8Num69" w:customStyle="1">
    <w:name w:val="WW8Num69"/>
    <w:qFormat/>
  </w:style>
  <w:style w:type="numbering" w:styleId="WW8Num70" w:customStyle="1">
    <w:name w:val="WW8Num70"/>
    <w:qFormat/>
  </w:style>
  <w:style w:type="numbering" w:styleId="WW8Num71" w:customStyle="1">
    <w:name w:val="WW8Num71"/>
    <w:qFormat/>
  </w:style>
  <w:style w:type="numbering" w:styleId="WW8Num72" w:customStyle="1">
    <w:name w:val="WW8Num72"/>
    <w:qFormat/>
  </w:style>
  <w:style w:type="numbering" w:styleId="WW8Num73" w:customStyle="1">
    <w:name w:val="WW8Num73"/>
    <w:qFormat/>
  </w:style>
  <w:style w:type="numbering" w:styleId="WW8Num74" w:customStyle="1">
    <w:name w:val="WW8Num74"/>
    <w:qFormat/>
  </w:style>
  <w:style w:type="numbering" w:styleId="WW8Num75" w:customStyle="1">
    <w:name w:val="WW8Num75"/>
    <w:qFormat/>
  </w:style>
  <w:style w:type="numbering" w:styleId="WW8Num76" w:customStyle="1">
    <w:name w:val="WW8Num76"/>
    <w:qFormat/>
  </w:style>
  <w:style w:type="numbering" w:styleId="WW8Num77" w:customStyle="1">
    <w:name w:val="WW8Num77"/>
    <w:qFormat/>
  </w:style>
  <w:style w:type="numbering" w:styleId="WW8Num78" w:customStyle="1">
    <w:name w:val="WW8Num78"/>
    <w:qFormat/>
  </w:style>
  <w:style w:type="numbering" w:styleId="WW8Num79" w:customStyle="1">
    <w:name w:val="WW8Num79"/>
    <w:qFormat/>
  </w:style>
  <w:style w:type="numbering" w:styleId="WW8Num80" w:customStyle="1">
    <w:name w:val="WW8Num80"/>
    <w:qFormat/>
  </w:style>
  <w:style w:type="numbering" w:styleId="WW8Num81" w:customStyle="1">
    <w:name w:val="WW8Num81"/>
    <w:qFormat/>
  </w:style>
  <w:style w:type="numbering" w:styleId="WW8Num82" w:customStyle="1">
    <w:name w:val="WW8Num82"/>
    <w:qFormat/>
  </w:style>
  <w:style w:type="numbering" w:styleId="WW8Num83" w:customStyle="1">
    <w:name w:val="WW8Num83"/>
    <w:qFormat/>
  </w:style>
  <w:style w:type="numbering" w:styleId="WW8Num84" w:customStyle="1">
    <w:name w:val="WW8Num84"/>
    <w:qFormat/>
  </w:style>
  <w:style w:type="numbering" w:styleId="WW8Num85" w:customStyle="1">
    <w:name w:val="WW8Num85"/>
    <w:qFormat/>
  </w:style>
  <w:style w:type="numbering" w:styleId="WW8Num86" w:customStyle="1">
    <w:name w:val="WW8Num86"/>
    <w:qFormat/>
  </w:style>
  <w:style w:type="numbering" w:styleId="WW8Num87" w:customStyle="1">
    <w:name w:val="WW8Num87"/>
    <w:qFormat/>
  </w:style>
  <w:style w:type="numbering" w:styleId="WW8Num88" w:customStyle="1">
    <w:name w:val="WW8Num88"/>
    <w:qFormat/>
  </w:style>
  <w:style w:type="numbering" w:styleId="WW8Num89" w:customStyle="1">
    <w:name w:val="WW8Num89"/>
    <w:qFormat/>
  </w:style>
  <w:style w:type="numbering" w:styleId="WW8Num90" w:customStyle="1">
    <w:name w:val="WW8Num90"/>
    <w:qFormat/>
  </w:style>
  <w:style w:type="numbering" w:styleId="WW8Num92" w:customStyle="1">
    <w:name w:val="WW8Num92"/>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latformazakupowa.pl/pn/rydultowy" TargetMode="External"/><Relationship Id="rId3" Type="http://schemas.openxmlformats.org/officeDocument/2006/relationships/hyperlink" Target="https://platformazakupowa.pl/pn/rydultowy" TargetMode="External"/><Relationship Id="rId4" Type="http://schemas.openxmlformats.org/officeDocument/2006/relationships/hyperlink" Target="mailto:um@rydultowy.pl" TargetMode="External"/><Relationship Id="rId5" Type="http://schemas.openxmlformats.org/officeDocument/2006/relationships/hyperlink" Target="mailto:iod@rydultowy.pl"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platformazakupowa.pl/pn/rydultowy" TargetMode="External"/><Relationship Id="rId9" Type="http://schemas.openxmlformats.org/officeDocument/2006/relationships/hyperlink" Target="https://platformazakupowa.pl/" TargetMode="External"/><Relationship Id="rId10" Type="http://schemas.openxmlformats.org/officeDocument/2006/relationships/hyperlink" Target="https://platformazakupowa.pl/pn/rydultowy" TargetMode="External"/><Relationship Id="rId11"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3"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15" Type="http://schemas.openxmlformats.org/officeDocument/2006/relationships/hyperlink" Target="https://platformazakupowa.pl/" TargetMode="External"/><Relationship Id="rId16" Type="http://schemas.openxmlformats.org/officeDocument/2006/relationships/hyperlink" Target="https://platformazakupowa.pl/" TargetMode="External"/><Relationship Id="rId17" Type="http://schemas.openxmlformats.org/officeDocument/2006/relationships/hyperlink" Target="https://platformazakupowa.pl/strona/1-regulamin" TargetMode="External"/><Relationship Id="rId18"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1" Type="http://schemas.openxmlformats.org/officeDocument/2006/relationships/hyperlink" Target="https://platformazakupowa.pl/strona/46-instrukcje" TargetMode="External"/><Relationship Id="rId22" Type="http://schemas.openxmlformats.org/officeDocument/2006/relationships/hyperlink" Target="https://platformazakupowa.pl/strona/1-regulamin" TargetMode="External"/><Relationship Id="rId23" Type="http://schemas.openxmlformats.org/officeDocument/2006/relationships/hyperlink" Target="https://platformazakupowa.pl/" TargetMode="External"/><Relationship Id="rId24" Type="http://schemas.openxmlformats.org/officeDocument/2006/relationships/hyperlink" Target="https://platformazakupowa.pl/strona/46-instrukcje" TargetMode="External"/><Relationship Id="rId25"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28" Type="http://schemas.openxmlformats.org/officeDocument/2006/relationships/hyperlink" Target="https://platformazakupowa.pl/strona/46-instrukcje" TargetMode="External"/><Relationship Id="rId29" Type="http://schemas.openxmlformats.org/officeDocument/2006/relationships/hyperlink" Target="mailto:um@rydultowy.pl" TargetMode="Externa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2648</TotalTime>
  <Application>LibreOffice/7.6.4.1$Windows_X86_64 LibreOffice_project/e19e193f88cd6c0525a17fb7a176ed8e6a3e2aa1</Application>
  <AppVersion>15.0000</AppVersion>
  <Pages>40</Pages>
  <Words>15999</Words>
  <Characters>108045</Characters>
  <CharactersWithSpaces>124265</CharactersWithSpaces>
  <Paragraphs>785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2024-04-04T08:21:00Z</dcterms:created>
  <dc:creator>kokularczyk</dc:creator>
  <dc:description/>
  <dc:language>pl-PL</dc:language>
  <cp:lastModifiedBy/>
  <cp:lastPrinted>2024-07-09T09:43:02Z</cp:lastPrinted>
  <dcterms:modified xsi:type="dcterms:W3CDTF">2024-07-09T09:43:12Z</dcterms:modified>
  <cp:revision>67</cp:revision>
  <dc:subject/>
  <dc:title>BP</dc:title>
</cp:coreProperties>
</file>

<file path=docProps/custom.xml><?xml version="1.0" encoding="utf-8"?>
<Properties xmlns="http://schemas.openxmlformats.org/officeDocument/2006/custom-properties" xmlns:vt="http://schemas.openxmlformats.org/officeDocument/2006/docPropsVTypes"/>
</file>