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5EAB" w14:textId="77777777" w:rsidR="00C65D81" w:rsidRPr="009F387A" w:rsidRDefault="00C65D81" w:rsidP="00C65D81">
      <w:pPr>
        <w:spacing w:line="276" w:lineRule="auto"/>
        <w:rPr>
          <w:rFonts w:ascii="Cambria" w:hAnsi="Cambria" w:cs="Arial"/>
          <w:b/>
          <w:caps/>
          <w:sz w:val="20"/>
          <w:szCs w:val="20"/>
        </w:rPr>
      </w:pPr>
    </w:p>
    <w:p w14:paraId="659C958B"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r>
        <w:rPr>
          <w:rFonts w:ascii="Cambria" w:hAnsi="Cambria" w:cs="Arial"/>
          <w:bCs/>
          <w:sz w:val="20"/>
          <w:szCs w:val="20"/>
          <w:u w:val="single"/>
        </w:rPr>
        <w:t>ZAŁĄCZNIK NR 5</w:t>
      </w:r>
    </w:p>
    <w:p w14:paraId="4321E404"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p>
    <w:p w14:paraId="06354439" w14:textId="77777777" w:rsidR="00C65D81" w:rsidRPr="00DC5E8C" w:rsidRDefault="00C65D81" w:rsidP="00C65D81">
      <w:pPr>
        <w:widowControl w:val="0"/>
        <w:pBdr>
          <w:bottom w:val="double" w:sz="4" w:space="1" w:color="auto"/>
        </w:pBdr>
        <w:shd w:val="clear" w:color="auto" w:fill="D9D9D9"/>
        <w:suppressAutoHyphens/>
        <w:jc w:val="center"/>
        <w:rPr>
          <w:rFonts w:ascii="Cambria" w:hAnsi="Cambria" w:cs="Calibri"/>
          <w:b/>
          <w:sz w:val="20"/>
          <w:szCs w:val="20"/>
          <w:lang w:eastAsia="ar-SA"/>
        </w:rPr>
      </w:pPr>
      <w:r>
        <w:rPr>
          <w:rFonts w:ascii="Cambria" w:hAnsi="Cambria" w:cs="Calibri"/>
          <w:b/>
          <w:sz w:val="20"/>
          <w:szCs w:val="20"/>
          <w:lang w:eastAsia="ar-SA"/>
        </w:rPr>
        <w:t>SZCZEGÓŁOWY OPIS PRZEDMIOTU ZAMÓWIENIA</w:t>
      </w:r>
    </w:p>
    <w:p w14:paraId="4486FF38"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p>
    <w:p w14:paraId="09F9F03F" w14:textId="77777777" w:rsidR="00C65D81" w:rsidRPr="00A52121" w:rsidRDefault="00C65D81" w:rsidP="00C65D81">
      <w:pPr>
        <w:numPr>
          <w:ilvl w:val="0"/>
          <w:numId w:val="2"/>
        </w:numPr>
        <w:tabs>
          <w:tab w:val="left" w:pos="284"/>
        </w:tabs>
        <w:autoSpaceDE w:val="0"/>
        <w:autoSpaceDN w:val="0"/>
        <w:adjustRightInd w:val="0"/>
        <w:spacing w:after="160" w:line="288" w:lineRule="auto"/>
        <w:ind w:left="0" w:firstLine="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Przedmiotem zamówienia jest świadczenie usług pocztowych w obrocie krajowym i zagranicznym w zakresie przyjmowania, przemieszczania i doręczania przesyłek pocztowych, oraz zwrot do Zamawiającego przesyłek po wyczerpaniu możliwości ich doręczenia w rozumieniu ustawy z dnia 23 listopada 2012 r. - Prawo pocztowe (Dz. U. z 2023 r., poz. 1640). </w:t>
      </w:r>
    </w:p>
    <w:p w14:paraId="54825FC0" w14:textId="77777777" w:rsidR="00C65D81" w:rsidRPr="00A52121" w:rsidRDefault="00C65D81" w:rsidP="00C65D81">
      <w:pPr>
        <w:numPr>
          <w:ilvl w:val="0"/>
          <w:numId w:val="2"/>
        </w:numPr>
        <w:tabs>
          <w:tab w:val="left" w:pos="284"/>
          <w:tab w:val="left" w:pos="851"/>
        </w:tabs>
        <w:autoSpaceDE w:val="0"/>
        <w:autoSpaceDN w:val="0"/>
        <w:adjustRightInd w:val="0"/>
        <w:spacing w:after="126" w:line="288" w:lineRule="auto"/>
        <w:ind w:left="0" w:firstLine="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Zakres zamówienia obejmuje m.in.:</w:t>
      </w:r>
    </w:p>
    <w:p w14:paraId="28A031CD"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niebędące przesyłkami najszybszej kategorii w obrocie krajowym (zwykłe); </w:t>
      </w:r>
    </w:p>
    <w:p w14:paraId="24A35247"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Przesyłki nierejestrowane najszybszej kategorii w obrocie krajowym (zwykłe priorytetowe); </w:t>
      </w:r>
    </w:p>
    <w:p w14:paraId="2898283D"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niebędące przesyłkami najszybszej kategorii w obrocie krajowym (polecone); </w:t>
      </w:r>
    </w:p>
    <w:p w14:paraId="704C79B5"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krajowym (polecone priorytetowe); </w:t>
      </w:r>
    </w:p>
    <w:p w14:paraId="40E614E2"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Zwrotne potwierdzenie odbioru; </w:t>
      </w:r>
    </w:p>
    <w:p w14:paraId="55BBECF4"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Elektroniczne potwierdzenie odbioru (EPO); </w:t>
      </w:r>
    </w:p>
    <w:p w14:paraId="257E3817"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niebędące przesyłkami najszybszej kategorii ze zwrotnym potwierdzeniem odbioru w obrocie krajowym do 500 g z zadeklarowaną wartością 30 zł; </w:t>
      </w:r>
    </w:p>
    <w:p w14:paraId="763A8FF6"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najszybszej kategorii w obrocie zagranicznym obszar Europy (zwykłe priorytetowe); </w:t>
      </w:r>
    </w:p>
    <w:p w14:paraId="3FB1C6C1"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najszybszej kategorii w obrocie zagranicznym poza obszar Europy (zwykłe priorytetowe); </w:t>
      </w:r>
    </w:p>
    <w:p w14:paraId="2222B3A8"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zagranicznym obszar Europy (polecone priorytetowe); </w:t>
      </w:r>
    </w:p>
    <w:p w14:paraId="2852E9D5"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zagranicznym poza obszar Europy (polecone priorytetowe); </w:t>
      </w:r>
    </w:p>
    <w:p w14:paraId="0FE153E4"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rejestrowane niebędące paczkami najszybszej kategorii w obrocie krajowym; </w:t>
      </w:r>
    </w:p>
    <w:p w14:paraId="525C1E8E" w14:textId="77777777" w:rsidR="00C65D81" w:rsidRPr="00A52121" w:rsidRDefault="00C65D81" w:rsidP="00C65D81">
      <w:pPr>
        <w:numPr>
          <w:ilvl w:val="0"/>
          <w:numId w:val="3"/>
        </w:numPr>
        <w:tabs>
          <w:tab w:val="left" w:pos="426"/>
        </w:tabs>
        <w:autoSpaceDE w:val="0"/>
        <w:autoSpaceDN w:val="0"/>
        <w:adjustRightInd w:val="0"/>
        <w:spacing w:after="128"/>
        <w:ind w:left="567" w:hanging="142"/>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rejestrowane najszybszej kategorii w obrocie krajowym (priorytetowe); </w:t>
      </w:r>
    </w:p>
    <w:p w14:paraId="330D076D"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niebędące przesyłkami najszybszej kategorii w obrocie zagranicznym – obszar Europa; </w:t>
      </w:r>
    </w:p>
    <w:p w14:paraId="15E2B246"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Paczki niebędące przesyłkami najszybszej kategorii w obrocie zagranicznym – poza obszar Europy;</w:t>
      </w:r>
    </w:p>
    <w:p w14:paraId="34DDDA75"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będące przesyłkami najszybszej kategorii w obrocie zagranicznym – obszar Europa (priorytetowe); </w:t>
      </w:r>
    </w:p>
    <w:p w14:paraId="3E1288BB"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będące przesyłkami najszybszej kategorii w obrocie zagranicznym – poza obszar Europy (priorytetowe); </w:t>
      </w:r>
    </w:p>
    <w:p w14:paraId="681439AF"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Usługę „zwrot niedoręczonej przesyłki rejestrowanej do siedziby zamawiającego” w obrocie krajowym; </w:t>
      </w:r>
    </w:p>
    <w:p w14:paraId="6AF5E0EA"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Usługę „zwrot niedoręczonej przesyłki rejestrowanej do siedziby zamawiającego” w obrocie zagranicznym; </w:t>
      </w:r>
    </w:p>
    <w:p w14:paraId="75C251E3"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Usługę „zwrot niedoręczonej paczki rejestrowanej do siedziby zamawiającego” w obrocie krajowym; </w:t>
      </w:r>
    </w:p>
    <w:p w14:paraId="3ACC6C6C" w14:textId="77777777" w:rsidR="00C65D81" w:rsidRPr="00CD6E7D"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CD6E7D">
        <w:rPr>
          <w:rFonts w:ascii="Cambria" w:eastAsia="Calibri" w:hAnsi="Cambria" w:cs="Calibri"/>
          <w:color w:val="000000"/>
          <w:sz w:val="20"/>
          <w:szCs w:val="22"/>
          <w:lang w:eastAsia="en-US"/>
        </w:rPr>
        <w:t xml:space="preserve">Druki bezadresowe w obrocie krajowym z terminem doręczenia max 7 dniowym od daty odbioru druków; (termin 7 dni jest terminem deklarowanym, a usługa będzie świadczona dla Zamawiającego na </w:t>
      </w:r>
      <w:r w:rsidRPr="00CD6E7D">
        <w:rPr>
          <w:rFonts w:ascii="Cambria" w:eastAsia="Calibri" w:hAnsi="Cambria" w:cs="Calibri"/>
          <w:sz w:val="20"/>
          <w:szCs w:val="22"/>
          <w:lang w:eastAsia="en-US"/>
        </w:rPr>
        <w:t>podstawie</w:t>
      </w:r>
      <w:r w:rsidRPr="00CD6E7D">
        <w:rPr>
          <w:rFonts w:ascii="Cambria" w:eastAsia="Calibri" w:hAnsi="Cambria" w:cs="Calibri"/>
          <w:color w:val="000000"/>
          <w:sz w:val="20"/>
          <w:szCs w:val="22"/>
          <w:lang w:eastAsia="en-US"/>
        </w:rPr>
        <w:t xml:space="preserve"> Regulaminu Wykonawcy, aktualnego na dzień nadania druków)</w:t>
      </w:r>
    </w:p>
    <w:p w14:paraId="4F6847EC"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highlight w:val="yellow"/>
          <w:lang w:eastAsia="en-US"/>
        </w:rPr>
      </w:pPr>
      <w:r w:rsidRPr="00CD6E7D">
        <w:rPr>
          <w:rFonts w:ascii="Cambria" w:eastAsia="Calibri" w:hAnsi="Cambria" w:cs="Calibri"/>
          <w:color w:val="000000"/>
          <w:sz w:val="20"/>
          <w:szCs w:val="22"/>
          <w:lang w:eastAsia="en-US"/>
        </w:rPr>
        <w:t>Przesyłki marketingowe (będą świadczona dla Zamawiającego na podstawie Regulaminu Wykonawcy, aktualnego na dzień nadania druków dostępnego na stronie internetowej Wykonawcy).</w:t>
      </w:r>
    </w:p>
    <w:p w14:paraId="6E9BF6A8" w14:textId="77777777" w:rsidR="00C65D81" w:rsidRPr="00A52121" w:rsidRDefault="00C65D81" w:rsidP="00C65D81">
      <w:pPr>
        <w:numPr>
          <w:ilvl w:val="0"/>
          <w:numId w:val="2"/>
        </w:numPr>
        <w:tabs>
          <w:tab w:val="left" w:pos="426"/>
        </w:tabs>
        <w:autoSpaceDE w:val="0"/>
        <w:autoSpaceDN w:val="0"/>
        <w:adjustRightInd w:val="0"/>
        <w:spacing w:after="128" w:line="288" w:lineRule="auto"/>
        <w:ind w:left="284"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lastRenderedPageBreak/>
        <w:t xml:space="preserve">Przez przesyłki pocztowe, będące przedmiotem zamówienia rozumie się: </w:t>
      </w:r>
    </w:p>
    <w:p w14:paraId="705287A2" w14:textId="77777777" w:rsidR="00C65D81" w:rsidRPr="00A52121" w:rsidRDefault="00C65D81" w:rsidP="00C65D81">
      <w:pPr>
        <w:numPr>
          <w:ilvl w:val="0"/>
          <w:numId w:val="4"/>
        </w:numPr>
        <w:autoSpaceDE w:val="0"/>
        <w:autoSpaceDN w:val="0"/>
        <w:adjustRightInd w:val="0"/>
        <w:spacing w:after="126" w:line="288" w:lineRule="auto"/>
        <w:ind w:left="567" w:hanging="283"/>
        <w:jc w:val="both"/>
        <w:rPr>
          <w:rFonts w:ascii="Cambria" w:eastAsia="Calibri" w:hAnsi="Cambria" w:cs="Calibri"/>
          <w:color w:val="000000"/>
          <w:sz w:val="20"/>
          <w:szCs w:val="22"/>
          <w:lang w:eastAsia="en-US"/>
        </w:rPr>
      </w:pPr>
      <w:r>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przesyłki listowe o wadze do 2000 g:</w:t>
      </w:r>
    </w:p>
    <w:p w14:paraId="292A54C1"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 przesyłka nie rejestrowana nie będąca przesyłką najszybszej kategorii, </w:t>
      </w:r>
    </w:p>
    <w:p w14:paraId="5802302D"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priorytetowe – przesyłka nie rejestrowana listowa najszybszej kategorii, </w:t>
      </w:r>
    </w:p>
    <w:p w14:paraId="66FF13CC"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 przesyłka rejestrowana będąca przesyłką listową, przemieszczaną i doręczaną w sposób zabezpieczający ją przed utratą, ubytkiem zawartości lub uszkodzeniem, </w:t>
      </w:r>
    </w:p>
    <w:p w14:paraId="62A77710"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priorytetowe – przesyłka rejestrowana najszybszej kategorii, </w:t>
      </w:r>
    </w:p>
    <w:p w14:paraId="4D8F879D"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ze zwrotnym poświadczeniem odbioru (ZPO) – przesyłka przyjęta za potwierdzeniem nadania i doręczona za pokwitowaniem odbioru, </w:t>
      </w:r>
    </w:p>
    <w:p w14:paraId="165273F8"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priorytetowe ze zwrotnym poświadczeniem odbioru (ZPO) – przesyłka najszybszej kategorii przyjęta za potwierdzeniem nadania i doręczona za pokwitowaniem odbioru, </w:t>
      </w:r>
    </w:p>
    <w:p w14:paraId="7437B414"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 zadeklarowaną wartością – przesyłka rejestrowana, za której utratę, ubytek zawartości lub uszkodzenie operator ponosi odpowiedzialność do wysokości wartości przesyłki podanej przez nadawcę. </w:t>
      </w:r>
    </w:p>
    <w:p w14:paraId="18044BF1" w14:textId="77777777" w:rsidR="00C65D81" w:rsidRPr="00A52121" w:rsidRDefault="00C65D81" w:rsidP="00C65D81">
      <w:pPr>
        <w:autoSpaceDE w:val="0"/>
        <w:autoSpaceDN w:val="0"/>
        <w:adjustRightInd w:val="0"/>
        <w:spacing w:line="288" w:lineRule="auto"/>
        <w:ind w:left="78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Wymiary przesyłek listowych przyjmuje się z tolerancją +/- 2 mm i wynoszą one: </w:t>
      </w:r>
    </w:p>
    <w:p w14:paraId="77E22CF2" w14:textId="77777777" w:rsidR="00C65D81" w:rsidRPr="00A52121" w:rsidRDefault="00C65D81" w:rsidP="00C65D81">
      <w:pPr>
        <w:autoSpaceDE w:val="0"/>
        <w:autoSpaceDN w:val="0"/>
        <w:adjustRightInd w:val="0"/>
        <w:spacing w:after="126" w:line="288" w:lineRule="auto"/>
        <w:ind w:left="420" w:firstLine="28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u w:val="single"/>
          <w:lang w:eastAsia="en-US"/>
        </w:rPr>
        <w:t xml:space="preserve"> - dla rozmiaru A (waga do 500 g): </w:t>
      </w:r>
    </w:p>
    <w:p w14:paraId="3AE33C4C"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A8CF72B" w14:textId="77777777" w:rsidR="00C65D81" w:rsidRPr="00A52121" w:rsidRDefault="00C65D81" w:rsidP="00C65D81">
      <w:pPr>
        <w:autoSpaceDE w:val="0"/>
        <w:autoSpaceDN w:val="0"/>
        <w:adjustRightInd w:val="0"/>
        <w:spacing w:line="288" w:lineRule="auto"/>
        <w:ind w:left="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wysokość 20 mm, długość 230 mm, szerokość 160 mm </w:t>
      </w:r>
    </w:p>
    <w:p w14:paraId="4CF2F201" w14:textId="77777777" w:rsidR="00C65D81" w:rsidRPr="00A52121" w:rsidRDefault="00C65D81" w:rsidP="00C65D81">
      <w:pPr>
        <w:autoSpaceDE w:val="0"/>
        <w:autoSpaceDN w:val="0"/>
        <w:adjustRightInd w:val="0"/>
        <w:spacing w:line="288" w:lineRule="auto"/>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ab/>
      </w:r>
      <w:r w:rsidRPr="00A52121">
        <w:rPr>
          <w:rFonts w:ascii="Cambria" w:eastAsia="Calibri" w:hAnsi="Cambria" w:cs="Calibri"/>
          <w:color w:val="000000"/>
          <w:sz w:val="20"/>
          <w:szCs w:val="22"/>
          <w:u w:val="single"/>
          <w:lang w:eastAsia="en-US"/>
        </w:rPr>
        <w:t xml:space="preserve">- dla rozmiaru B (waga do 1000 g): </w:t>
      </w:r>
    </w:p>
    <w:p w14:paraId="1F3AF1D9"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35CD15F" w14:textId="77777777" w:rsidR="00C65D81" w:rsidRPr="00A52121" w:rsidRDefault="00C65D81" w:rsidP="00C65D81">
      <w:pPr>
        <w:autoSpaceDE w:val="0"/>
        <w:autoSpaceDN w:val="0"/>
        <w:adjustRightInd w:val="0"/>
        <w:spacing w:line="288" w:lineRule="auto"/>
        <w:ind w:left="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wysokość 20 mm, długość 325 mm, szerokość 230 mm </w:t>
      </w:r>
    </w:p>
    <w:p w14:paraId="0AD9048E"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u w:val="single"/>
          <w:lang w:eastAsia="en-US"/>
        </w:rPr>
        <w:t xml:space="preserve">- dla rozmiaru C (waga do 2000 g) </w:t>
      </w:r>
    </w:p>
    <w:p w14:paraId="4290634C" w14:textId="77777777" w:rsidR="00C65D81" w:rsidRPr="00A52121" w:rsidRDefault="00C65D81" w:rsidP="00C65D81">
      <w:pPr>
        <w:autoSpaceDE w:val="0"/>
        <w:autoSpaceDN w:val="0"/>
        <w:adjustRightInd w:val="0"/>
        <w:spacing w:line="288" w:lineRule="auto"/>
        <w:ind w:left="72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83E3ECA" w14:textId="77777777" w:rsidR="00C65D81" w:rsidRPr="00A52121" w:rsidRDefault="00C65D81" w:rsidP="00C65D81">
      <w:pPr>
        <w:tabs>
          <w:tab w:val="left" w:pos="1276"/>
        </w:tabs>
        <w:autoSpaceDE w:val="0"/>
        <w:autoSpaceDN w:val="0"/>
        <w:adjustRightInd w:val="0"/>
        <w:spacing w:line="288" w:lineRule="auto"/>
        <w:ind w:left="709"/>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szerokości i wysokości wynosi 900 mm, przy czym największy z tych wymiarów (długość) nie może przekroczyć 600 mm.</w:t>
      </w:r>
    </w:p>
    <w:p w14:paraId="46FB9F9A" w14:textId="77777777" w:rsidR="00C65D81" w:rsidRPr="00A52121" w:rsidRDefault="00C65D81" w:rsidP="00C65D81">
      <w:pPr>
        <w:numPr>
          <w:ilvl w:val="0"/>
          <w:numId w:val="4"/>
        </w:numPr>
        <w:autoSpaceDE w:val="0"/>
        <w:autoSpaceDN w:val="0"/>
        <w:adjustRightInd w:val="0"/>
        <w:spacing w:after="160" w:line="288" w:lineRule="auto"/>
        <w:ind w:left="709" w:hanging="283"/>
        <w:jc w:val="both"/>
        <w:rPr>
          <w:rFonts w:ascii="Cambria" w:eastAsia="Calibri" w:hAnsi="Cambria" w:cs="Calibri"/>
          <w:color w:val="000000"/>
          <w:sz w:val="20"/>
          <w:szCs w:val="22"/>
          <w:lang w:eastAsia="en-US"/>
        </w:rPr>
      </w:pPr>
      <w:r>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 xml:space="preserve">paczki pocztowe o wadze do 10 000 g (Gabaryt A i B): </w:t>
      </w:r>
    </w:p>
    <w:p w14:paraId="3E26B714"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 paczki rejestrowane nie będące paczkami najszybszej kategorii, </w:t>
      </w:r>
    </w:p>
    <w:p w14:paraId="6E4A55D3"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priorytetowe – paczki rejestrowane najszybszej kategorii, </w:t>
      </w:r>
    </w:p>
    <w:p w14:paraId="34CB7E82"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 zadeklarowaną wartością – przesyłki rejestrowane nie będące przesyłkami najszybszej kategorii z zadeklarowaną wartością, </w:t>
      </w:r>
    </w:p>
    <w:p w14:paraId="7DC108A1"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ze zwrotnym poświadczeniem odbioru. </w:t>
      </w:r>
    </w:p>
    <w:p w14:paraId="71750CA9" w14:textId="77777777" w:rsidR="00C65D81" w:rsidRPr="00A52121" w:rsidRDefault="00C65D81" w:rsidP="00C65D81">
      <w:pPr>
        <w:autoSpaceDE w:val="0"/>
        <w:autoSpaceDN w:val="0"/>
        <w:adjustRightInd w:val="0"/>
        <w:spacing w:line="288" w:lineRule="auto"/>
        <w:ind w:left="360" w:firstLine="20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Wymiary paczek pocztowych wynoszą: </w:t>
      </w:r>
    </w:p>
    <w:p w14:paraId="3273991F"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 140 mm, z tolerancją +/- 2 mm, </w:t>
      </w:r>
    </w:p>
    <w:p w14:paraId="17C5F921"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i największego obwodu mierzonego w innym kierunku niż długość nie może być większa niż 3000 mm, przy czym największy wymiar nie może przekroczyć 1500 mm, przy czym:</w:t>
      </w:r>
    </w:p>
    <w:p w14:paraId="20F329AD"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u w:val="single"/>
          <w:lang w:eastAsia="en-US"/>
        </w:rPr>
      </w:pPr>
      <w:r w:rsidRPr="00A52121">
        <w:rPr>
          <w:rFonts w:ascii="Cambria" w:eastAsia="Calibri" w:hAnsi="Cambria" w:cs="Calibri"/>
          <w:b/>
          <w:bCs/>
          <w:color w:val="000000"/>
          <w:sz w:val="20"/>
          <w:szCs w:val="22"/>
          <w:u w:val="single"/>
          <w:lang w:eastAsia="en-US"/>
        </w:rPr>
        <w:t xml:space="preserve">Gabaryt A </w:t>
      </w:r>
      <w:r w:rsidRPr="00A52121">
        <w:rPr>
          <w:rFonts w:ascii="Cambria" w:eastAsia="Calibri" w:hAnsi="Cambria" w:cs="Calibri"/>
          <w:color w:val="000000"/>
          <w:sz w:val="20"/>
          <w:szCs w:val="22"/>
          <w:u w:val="single"/>
          <w:lang w:eastAsia="en-US"/>
        </w:rPr>
        <w:t xml:space="preserve">to paczka o wymiarach: </w:t>
      </w:r>
    </w:p>
    <w:p w14:paraId="2B929EA7"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 140 mm, </w:t>
      </w:r>
    </w:p>
    <w:p w14:paraId="32DD271D"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długości 600 mm, szerokości 500 mm, wysokości 300 mm. </w:t>
      </w:r>
    </w:p>
    <w:p w14:paraId="69325115"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u w:val="single"/>
          <w:lang w:eastAsia="en-US"/>
        </w:rPr>
      </w:pPr>
      <w:r w:rsidRPr="00A52121">
        <w:rPr>
          <w:rFonts w:ascii="Cambria" w:eastAsia="Calibri" w:hAnsi="Cambria" w:cs="Calibri"/>
          <w:b/>
          <w:bCs/>
          <w:color w:val="000000"/>
          <w:sz w:val="20"/>
          <w:szCs w:val="22"/>
          <w:u w:val="single"/>
          <w:lang w:eastAsia="en-US"/>
        </w:rPr>
        <w:t xml:space="preserve">Gabaryt B </w:t>
      </w:r>
      <w:r w:rsidRPr="00A52121">
        <w:rPr>
          <w:rFonts w:ascii="Cambria" w:eastAsia="Calibri" w:hAnsi="Cambria" w:cs="Calibri"/>
          <w:color w:val="000000"/>
          <w:sz w:val="20"/>
          <w:szCs w:val="22"/>
          <w:u w:val="single"/>
          <w:lang w:eastAsia="en-US"/>
        </w:rPr>
        <w:t xml:space="preserve">to paczka o wymiarach: </w:t>
      </w:r>
    </w:p>
    <w:p w14:paraId="4A5D92C2"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lastRenderedPageBreak/>
        <w:t xml:space="preserve">Minimum – jeśli choć jeden z wymiarów przekracza długość 600 mm lub szerokość 500 mm lub wysokość 300 mm, </w:t>
      </w:r>
    </w:p>
    <w:p w14:paraId="02D3E72F"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i największego obwodu mierzonego w innym kierunku niż długość – 3000 mm, przy czym największy wymiar nie może przekroczyć 1500 mm.</w:t>
      </w:r>
    </w:p>
    <w:p w14:paraId="1658AD39" w14:textId="77777777" w:rsidR="00C65D81" w:rsidRPr="00A52121" w:rsidRDefault="00C65D81" w:rsidP="00C65D81">
      <w:pPr>
        <w:autoSpaceDE w:val="0"/>
        <w:autoSpaceDN w:val="0"/>
        <w:adjustRightInd w:val="0"/>
        <w:spacing w:line="288" w:lineRule="auto"/>
        <w:jc w:val="both"/>
        <w:rPr>
          <w:rFonts w:ascii="Cambria" w:eastAsia="Calibri" w:hAnsi="Cambria" w:cs="Calibri"/>
          <w:color w:val="000000"/>
          <w:sz w:val="20"/>
          <w:szCs w:val="22"/>
          <w:lang w:eastAsia="en-US"/>
        </w:rPr>
      </w:pPr>
    </w:p>
    <w:p w14:paraId="62FA318F" w14:textId="77777777" w:rsidR="00C65D81" w:rsidRPr="00A52121" w:rsidRDefault="00C65D81" w:rsidP="00C65D81">
      <w:pPr>
        <w:numPr>
          <w:ilvl w:val="0"/>
          <w:numId w:val="6"/>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u w:val="single"/>
          <w:lang w:eastAsia="en-US"/>
        </w:rPr>
        <w:t>druk bezadresowy</w:t>
      </w:r>
      <w:r w:rsidRPr="00A52121">
        <w:rPr>
          <w:rFonts w:ascii="Cambria" w:eastAsia="Calibri" w:hAnsi="Cambria" w:cs="Calibri"/>
          <w:color w:val="000000"/>
          <w:sz w:val="20"/>
          <w:szCs w:val="22"/>
          <w:lang w:eastAsia="en-US"/>
        </w:rPr>
        <w:t xml:space="preserve">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(termin 7 dni jest terminem deklarowanym, a usługa będzie świadczona dla Zamawiającego na podstawie Regulaminu Wykonawcy, aktualnego na dzień nadania druków)</w:t>
      </w:r>
    </w:p>
    <w:p w14:paraId="334C213A" w14:textId="77777777" w:rsidR="00C65D81" w:rsidRPr="00A52121" w:rsidRDefault="00C65D81" w:rsidP="00C65D81">
      <w:pPr>
        <w:numPr>
          <w:ilvl w:val="0"/>
          <w:numId w:val="6"/>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u w:val="single"/>
          <w:lang w:eastAsia="en-US"/>
        </w:rPr>
        <w:t>przesyłka marketingowa</w:t>
      </w:r>
      <w:r w:rsidRPr="00A52121">
        <w:rPr>
          <w:rFonts w:ascii="Cambria" w:eastAsia="Calibri" w:hAnsi="Cambria" w:cs="Calibri"/>
          <w:color w:val="000000"/>
          <w:sz w:val="20"/>
          <w:szCs w:val="22"/>
          <w:lang w:eastAsia="en-US"/>
        </w:rPr>
        <w:t xml:space="preserve"> – to przesyłka pocztowa nierejestrowana, zawierająca różnorodne, własne materiały informacyjne nadawcy, wysyłana jednorazowo do co najmniej 30 adresatów (np. zaproszenia na wydarzenia i wystawy). Waga przesyłki o masie do 2000 g w poniższych wymiarach: </w:t>
      </w:r>
    </w:p>
    <w:p w14:paraId="0AA38597" w14:textId="77777777" w:rsidR="00C65D81" w:rsidRPr="00A52121" w:rsidRDefault="00C65D81" w:rsidP="00C65D81">
      <w:pPr>
        <w:autoSpaceDE w:val="0"/>
        <w:autoSpaceDN w:val="0"/>
        <w:adjustRightInd w:val="0"/>
        <w:spacing w:line="288" w:lineRule="auto"/>
        <w:ind w:left="780"/>
        <w:jc w:val="both"/>
        <w:rPr>
          <w:rFonts w:ascii="Cambria" w:eastAsia="Calibri" w:hAnsi="Cambria" w:cs="Calibri"/>
          <w:b/>
          <w:color w:val="000000"/>
          <w:sz w:val="20"/>
          <w:szCs w:val="22"/>
          <w:u w:val="single"/>
          <w:lang w:eastAsia="en-US"/>
        </w:rPr>
      </w:pPr>
      <w:r w:rsidRPr="00A52121">
        <w:rPr>
          <w:rFonts w:ascii="Cambria" w:eastAsia="Calibri" w:hAnsi="Cambria" w:cs="Calibri"/>
          <w:b/>
          <w:color w:val="000000"/>
          <w:sz w:val="20"/>
          <w:szCs w:val="22"/>
          <w:u w:val="single"/>
          <w:lang w:eastAsia="en-US"/>
        </w:rPr>
        <w:t>gabaryt A:</w:t>
      </w:r>
    </w:p>
    <w:p w14:paraId="3E48AB53" w14:textId="77777777" w:rsidR="00C65D81" w:rsidRPr="00A52121" w:rsidRDefault="00C65D81" w:rsidP="00C65D81">
      <w:pPr>
        <w:numPr>
          <w:ilvl w:val="0"/>
          <w:numId w:val="7"/>
        </w:numPr>
        <w:autoSpaceDE w:val="0"/>
        <w:autoSpaceDN w:val="0"/>
        <w:adjustRightInd w:val="0"/>
        <w:spacing w:after="160" w:line="288" w:lineRule="auto"/>
        <w:ind w:left="1134" w:hanging="283"/>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wymiary strony adresowej nie mogą być mniejsze niż 90 x 140 mm, </w:t>
      </w:r>
    </w:p>
    <w:p w14:paraId="04E17535" w14:textId="77777777" w:rsidR="00C65D81" w:rsidRPr="00A52121" w:rsidRDefault="00C65D81" w:rsidP="00C65D81">
      <w:pPr>
        <w:numPr>
          <w:ilvl w:val="0"/>
          <w:numId w:val="7"/>
        </w:numPr>
        <w:autoSpaceDE w:val="0"/>
        <w:autoSpaceDN w:val="0"/>
        <w:adjustRightInd w:val="0"/>
        <w:spacing w:after="160" w:line="288" w:lineRule="auto"/>
        <w:ind w:left="1134" w:hanging="283"/>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żaden z wymiarów nie może przekroczyć wysokości 20 mm, długości 325 mm, szerokości 230 mm, </w:t>
      </w:r>
    </w:p>
    <w:p w14:paraId="585A34DD"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b/>
          <w:color w:val="000000"/>
          <w:sz w:val="20"/>
          <w:szCs w:val="22"/>
          <w:u w:val="single"/>
          <w:lang w:eastAsia="en-US"/>
        </w:rPr>
      </w:pPr>
      <w:r w:rsidRPr="00A52121">
        <w:rPr>
          <w:rFonts w:ascii="Cambria" w:eastAsia="Calibri" w:hAnsi="Cambria" w:cs="Calibri"/>
          <w:b/>
          <w:color w:val="000000"/>
          <w:sz w:val="20"/>
          <w:szCs w:val="22"/>
          <w:u w:val="single"/>
          <w:lang w:eastAsia="en-US"/>
        </w:rPr>
        <w:t>gabaryt B:</w:t>
      </w:r>
    </w:p>
    <w:p w14:paraId="17AAEE7C" w14:textId="77777777" w:rsidR="00C65D81" w:rsidRPr="00A52121" w:rsidRDefault="00C65D81" w:rsidP="00C65D81">
      <w:pPr>
        <w:numPr>
          <w:ilvl w:val="0"/>
          <w:numId w:val="8"/>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jeśli choć jeden z wymiarów przekracza wysokość 20 mm lub długość 325 mm lub szerokość 230 mm, </w:t>
      </w:r>
    </w:p>
    <w:p w14:paraId="138BC99D" w14:textId="77777777" w:rsidR="00C65D81" w:rsidRPr="00A52121" w:rsidRDefault="00C65D81" w:rsidP="00C65D81">
      <w:pPr>
        <w:numPr>
          <w:ilvl w:val="0"/>
          <w:numId w:val="8"/>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suma długości, szerokości i wysokości nie może przekroczyć 900 mm, przy czym największy z tych wymiarów (długość nie może przekroczyć 600 mm). </w:t>
      </w:r>
    </w:p>
    <w:p w14:paraId="74C25935"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Wykonawca będzie świadczył usługi pocztowe dla Zamawiającego w zakresie przyjmowania przesyłek oraz wydawania przesyłek nierejestrowanych, awizowanych oraz zwrotów. </w:t>
      </w:r>
    </w:p>
    <w:p w14:paraId="5EE549E7"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Zamawiający będzie dostarczał codziennie przesyłki pocztowe wraz z dokumentami nadawczymi do placówek nadawczych Wykonawcy. Nadanie przesyłek będących przedmiotem zamówienia następować będzie w dniu ich dostarczenia do wskazanego przez Wykonawcę punktu. Nadawanie przesyłek odbywać się będzie każdego dnia kalendarzowego, z wyłączeniem sobót i dni ustawowo wolnych od pracy. </w:t>
      </w:r>
    </w:p>
    <w:p w14:paraId="1D51024E" w14:textId="7D4AA603"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Wykonawca jest zobowiązany do wyznaczenia placówki nadawczej, usytuowanej w odległości nie większej niż 1 km od siedziby przy ul. Ceynowy 21, 83-314 Somonino</w:t>
      </w:r>
      <w:r w:rsidRPr="00D83ABF">
        <w:rPr>
          <w:rFonts w:ascii="Cambria" w:eastAsia="Calibri" w:hAnsi="Cambria" w:cs="Calibri"/>
          <w:color w:val="000000"/>
          <w:sz w:val="20"/>
          <w:szCs w:val="22"/>
          <w:lang w:eastAsia="en-US"/>
        </w:rPr>
        <w:t>,</w:t>
      </w:r>
      <w:r>
        <w:rPr>
          <w:rFonts w:ascii="Cambria" w:eastAsia="Calibri" w:hAnsi="Cambria" w:cs="Calibri"/>
          <w:color w:val="000000"/>
          <w:sz w:val="20"/>
          <w:szCs w:val="22"/>
          <w:lang w:eastAsia="en-US"/>
        </w:rPr>
        <w:t xml:space="preserve"> czynnych </w:t>
      </w:r>
      <w:r w:rsidRPr="00A52121">
        <w:rPr>
          <w:rFonts w:ascii="Cambria" w:eastAsia="Calibri" w:hAnsi="Cambria" w:cs="Calibri"/>
          <w:color w:val="000000"/>
          <w:sz w:val="20"/>
          <w:szCs w:val="22"/>
          <w:lang w:eastAsia="en-US"/>
        </w:rPr>
        <w:t xml:space="preserve">w dniach: poniedziałek –piątek </w:t>
      </w:r>
    </w:p>
    <w:p w14:paraId="47D2269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641ED71A" w14:textId="77777777" w:rsidR="00C65D81" w:rsidRPr="00A52121" w:rsidRDefault="00C65D81" w:rsidP="00C65D81">
      <w:pPr>
        <w:numPr>
          <w:ilvl w:val="0"/>
          <w:numId w:val="15"/>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wymóg dostarczania druków potwierdzenia odbioru dotyczy  druków do przesyłek nadawanych na zasadach ogólnych tzw. żółtych zwrotek. Druki potwierdzenia nadania do przesyłek nadanych na zasadach specjalnych Zamawiający zapewni sobie we własnym zakresie . </w:t>
      </w:r>
    </w:p>
    <w:p w14:paraId="0E2EEA66" w14:textId="77777777" w:rsidR="00C65D81" w:rsidRPr="00A52121" w:rsidRDefault="00C65D81" w:rsidP="00C65D81">
      <w:pPr>
        <w:numPr>
          <w:ilvl w:val="0"/>
          <w:numId w:val="15"/>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 przypadku przesyłek nadawanych przez Zamawiającego na zasadach specjalnych tzn., których doręczenie następuje w trybie przewidzianych przez ustawy, odpowiednio: kpc, </w:t>
      </w:r>
      <w:r w:rsidRPr="00A52121">
        <w:rPr>
          <w:rFonts w:ascii="Cambria" w:eastAsia="Calibri" w:hAnsi="Cambria" w:cs="Calibri"/>
          <w:color w:val="000000"/>
          <w:sz w:val="20"/>
          <w:szCs w:val="22"/>
          <w:lang w:eastAsia="en-US"/>
        </w:rPr>
        <w:lastRenderedPageBreak/>
        <w:t>kpk, kpa i ordynację  podatkową – Wykonawca jest obowiązany przyjąć do nadania oraz doręczyć przedmiotowe przesyłki w ww. trybach, bez żadnych odstępstw.</w:t>
      </w:r>
    </w:p>
    <w:p w14:paraId="38E2F863"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Zwrotne potwierdzenie odbioru (ZPO) może przybrać formę elektronicznego potwierdzenia odbioru (EPO). W przypadku nadawania przesyłki poleconej z EPO, Zamawiający zobowiązany będzie do umieszczenia na przesyłce wyróżnika „POLECONA-E”.  Przesyłki z EPO nadawane będą przy wykorzystaniu Aplikacji Wykonawcy.</w:t>
      </w:r>
    </w:p>
    <w:p w14:paraId="765FC3AE"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Elektroniczne potwierdzenie odbioru (EPO) polega na doręczeniu przesyłki na podstawie zapisu w systemie teleinformatycznym oraz złożeniu podpisu przez adresata na urządzeniu mobilnym (np. tablecie), w który wyposażony jest doręczyciel. </w:t>
      </w:r>
    </w:p>
    <w:p w14:paraId="52E2E29F"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EPO powinno zawierać informacje pozwalające na identyfikację doręczanej przesyłki, podpis odbierającego przesyłkę wraz ze wskazaniem czy potwierdzający odbiór przesyłki jest adresatem, dorosłym domownikiem czy też pełnomocnikiem oraz datę doręczenia. </w:t>
      </w:r>
    </w:p>
    <w:p w14:paraId="651CC3B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EPO (elektroniczne potwierdzenie odbioru) stanowi oryginał dowodu doręczenia przesyłki. </w:t>
      </w:r>
    </w:p>
    <w:p w14:paraId="1B8CB758"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Zasady realizacji usługi Elektroniczne Potwierdzenie Odbioru w obrocie krajowym zostaną załączone do umowy z Wykonawcą. </w:t>
      </w:r>
    </w:p>
    <w:p w14:paraId="0062747A"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Realizacja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 </w:t>
      </w:r>
    </w:p>
    <w:p w14:paraId="5C1B2710"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0"/>
          <w:szCs w:val="22"/>
          <w:lang w:eastAsia="en-US"/>
        </w:rPr>
      </w:pPr>
      <w:r w:rsidRPr="00A52121">
        <w:rPr>
          <w:rFonts w:ascii="Cambria" w:eastAsia="Calibri" w:hAnsi="Cambria" w:cs="Calibri"/>
          <w:color w:val="000000"/>
          <w:sz w:val="20"/>
          <w:szCs w:val="22"/>
          <w:lang w:eastAsia="en-US"/>
        </w:rPr>
        <w:t xml:space="preserve">Potwierdzone Pocztowe Książki Nadawcze i zestawienia ilościowo-kwotowe zostaną zwrócone Zamawiającemu w dniu nadania przesyłek, </w:t>
      </w:r>
      <w:r w:rsidRPr="00A52121">
        <w:rPr>
          <w:rFonts w:ascii="Cambria" w:eastAsia="Calibri" w:hAnsi="Cambria" w:cs="Calibri"/>
          <w:b/>
          <w:color w:val="000000"/>
          <w:sz w:val="20"/>
          <w:szCs w:val="22"/>
          <w:lang w:eastAsia="en-US"/>
        </w:rPr>
        <w:t>a najpóźniej w następnym dniu podczas nadawania przesyłek przez Zamawiającego.</w:t>
      </w:r>
    </w:p>
    <w:p w14:paraId="18B67A3E"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Wykonawca zobowiązany jest do potwierdzenia realizowanej usługi w książce nadawczej poprzez wpisanie nr przesyłki rejestrowanej. Wykonawca zapewni opcję śledzenia online przesyłek rejestrowanych w obrocie krajowym bez ponoszenia dodatkowych kosztów z tym związanych przez Zamawiającego (usługa powinna być ogólnie dostępna dla Zamawiającego bez konieczności zakupu dodatkowego sprzętu, oprogramowania, uprawnień itp.). </w:t>
      </w:r>
    </w:p>
    <w:p w14:paraId="2B7C4DD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Zamawiający zobowiązuje się do nadawania przesyłek w stanie uporządkowanym i zgodnym z zapisami w przygotowanych rejestrach i zestawieniach przesyłek przeznaczonych do wysłania. </w:t>
      </w:r>
    </w:p>
    <w:p w14:paraId="5AC2856C"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 </w:t>
      </w:r>
    </w:p>
    <w:p w14:paraId="73855E0B"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Zamawiający wymaga, aby data nadania przesyłek pocztowych potwierdzona była przez umieszczenie odcisku datownika placówki nadawczej na przesyłkach oraz na dowodzie ich nadania (w pocztowej książce nadawczej) oraz by nadanie przesyłki w danym dniu 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5E75B5B8"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Kodeksu postępowania cywilnego, </w:t>
      </w:r>
    </w:p>
    <w:p w14:paraId="64C93912"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Kodeksu postępowania administracyjnego, </w:t>
      </w:r>
    </w:p>
    <w:p w14:paraId="169F5097"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lastRenderedPageBreak/>
        <w:t xml:space="preserve">Ordynacji podatkowej. </w:t>
      </w:r>
    </w:p>
    <w:p w14:paraId="78E37DA7" w14:textId="77777777" w:rsidR="00C65D81" w:rsidRPr="00A52121" w:rsidRDefault="00C65D81" w:rsidP="00C65D81">
      <w:pPr>
        <w:numPr>
          <w:ilvl w:val="0"/>
          <w:numId w:val="12"/>
        </w:numPr>
        <w:autoSpaceDE w:val="0"/>
        <w:autoSpaceDN w:val="0"/>
        <w:adjustRightInd w:val="0"/>
        <w:spacing w:after="160" w:line="288" w:lineRule="auto"/>
        <w:ind w:left="709" w:hanging="283"/>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Zamawiający zobowiązany będzie do właściwego przygotowania przesyłek oraz sporządzania zestawień dla przesyłek. </w:t>
      </w:r>
    </w:p>
    <w:p w14:paraId="4A5876D7" w14:textId="77777777" w:rsidR="00C65D81" w:rsidRPr="00A52121" w:rsidRDefault="00C65D81" w:rsidP="00C65D81">
      <w:pPr>
        <w:numPr>
          <w:ilvl w:val="0"/>
          <w:numId w:val="12"/>
        </w:numPr>
        <w:autoSpaceDE w:val="0"/>
        <w:autoSpaceDN w:val="0"/>
        <w:adjustRightInd w:val="0"/>
        <w:spacing w:after="160" w:line="288" w:lineRule="auto"/>
        <w:ind w:left="709" w:hanging="283"/>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Zamawiający zobowiązany będzie do nadawania przesyłek w stanie uporządkowanym, przez co należy rozumieć:</w:t>
      </w:r>
    </w:p>
    <w:p w14:paraId="3ED3E3A8" w14:textId="77777777" w:rsidR="00C65D81" w:rsidRPr="00A52121" w:rsidRDefault="00C65D81" w:rsidP="00C65D81">
      <w:pPr>
        <w:numPr>
          <w:ilvl w:val="0"/>
          <w:numId w:val="11"/>
        </w:numPr>
        <w:autoSpaceDE w:val="0"/>
        <w:autoSpaceDN w:val="0"/>
        <w:adjustRightInd w:val="0"/>
        <w:spacing w:after="160" w:line="288" w:lineRule="auto"/>
        <w:ind w:left="1559" w:hanging="357"/>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61D17DCB" w14:textId="77777777" w:rsidR="00C65D81" w:rsidRPr="00A52121" w:rsidRDefault="00C65D81" w:rsidP="00C65D81">
      <w:pPr>
        <w:numPr>
          <w:ilvl w:val="0"/>
          <w:numId w:val="11"/>
        </w:numPr>
        <w:autoSpaceDE w:val="0"/>
        <w:autoSpaceDN w:val="0"/>
        <w:adjustRightInd w:val="0"/>
        <w:spacing w:after="160" w:line="288" w:lineRule="auto"/>
        <w:ind w:left="1559" w:hanging="357"/>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3CD3C5D0"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Zamawiający będzie odpowiedzialny za nadawanie przesyłek pocztowych w stanie umożliwiającym Wykonawcy doręczenie bez ubytku i uszkodzenia do miejsca zgodnie z adresem przeznaczenia. </w:t>
      </w:r>
    </w:p>
    <w:p w14:paraId="23589A13"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Opakowanie przesyłek listowych stanowi koperta Zamawiającego, odpowiednio zabezpieczona (zaklejona lub zalakowana). </w:t>
      </w:r>
    </w:p>
    <w:p w14:paraId="191B98C1"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Zamawiający nie dopuszcza jakiejkolwiek ingerencji przez Wykonawcę w zewnętrzne opakowanie przesyłki mogące naruszyć jej pierwotny format, kształt lub wagę.</w:t>
      </w:r>
    </w:p>
    <w:p w14:paraId="52BFF363"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Wykonawca zobowiązany jest do świadczenia usługi doręczenia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p>
    <w:p w14:paraId="28E8FD8D"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 Przewidywany czas doręczania przesyłek pocztowych za wyjątkiem przesyłek zagranicznych winien być zgodny z Rozporządzeniem Ministra Administracji i Cyfryzacji z dnia 29 kwietnia 2013 r. w sprawie warunków wykonywania usług powszechnych przez operatora wyznaczonego. </w:t>
      </w:r>
    </w:p>
    <w:p w14:paraId="0D53C2DF"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 sytuacji, kiedy Wykonawca w regulaminie świadczenia usług pocztowych określił korzystniejsze wskaźniki terminowości doręczeń (terminy doręczeń), stosuje się postanowienia tego regulaminu. </w:t>
      </w:r>
    </w:p>
    <w:p w14:paraId="6167A4C6"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Przesyłki pocztowe zagraniczne powinny być niezwłocznie przekazane do doręczenia odpowiednim operatorom zagranicznym. </w:t>
      </w:r>
    </w:p>
    <w:p w14:paraId="60292FDF"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Placówki Wykonawcy, które doręczają adresatom przesyłki pocztowe, winne być czynne we wszystkie dni robocze, z wyjątkiem sobót, co najmniej 5 dni w tygodniu, a jeżeli w tygodniu  przypada dzień ustawowo wolny od pracy, liczba ta może być odpowiednio niższa.</w:t>
      </w:r>
    </w:p>
    <w:p w14:paraId="271E6617"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w:t>
      </w:r>
      <w:r w:rsidRPr="00A52121">
        <w:rPr>
          <w:rFonts w:ascii="Cambria" w:eastAsia="Calibri" w:hAnsi="Cambria" w:cs="Calibri"/>
          <w:color w:val="000000"/>
          <w:sz w:val="20"/>
          <w:szCs w:val="20"/>
          <w:lang w:eastAsia="en-US"/>
        </w:rPr>
        <w:lastRenderedPageBreak/>
        <w:t xml:space="preserve">odbiorcy, datę odbioru i odcisk stempla firmowego, a w przypadku braku stempla firmowego – informację o dokumencie potwierdzającym uprawnienie do odbioru przesyłki. </w:t>
      </w:r>
    </w:p>
    <w:p w14:paraId="543F3F4B"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 przypadku kierowanie przesyłek do kraju w którym nie jest realizowana usługa zwrotnego potwierdzenia odbioru, Zamawiający nie będzie korzystał z takiej usługi.</w:t>
      </w:r>
    </w:p>
    <w:p w14:paraId="196C1044"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Wykonawca musi zapewnić świadczenie usług pocztowych poprzez sieć placówek oddawczo-awizacyjnych w celu odbioru awizowanej przesyłki, zlokalizowanych na terenie całego kraju – minimum po jednej placówce na terenie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 </w:t>
      </w:r>
    </w:p>
    <w:p w14:paraId="61B8C962"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W przypadku utraty, ubytku, uszkodzenia przesyłki bądź niewykonania lub nienależytego wykonania przedmiotu zamówienia Wykonawca zapłaci Zamawiającemu należne odszkodowanie i inne roszczenia, zgodne z rozporządzeniem Ministra Administracji i Cyfryzacji z dnia 26 listopada 2013 r. w sprawie reklamacji usługi pocztowej (Dz.U. z 2019 r., poz. 474 ze zm.) oraz powszechnie obowiązującymi przepisami prawa. </w:t>
      </w:r>
    </w:p>
    <w:p w14:paraId="091295CA"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Szacunkowe ilości przesyłek i paczek w okresie świadczenia usługi podane zostały w formularzu cenowym. </w:t>
      </w:r>
    </w:p>
    <w:p w14:paraId="29090A0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 Podane w formularzu cenowym szacunkowe ilości przesyłek pocztowych sporządzone zostały w oparciu o analizę dotychczas prowadzonej korespondencji oraz prognozowanych potrzeb </w:t>
      </w:r>
      <w:r w:rsidR="003436C4">
        <w:rPr>
          <w:rFonts w:ascii="Cambria" w:eastAsia="Calibri" w:hAnsi="Cambria"/>
          <w:sz w:val="20"/>
          <w:szCs w:val="20"/>
          <w:lang w:eastAsia="en-US"/>
        </w:rPr>
        <w:t xml:space="preserve">Zamawiającego </w:t>
      </w:r>
      <w:r w:rsidRPr="00A52121">
        <w:rPr>
          <w:rFonts w:ascii="Cambria" w:eastAsia="Calibri" w:hAnsi="Cambria"/>
          <w:sz w:val="20"/>
          <w:szCs w:val="20"/>
          <w:lang w:eastAsia="en-US"/>
        </w:rPr>
        <w:t xml:space="preserve">i które należy przyjąć do obliczenia ceny oferty. Podane ilości służą jedynie orientacyjnemu określeniu wielkości przedmiotu zamówienia. Ilość przesyłek pocztowych może być mniejsza od ilości szacunkowej podanej w formularzu cenowym, przy czym Zamawiający jest w stanie zagwarantować minimum 70% szacowanych ilości przesyłek pocztowych, wskazanych w formularzu cenowym. W stosunku do niewykorzystanych – maksymalnie 30% ilości przesyłek pocztowych, Wykonawcy nie będą przysługiwały żadne roszczenia odszkodowawcze. </w:t>
      </w:r>
    </w:p>
    <w:p w14:paraId="5AD359E1"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 Zamawiający zastrzega sobie możliwość nadawania przesyłek nieujętych w formularzu cenowym (np. innych typów lub uwzględniających usługi dodatkowe, takie jak np.: pobranie, zwrotne potwierdzenie odbioru itp.). W przypadku nadawania przez Zamawiającego przesyłek oraz korzystania z usług nieujętych w formularzu cenowym, podstawą rozliczenia będą ceny z cennika usług Wykonawcy, obowiązujące w dniu nadania/zwrotu przesyłki, a usługi te będą świadczone na podstawie aktualnie obowiązującego regulaminu świadczenia usług Wykonawcy. </w:t>
      </w:r>
    </w:p>
    <w:p w14:paraId="792BFFA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Usługi pocztowe będące przedmiotem niniejszego zamówienia mogą być realizowane w sposób określony w regulaminach. </w:t>
      </w:r>
    </w:p>
    <w:p w14:paraId="27FC821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Zamawiający zobowiązany będzie do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w:t>
      </w:r>
      <w:r w:rsidRPr="00A52121">
        <w:rPr>
          <w:rFonts w:ascii="Cambria" w:eastAsia="Calibri" w:hAnsi="Cambria"/>
          <w:sz w:val="20"/>
          <w:szCs w:val="20"/>
          <w:lang w:eastAsia="en-US"/>
        </w:rPr>
        <w:lastRenderedPageBreak/>
        <w:t xml:space="preserve">określającej pełną nazwę i adres Zamawiającego. Brak określenia rodzaju przesyłki na kopercie oznacza przesyłkę zwykłą (nierejestrowaną). </w:t>
      </w:r>
    </w:p>
    <w:p w14:paraId="1D186C87"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 </w:t>
      </w:r>
    </w:p>
    <w:p w14:paraId="4D08304A"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Zamawiający wymaga, aby osoby wskazane przez Wykonawcę w umowie jako upoważnione do kontaktu z Zamawiającym, odpowiadały na kontakt ze strony Zamawiającego (nieudany telefoniczny lub mailowy – zgodnie z zapisami w umowie) w czasie nie dłuższym niż 6 godzin od kontaktu ze strony Zamawiającego, w dni robocze 8.00-16.00. Zamawiający pod pojęciem „odpowiedzi na kontakt ze strony Zamawiającego” oczekuje stałej współpracy osób wyznaczonych do kontaktu z obu Stron i załatwienia spraw w możliwie najkrótszym terminie.</w:t>
      </w:r>
    </w:p>
    <w:p w14:paraId="4E315808" w14:textId="107BF1F7" w:rsidR="00C65D81" w:rsidRPr="00360A62"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sectPr w:rsidR="00C65D81" w:rsidRPr="00360A62" w:rsidSect="00AF4DFF">
          <w:headerReference w:type="default" r:id="rId7"/>
          <w:footerReference w:type="default" r:id="rId8"/>
          <w:headerReference w:type="first" r:id="rId9"/>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A52121">
        <w:rPr>
          <w:rFonts w:ascii="Cambria" w:eastAsia="Calibri" w:hAnsi="Cambria"/>
          <w:sz w:val="20"/>
          <w:szCs w:val="20"/>
          <w:lang w:eastAsia="en-US"/>
        </w:rPr>
        <w:t>Termin realizacji zamówienia: 1</w:t>
      </w:r>
      <w:r w:rsidR="0069190E">
        <w:rPr>
          <w:rFonts w:ascii="Cambria" w:eastAsia="Calibri" w:hAnsi="Cambria"/>
          <w:sz w:val="20"/>
          <w:szCs w:val="20"/>
          <w:lang w:eastAsia="en-US"/>
        </w:rPr>
        <w:t>1</w:t>
      </w:r>
      <w:r w:rsidRPr="00A52121">
        <w:rPr>
          <w:rFonts w:ascii="Cambria" w:eastAsia="Calibri" w:hAnsi="Cambria"/>
          <w:sz w:val="20"/>
          <w:szCs w:val="20"/>
          <w:lang w:eastAsia="en-US"/>
        </w:rPr>
        <w:t xml:space="preserve"> miesięcy tj. od 01.0</w:t>
      </w:r>
      <w:r w:rsidR="0069190E">
        <w:rPr>
          <w:rFonts w:ascii="Cambria" w:eastAsia="Calibri" w:hAnsi="Cambria"/>
          <w:sz w:val="20"/>
          <w:szCs w:val="20"/>
          <w:lang w:eastAsia="en-US"/>
        </w:rPr>
        <w:t>2</w:t>
      </w:r>
      <w:r w:rsidRPr="00A52121">
        <w:rPr>
          <w:rFonts w:ascii="Cambria" w:eastAsia="Calibri" w:hAnsi="Cambria"/>
          <w:sz w:val="20"/>
          <w:szCs w:val="20"/>
          <w:lang w:eastAsia="en-US"/>
        </w:rPr>
        <w:t>.2024 r. do 31.12.2024 r</w:t>
      </w:r>
    </w:p>
    <w:p w14:paraId="560AF9E1" w14:textId="77777777" w:rsidR="007C6FD5" w:rsidRDefault="007C6FD5"/>
    <w:sectPr w:rsidR="007C6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FA49" w14:textId="77777777" w:rsidR="005822E3" w:rsidRDefault="005822E3">
      <w:r>
        <w:separator/>
      </w:r>
    </w:p>
  </w:endnote>
  <w:endnote w:type="continuationSeparator" w:id="0">
    <w:p w14:paraId="4561A461" w14:textId="77777777" w:rsidR="005822E3" w:rsidRDefault="0058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709" w14:textId="77777777" w:rsidR="007C6FD5" w:rsidRPr="007B17EA" w:rsidRDefault="00C65D8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436C4">
      <w:rPr>
        <w:rFonts w:ascii="Arial" w:hAnsi="Arial" w:cs="Arial"/>
        <w:b/>
        <w:bCs/>
        <w:noProof/>
        <w:sz w:val="16"/>
        <w:szCs w:val="16"/>
      </w:rPr>
      <w:t>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436C4">
      <w:rPr>
        <w:rFonts w:ascii="Arial" w:hAnsi="Arial" w:cs="Arial"/>
        <w:b/>
        <w:bCs/>
        <w:noProof/>
        <w:sz w:val="16"/>
        <w:szCs w:val="16"/>
      </w:rPr>
      <w:t>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A361" w14:textId="77777777" w:rsidR="005822E3" w:rsidRDefault="005822E3">
      <w:r>
        <w:separator/>
      </w:r>
    </w:p>
  </w:footnote>
  <w:footnote w:type="continuationSeparator" w:id="0">
    <w:p w14:paraId="56CBC3EA" w14:textId="77777777" w:rsidR="005822E3" w:rsidRDefault="0058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D35" w14:textId="77777777" w:rsidR="007C6FD5" w:rsidRDefault="00C65D81" w:rsidP="009F572B">
    <w:pPr>
      <w:pStyle w:val="Nagwek"/>
      <w:tabs>
        <w:tab w:val="clear" w:pos="4536"/>
        <w:tab w:val="clear" w:pos="9072"/>
      </w:tabs>
      <w:ind w:firstLine="2127"/>
      <w:rPr>
        <w:noProof/>
        <w:lang w:eastAsia="x-none"/>
      </w:rPr>
    </w:pPr>
    <w:r>
      <w:rPr>
        <w:rFonts w:ascii="Arial" w:hAnsi="Arial" w:cs="Arial"/>
        <w:sz w:val="16"/>
        <w:szCs w:val="16"/>
      </w:rPr>
      <w:tab/>
    </w:r>
  </w:p>
  <w:p w14:paraId="499CF7A8" w14:textId="77777777" w:rsidR="007C6FD5" w:rsidRDefault="007C6FD5" w:rsidP="009F572B">
    <w:pPr>
      <w:pStyle w:val="Nagwek"/>
      <w:tabs>
        <w:tab w:val="clear" w:pos="4536"/>
        <w:tab w:val="clear" w:pos="9072"/>
      </w:tabs>
      <w:ind w:firstLine="2127"/>
      <w:rPr>
        <w:noProof/>
        <w:lang w:eastAsia="x-none"/>
      </w:rPr>
    </w:pPr>
  </w:p>
  <w:p w14:paraId="25D5B3DC" w14:textId="77777777" w:rsidR="007C6FD5" w:rsidRPr="00457068" w:rsidRDefault="007C6FD5" w:rsidP="009F572B">
    <w:pPr>
      <w:pStyle w:val="Nagwek"/>
      <w:tabs>
        <w:tab w:val="clear" w:pos="4536"/>
        <w:tab w:val="clear" w:pos="9072"/>
      </w:tabs>
      <w:ind w:firstLine="2127"/>
      <w:rPr>
        <w:rFonts w:ascii="Arial" w:hAnsi="Arial" w:cs="Arial"/>
        <w:sz w:val="16"/>
        <w:szCs w:val="16"/>
      </w:rPr>
    </w:pPr>
  </w:p>
  <w:p w14:paraId="1261D1DF" w14:textId="77777777" w:rsidR="007C6FD5" w:rsidRPr="00DC1FAC" w:rsidRDefault="007C6FD5" w:rsidP="006204E8">
    <w:pPr>
      <w:pStyle w:val="Nagwek"/>
      <w:jc w:val="both"/>
      <w:rPr>
        <w:rFonts w:ascii="Arial" w:hAnsi="Arial" w:cs="Arial"/>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54F3" w14:textId="77777777" w:rsidR="007C6FD5" w:rsidRDefault="007C6FD5" w:rsidP="009F572B">
    <w:pPr>
      <w:tabs>
        <w:tab w:val="center" w:pos="4536"/>
        <w:tab w:val="right" w:pos="9072"/>
      </w:tabs>
      <w:ind w:firstLine="2127"/>
      <w:rPr>
        <w:noProof/>
        <w:lang w:eastAsia="x-none"/>
      </w:rPr>
    </w:pPr>
  </w:p>
  <w:p w14:paraId="0FEACA25" w14:textId="77777777" w:rsidR="007C6FD5" w:rsidRDefault="007C6FD5" w:rsidP="009F572B">
    <w:pPr>
      <w:tabs>
        <w:tab w:val="center" w:pos="4536"/>
        <w:tab w:val="right" w:pos="9072"/>
      </w:tabs>
      <w:ind w:firstLine="2127"/>
      <w:rPr>
        <w:noProof/>
        <w:lang w:eastAsia="x-none"/>
      </w:rPr>
    </w:pPr>
  </w:p>
  <w:p w14:paraId="3D599514" w14:textId="77777777" w:rsidR="007C6FD5" w:rsidRPr="00FD1558" w:rsidRDefault="007C6FD5" w:rsidP="00FD1558">
    <w:pPr>
      <w:tabs>
        <w:tab w:val="center" w:pos="4536"/>
        <w:tab w:val="right" w:pos="9072"/>
      </w:tabs>
      <w:ind w:firstLine="2127"/>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1F9"/>
    <w:multiLevelType w:val="hybridMultilevel"/>
    <w:tmpl w:val="543CD2B6"/>
    <w:lvl w:ilvl="0" w:tplc="0C74129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15:restartNumberingAfterBreak="0">
    <w:nsid w:val="04420473"/>
    <w:multiLevelType w:val="hybridMultilevel"/>
    <w:tmpl w:val="E02447C0"/>
    <w:lvl w:ilvl="0" w:tplc="0C74129A">
      <w:start w:val="1"/>
      <w:numFmt w:val="bullet"/>
      <w:lvlText w:val=""/>
      <w:lvlJc w:val="left"/>
      <w:pPr>
        <w:ind w:left="2425" w:hanging="360"/>
      </w:pPr>
      <w:rPr>
        <w:rFonts w:ascii="Symbol" w:hAnsi="Symbol" w:hint="default"/>
      </w:rPr>
    </w:lvl>
    <w:lvl w:ilvl="1" w:tplc="04150003" w:tentative="1">
      <w:start w:val="1"/>
      <w:numFmt w:val="bullet"/>
      <w:lvlText w:val="o"/>
      <w:lvlJc w:val="left"/>
      <w:pPr>
        <w:ind w:left="3145" w:hanging="360"/>
      </w:pPr>
      <w:rPr>
        <w:rFonts w:ascii="Courier New" w:hAnsi="Courier New" w:cs="Courier New" w:hint="default"/>
      </w:rPr>
    </w:lvl>
    <w:lvl w:ilvl="2" w:tplc="04150005" w:tentative="1">
      <w:start w:val="1"/>
      <w:numFmt w:val="bullet"/>
      <w:lvlText w:val=""/>
      <w:lvlJc w:val="left"/>
      <w:pPr>
        <w:ind w:left="3865" w:hanging="360"/>
      </w:pPr>
      <w:rPr>
        <w:rFonts w:ascii="Wingdings" w:hAnsi="Wingdings" w:hint="default"/>
      </w:rPr>
    </w:lvl>
    <w:lvl w:ilvl="3" w:tplc="04150001" w:tentative="1">
      <w:start w:val="1"/>
      <w:numFmt w:val="bullet"/>
      <w:lvlText w:val=""/>
      <w:lvlJc w:val="left"/>
      <w:pPr>
        <w:ind w:left="4585" w:hanging="360"/>
      </w:pPr>
      <w:rPr>
        <w:rFonts w:ascii="Symbol" w:hAnsi="Symbol" w:hint="default"/>
      </w:rPr>
    </w:lvl>
    <w:lvl w:ilvl="4" w:tplc="04150003" w:tentative="1">
      <w:start w:val="1"/>
      <w:numFmt w:val="bullet"/>
      <w:lvlText w:val="o"/>
      <w:lvlJc w:val="left"/>
      <w:pPr>
        <w:ind w:left="5305" w:hanging="360"/>
      </w:pPr>
      <w:rPr>
        <w:rFonts w:ascii="Courier New" w:hAnsi="Courier New" w:cs="Courier New" w:hint="default"/>
      </w:rPr>
    </w:lvl>
    <w:lvl w:ilvl="5" w:tplc="04150005" w:tentative="1">
      <w:start w:val="1"/>
      <w:numFmt w:val="bullet"/>
      <w:lvlText w:val=""/>
      <w:lvlJc w:val="left"/>
      <w:pPr>
        <w:ind w:left="6025" w:hanging="360"/>
      </w:pPr>
      <w:rPr>
        <w:rFonts w:ascii="Wingdings" w:hAnsi="Wingdings" w:hint="default"/>
      </w:rPr>
    </w:lvl>
    <w:lvl w:ilvl="6" w:tplc="04150001" w:tentative="1">
      <w:start w:val="1"/>
      <w:numFmt w:val="bullet"/>
      <w:lvlText w:val=""/>
      <w:lvlJc w:val="left"/>
      <w:pPr>
        <w:ind w:left="6745" w:hanging="360"/>
      </w:pPr>
      <w:rPr>
        <w:rFonts w:ascii="Symbol" w:hAnsi="Symbol" w:hint="default"/>
      </w:rPr>
    </w:lvl>
    <w:lvl w:ilvl="7" w:tplc="04150003" w:tentative="1">
      <w:start w:val="1"/>
      <w:numFmt w:val="bullet"/>
      <w:lvlText w:val="o"/>
      <w:lvlJc w:val="left"/>
      <w:pPr>
        <w:ind w:left="7465" w:hanging="360"/>
      </w:pPr>
      <w:rPr>
        <w:rFonts w:ascii="Courier New" w:hAnsi="Courier New" w:cs="Courier New" w:hint="default"/>
      </w:rPr>
    </w:lvl>
    <w:lvl w:ilvl="8" w:tplc="04150005" w:tentative="1">
      <w:start w:val="1"/>
      <w:numFmt w:val="bullet"/>
      <w:lvlText w:val=""/>
      <w:lvlJc w:val="left"/>
      <w:pPr>
        <w:ind w:left="8185" w:hanging="360"/>
      </w:pPr>
      <w:rPr>
        <w:rFonts w:ascii="Wingdings" w:hAnsi="Wingdings" w:hint="default"/>
      </w:rPr>
    </w:lvl>
  </w:abstractNum>
  <w:abstractNum w:abstractNumId="2" w15:restartNumberingAfterBreak="0">
    <w:nsid w:val="185C2FCC"/>
    <w:multiLevelType w:val="hybridMultilevel"/>
    <w:tmpl w:val="AD3A400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1D087065"/>
    <w:multiLevelType w:val="hybridMultilevel"/>
    <w:tmpl w:val="9D7C1C16"/>
    <w:lvl w:ilvl="0" w:tplc="B81ED3C2">
      <w:start w:val="1"/>
      <w:numFmt w:val="decimal"/>
      <w:lvlText w:val="%1)"/>
      <w:lvlJc w:val="left"/>
      <w:pPr>
        <w:ind w:left="502" w:hanging="360"/>
      </w:pPr>
      <w:rPr>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2597187"/>
    <w:multiLevelType w:val="hybridMultilevel"/>
    <w:tmpl w:val="8876A452"/>
    <w:lvl w:ilvl="0" w:tplc="5FA8370C">
      <w:start w:val="21"/>
      <w:numFmt w:val="decimal"/>
      <w:lvlText w:val="%1."/>
      <w:lvlJc w:val="left"/>
      <w:pPr>
        <w:ind w:left="778" w:hanging="360"/>
      </w:pPr>
      <w:rPr>
        <w:rFonts w:hint="default"/>
        <w:b/>
        <w:sz w:val="18"/>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 w15:restartNumberingAfterBreak="0">
    <w:nsid w:val="30637149"/>
    <w:multiLevelType w:val="hybridMultilevel"/>
    <w:tmpl w:val="E3B88FC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1A95E3B"/>
    <w:multiLevelType w:val="hybridMultilevel"/>
    <w:tmpl w:val="7D6AED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A0F185E"/>
    <w:multiLevelType w:val="hybridMultilevel"/>
    <w:tmpl w:val="42B0EB04"/>
    <w:lvl w:ilvl="0" w:tplc="79088BCE">
      <w:start w:val="4"/>
      <w:numFmt w:val="decimal"/>
      <w:lvlText w:val="%1."/>
      <w:lvlJc w:val="left"/>
      <w:pPr>
        <w:ind w:left="720" w:hanging="360"/>
      </w:pPr>
      <w:rPr>
        <w:rFonts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55465D"/>
    <w:multiLevelType w:val="hybridMultilevel"/>
    <w:tmpl w:val="296ED93C"/>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9" w15:restartNumberingAfterBreak="0">
    <w:nsid w:val="48CB5B76"/>
    <w:multiLevelType w:val="hybridMultilevel"/>
    <w:tmpl w:val="1494F3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CFD2FC4"/>
    <w:multiLevelType w:val="hybridMultilevel"/>
    <w:tmpl w:val="7DE09FB2"/>
    <w:lvl w:ilvl="0" w:tplc="F11A3048">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060904"/>
    <w:multiLevelType w:val="hybridMultilevel"/>
    <w:tmpl w:val="69A0B35E"/>
    <w:lvl w:ilvl="0" w:tplc="B3C631C0">
      <w:start w:val="1"/>
      <w:numFmt w:val="decimal"/>
      <w:lvlText w:val="%1."/>
      <w:lvlJc w:val="left"/>
      <w:pPr>
        <w:ind w:left="780" w:hanging="360"/>
      </w:pPr>
      <w:rPr>
        <w:b/>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5536AD5"/>
    <w:multiLevelType w:val="hybridMultilevel"/>
    <w:tmpl w:val="701A123E"/>
    <w:lvl w:ilvl="0" w:tplc="5A92F202">
      <w:start w:val="33"/>
      <w:numFmt w:val="decimal"/>
      <w:lvlText w:val="%1."/>
      <w:lvlJc w:val="left"/>
      <w:pPr>
        <w:ind w:left="1571" w:hanging="360"/>
      </w:pPr>
      <w:rPr>
        <w:rFonts w:hint="default"/>
        <w:b/>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663130AA"/>
    <w:multiLevelType w:val="hybridMultilevel"/>
    <w:tmpl w:val="A25E9834"/>
    <w:lvl w:ilvl="0" w:tplc="AA9810FE">
      <w:start w:val="19"/>
      <w:numFmt w:val="decimal"/>
      <w:lvlText w:val="%1."/>
      <w:lvlJc w:val="left"/>
      <w:pPr>
        <w:ind w:left="1506" w:hanging="360"/>
      </w:pPr>
      <w:rPr>
        <w:rFonts w:hint="default"/>
        <w:b/>
        <w:sz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6BF314EC"/>
    <w:multiLevelType w:val="hybridMultilevel"/>
    <w:tmpl w:val="D9C0383E"/>
    <w:lvl w:ilvl="0" w:tplc="F73EA62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81394820">
    <w:abstractNumId w:val="5"/>
  </w:num>
  <w:num w:numId="2" w16cid:durableId="1940723108">
    <w:abstractNumId w:val="11"/>
  </w:num>
  <w:num w:numId="3" w16cid:durableId="1208832590">
    <w:abstractNumId w:val="3"/>
  </w:num>
  <w:num w:numId="4" w16cid:durableId="8798024">
    <w:abstractNumId w:val="14"/>
  </w:num>
  <w:num w:numId="5" w16cid:durableId="734818766">
    <w:abstractNumId w:val="6"/>
  </w:num>
  <w:num w:numId="6" w16cid:durableId="1463956569">
    <w:abstractNumId w:val="10"/>
  </w:num>
  <w:num w:numId="7" w16cid:durableId="466944558">
    <w:abstractNumId w:val="2"/>
  </w:num>
  <w:num w:numId="8" w16cid:durableId="141193744">
    <w:abstractNumId w:val="9"/>
  </w:num>
  <w:num w:numId="9" w16cid:durableId="1703624838">
    <w:abstractNumId w:val="7"/>
  </w:num>
  <w:num w:numId="10" w16cid:durableId="305399389">
    <w:abstractNumId w:val="1"/>
  </w:num>
  <w:num w:numId="11" w16cid:durableId="324745541">
    <w:abstractNumId w:val="8"/>
  </w:num>
  <w:num w:numId="12" w16cid:durableId="1157916714">
    <w:abstractNumId w:val="13"/>
  </w:num>
  <w:num w:numId="13" w16cid:durableId="558787699">
    <w:abstractNumId w:val="4"/>
  </w:num>
  <w:num w:numId="14" w16cid:durableId="754670501">
    <w:abstractNumId w:val="12"/>
  </w:num>
  <w:num w:numId="15" w16cid:durableId="185194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81"/>
    <w:rsid w:val="003436C4"/>
    <w:rsid w:val="00383A36"/>
    <w:rsid w:val="00466610"/>
    <w:rsid w:val="005822E3"/>
    <w:rsid w:val="0069190E"/>
    <w:rsid w:val="007A6028"/>
    <w:rsid w:val="007C3838"/>
    <w:rsid w:val="007C6FD5"/>
    <w:rsid w:val="00941C66"/>
    <w:rsid w:val="009B760C"/>
    <w:rsid w:val="009F0CED"/>
    <w:rsid w:val="00AD060B"/>
    <w:rsid w:val="00C65D81"/>
    <w:rsid w:val="00CA32E6"/>
    <w:rsid w:val="00CD6E7D"/>
    <w:rsid w:val="00D33B82"/>
    <w:rsid w:val="00D47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4F40"/>
  <w15:chartTrackingRefBased/>
  <w15:docId w15:val="{1CFB35DE-3C42-41D6-B413-98D50B7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D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5D8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65D81"/>
    <w:rPr>
      <w:rFonts w:ascii="Tahoma" w:eastAsia="Times New Roman" w:hAnsi="Tahoma" w:cs="Times New Roman"/>
      <w:sz w:val="20"/>
      <w:szCs w:val="20"/>
      <w:lang w:eastAsia="pl-PL"/>
    </w:rPr>
  </w:style>
  <w:style w:type="paragraph" w:styleId="Nagwek">
    <w:name w:val="header"/>
    <w:basedOn w:val="Normalny"/>
    <w:link w:val="NagwekZnak"/>
    <w:rsid w:val="00C65D81"/>
    <w:pPr>
      <w:tabs>
        <w:tab w:val="center" w:pos="4536"/>
        <w:tab w:val="right" w:pos="9072"/>
      </w:tabs>
    </w:pPr>
  </w:style>
  <w:style w:type="character" w:customStyle="1" w:styleId="NagwekZnak">
    <w:name w:val="Nagłówek Znak"/>
    <w:basedOn w:val="Domylnaczcionkaakapitu"/>
    <w:link w:val="Nagwek"/>
    <w:rsid w:val="00C65D8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3B82"/>
    <w:rPr>
      <w:sz w:val="16"/>
      <w:szCs w:val="16"/>
    </w:rPr>
  </w:style>
  <w:style w:type="paragraph" w:styleId="Tekstkomentarza">
    <w:name w:val="annotation text"/>
    <w:basedOn w:val="Normalny"/>
    <w:link w:val="TekstkomentarzaZnak"/>
    <w:uiPriority w:val="99"/>
    <w:semiHidden/>
    <w:unhideWhenUsed/>
    <w:rsid w:val="00D33B82"/>
    <w:rPr>
      <w:sz w:val="20"/>
      <w:szCs w:val="20"/>
    </w:rPr>
  </w:style>
  <w:style w:type="character" w:customStyle="1" w:styleId="TekstkomentarzaZnak">
    <w:name w:val="Tekst komentarza Znak"/>
    <w:basedOn w:val="Domylnaczcionkaakapitu"/>
    <w:link w:val="Tekstkomentarza"/>
    <w:uiPriority w:val="99"/>
    <w:semiHidden/>
    <w:rsid w:val="00D33B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3B82"/>
    <w:rPr>
      <w:b/>
      <w:bCs/>
    </w:rPr>
  </w:style>
  <w:style w:type="character" w:customStyle="1" w:styleId="TematkomentarzaZnak">
    <w:name w:val="Temat komentarza Znak"/>
    <w:basedOn w:val="TekstkomentarzaZnak"/>
    <w:link w:val="Tematkomentarza"/>
    <w:uiPriority w:val="99"/>
    <w:semiHidden/>
    <w:rsid w:val="00D33B8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2914</Words>
  <Characters>17485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Justyna Brylowska</cp:lastModifiedBy>
  <cp:revision>4</cp:revision>
  <dcterms:created xsi:type="dcterms:W3CDTF">2023-12-12T05:06:00Z</dcterms:created>
  <dcterms:modified xsi:type="dcterms:W3CDTF">2024-01-04T11:31:00Z</dcterms:modified>
</cp:coreProperties>
</file>