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D771D" w14:textId="3A056C18" w:rsidR="00BB43D0" w:rsidRPr="00BB43D0" w:rsidRDefault="009A2CC7" w:rsidP="00BB43D0">
      <w:pPr>
        <w:jc w:val="right"/>
      </w:pPr>
      <w:r>
        <w:t xml:space="preserve"> </w:t>
      </w:r>
      <w:r w:rsidR="00BB43D0" w:rsidRPr="00BB43D0">
        <w:t>Chojnice, dnia 01.04.2022 r</w:t>
      </w:r>
    </w:p>
    <w:p w14:paraId="103678AF" w14:textId="74EF6D4C" w:rsidR="009A2CC7" w:rsidRDefault="009A2CC7" w:rsidP="00BB43D0">
      <w:pPr>
        <w:jc w:val="right"/>
      </w:pPr>
    </w:p>
    <w:p w14:paraId="3B4C41D0" w14:textId="33A461F6" w:rsidR="009C65DF" w:rsidRDefault="009C65DF" w:rsidP="009C65DF">
      <w:r>
        <w:t>Zamawiający</w:t>
      </w:r>
    </w:p>
    <w:p w14:paraId="49EF2B36" w14:textId="77777777" w:rsidR="009C65DF" w:rsidRDefault="009C65DF" w:rsidP="009C65DF">
      <w:r>
        <w:t>Powiat Chojnicki</w:t>
      </w:r>
    </w:p>
    <w:p w14:paraId="405E3D51" w14:textId="77777777" w:rsidR="009C65DF" w:rsidRDefault="009C65DF" w:rsidP="009C65DF">
      <w:r>
        <w:t xml:space="preserve">Adres: Starostwo Powiatowe w Chojnicach </w:t>
      </w:r>
    </w:p>
    <w:p w14:paraId="444EF4CE" w14:textId="62431D96" w:rsidR="009C65DF" w:rsidRDefault="009C65DF" w:rsidP="009C65DF">
      <w:r>
        <w:t>ul. 31 Stycznia 56, 89-600 Chojnice</w:t>
      </w:r>
    </w:p>
    <w:p w14:paraId="43D2F78E" w14:textId="219AE6E9" w:rsidR="0088037C" w:rsidRDefault="0088037C" w:rsidP="009C65DF">
      <w:r>
        <w:t xml:space="preserve">działający w imieniu własnym oraz </w:t>
      </w:r>
      <w:r>
        <w:br/>
      </w:r>
      <w:r w:rsidRPr="0088037C">
        <w:t xml:space="preserve">w imieniu i na rzecz zamawiających opisanych </w:t>
      </w:r>
      <w:r>
        <w:br/>
      </w:r>
      <w:r w:rsidRPr="0088037C">
        <w:t xml:space="preserve">w Rozdziale I  Specyfikacji Warunków Zamówienia </w:t>
      </w:r>
    </w:p>
    <w:p w14:paraId="5A94D388" w14:textId="77777777" w:rsidR="009C65DF" w:rsidRDefault="009C65DF" w:rsidP="007436C1">
      <w:pPr>
        <w:jc w:val="right"/>
      </w:pPr>
    </w:p>
    <w:p w14:paraId="5BE3C952" w14:textId="77777777" w:rsidR="0088037C" w:rsidRDefault="0088037C" w:rsidP="0088037C">
      <w:pPr>
        <w:jc w:val="center"/>
      </w:pPr>
    </w:p>
    <w:p w14:paraId="7917DEBD" w14:textId="77777777" w:rsidR="0088037C" w:rsidRDefault="0088037C" w:rsidP="0088037C">
      <w:pPr>
        <w:jc w:val="center"/>
      </w:pPr>
    </w:p>
    <w:p w14:paraId="3B101AA0" w14:textId="4CAF3883" w:rsidR="009A2CC7" w:rsidRDefault="009A2CC7" w:rsidP="0088037C">
      <w:pPr>
        <w:jc w:val="center"/>
      </w:pPr>
      <w:r>
        <w:t>Wszyscy Wykonawcy</w:t>
      </w:r>
    </w:p>
    <w:p w14:paraId="1B2983F9" w14:textId="22B8AF3E" w:rsidR="009A2CC7" w:rsidRDefault="009A2CC7"/>
    <w:p w14:paraId="65F0AAEA" w14:textId="77777777" w:rsidR="0088037C" w:rsidRDefault="0088037C"/>
    <w:p w14:paraId="22279173" w14:textId="5CD9B96F" w:rsidR="009A2CC7" w:rsidRDefault="009A2CC7">
      <w:r>
        <w:t xml:space="preserve">Dotyczy: </w:t>
      </w:r>
      <w:r w:rsidRPr="009A2CC7">
        <w:t>Chojnicka Grupa Zakupowa. Dostawa energii elektrycznej w okresie od 01.07.2022r. do 31.12.2023r.</w:t>
      </w:r>
      <w:r>
        <w:t>;o</w:t>
      </w:r>
      <w:r w:rsidRPr="009A2CC7">
        <w:t>znaczenie sprawy: ZP.272.3.2022</w:t>
      </w:r>
    </w:p>
    <w:p w14:paraId="505D61B0" w14:textId="29796C97" w:rsidR="009A2CC7" w:rsidRDefault="009A2CC7"/>
    <w:p w14:paraId="3247938E" w14:textId="7EF478FC" w:rsidR="009A2CC7" w:rsidRPr="009A2CC7" w:rsidRDefault="009A2CC7">
      <w:pPr>
        <w:rPr>
          <w:b/>
          <w:bCs/>
        </w:rPr>
      </w:pPr>
    </w:p>
    <w:p w14:paraId="03D269EA" w14:textId="04D73678" w:rsidR="009A2CC7" w:rsidRPr="009A2CC7" w:rsidRDefault="009A2CC7" w:rsidP="009A2CC7">
      <w:pPr>
        <w:jc w:val="center"/>
        <w:rPr>
          <w:b/>
          <w:bCs/>
        </w:rPr>
      </w:pPr>
      <w:r w:rsidRPr="009A2CC7">
        <w:rPr>
          <w:b/>
          <w:bCs/>
        </w:rPr>
        <w:t>ZAWIADOMIENIE O ZMIANIE</w:t>
      </w:r>
    </w:p>
    <w:p w14:paraId="7DB2E88C" w14:textId="6115A4D3" w:rsidR="009A2CC7" w:rsidRPr="009A2CC7" w:rsidRDefault="009A2CC7" w:rsidP="009A2CC7">
      <w:pPr>
        <w:jc w:val="center"/>
        <w:rPr>
          <w:b/>
          <w:bCs/>
        </w:rPr>
      </w:pPr>
      <w:r w:rsidRPr="009A2CC7">
        <w:rPr>
          <w:b/>
          <w:bCs/>
        </w:rPr>
        <w:t>SPECYFIKACJI WARUNKÓW ZAMÓWIENIA</w:t>
      </w:r>
      <w:r w:rsidR="00554F4A">
        <w:rPr>
          <w:b/>
          <w:bCs/>
        </w:rPr>
        <w:t xml:space="preserve"> /SWZ/</w:t>
      </w:r>
    </w:p>
    <w:p w14:paraId="63AAD9FD" w14:textId="6894B529" w:rsidR="009A2CC7" w:rsidRPr="009A2CC7" w:rsidRDefault="00FF7270" w:rsidP="009A2CC7">
      <w:pPr>
        <w:jc w:val="center"/>
        <w:rPr>
          <w:b/>
          <w:bCs/>
        </w:rPr>
      </w:pPr>
      <w:r>
        <w:rPr>
          <w:b/>
          <w:bCs/>
        </w:rPr>
        <w:t>o</w:t>
      </w:r>
      <w:r w:rsidR="009A2CC7" w:rsidRPr="009A2CC7">
        <w:rPr>
          <w:b/>
          <w:bCs/>
        </w:rPr>
        <w:t>raz</w:t>
      </w:r>
    </w:p>
    <w:p w14:paraId="496258D3" w14:textId="07F40850" w:rsidR="009A2CC7" w:rsidRPr="009A2CC7" w:rsidRDefault="009A2CC7" w:rsidP="009A2CC7">
      <w:pPr>
        <w:jc w:val="center"/>
        <w:rPr>
          <w:b/>
          <w:bCs/>
        </w:rPr>
      </w:pPr>
      <w:r w:rsidRPr="009A2CC7">
        <w:rPr>
          <w:b/>
          <w:bCs/>
        </w:rPr>
        <w:t>OGŁOSZENIA O ZAMÓWIENIU</w:t>
      </w:r>
    </w:p>
    <w:p w14:paraId="37EF9192" w14:textId="7CB063D4" w:rsidR="009A2CC7" w:rsidRDefault="009A2CC7"/>
    <w:p w14:paraId="15F2BB66" w14:textId="1C0BE371" w:rsidR="009A2CC7" w:rsidRDefault="009A2CC7"/>
    <w:p w14:paraId="0F21200C" w14:textId="4ECA4DED" w:rsidR="009A2CC7" w:rsidRDefault="009A2CC7">
      <w:r>
        <w:t xml:space="preserve">Niniejszym Zamawiający informuje, że dokonał zmiany treści </w:t>
      </w:r>
      <w:r w:rsidR="00957C63" w:rsidRPr="009A2CC7">
        <w:t>Specyfikacji Warunków Zamówienia</w:t>
      </w:r>
      <w:r w:rsidR="00957C63">
        <w:t>, a w konsekwencji treści Ogłoszenia o zamówieniu</w:t>
      </w:r>
    </w:p>
    <w:p w14:paraId="1D5A5D29" w14:textId="2EB4A5F1" w:rsidR="00957C63" w:rsidRDefault="00957C63"/>
    <w:p w14:paraId="634EE34B" w14:textId="2114F72C" w:rsidR="00957C63" w:rsidRPr="0088037C" w:rsidRDefault="00957C63" w:rsidP="009D2067">
      <w:pPr>
        <w:pStyle w:val="Akapitzlist"/>
        <w:numPr>
          <w:ilvl w:val="0"/>
          <w:numId w:val="2"/>
        </w:numPr>
        <w:ind w:left="1134" w:hanging="1134"/>
        <w:rPr>
          <w:b/>
          <w:bCs/>
        </w:rPr>
      </w:pPr>
      <w:r w:rsidRPr="0088037C">
        <w:rPr>
          <w:b/>
          <w:bCs/>
        </w:rPr>
        <w:t>Zmianie ulega treść Rozdziału III pkt 2, który otrzymuje brzmienie:</w:t>
      </w:r>
    </w:p>
    <w:p w14:paraId="3C5B263B" w14:textId="1054F94C" w:rsidR="00957C63" w:rsidRDefault="00957C63" w:rsidP="00957C63">
      <w:pPr>
        <w:pStyle w:val="Akapitzlist"/>
        <w:ind w:left="1080"/>
      </w:pPr>
    </w:p>
    <w:p w14:paraId="3267B257" w14:textId="0F783CA7" w:rsidR="00957C63" w:rsidRPr="00957C63" w:rsidRDefault="007D439E" w:rsidP="00957C63">
      <w:pPr>
        <w:tabs>
          <w:tab w:val="left" w:pos="284"/>
        </w:tabs>
        <w:suppressAutoHyphens/>
        <w:spacing w:line="280" w:lineRule="atLeast"/>
        <w:ind w:left="360"/>
        <w:jc w:val="both"/>
        <w:rPr>
          <w:rFonts w:ascii="Calibri" w:eastAsia="Calibri" w:hAnsi="Calibri" w:cs="Calibri"/>
          <w:b/>
          <w:bCs/>
          <w:i/>
          <w:iCs/>
          <w:sz w:val="20"/>
          <w:szCs w:val="20"/>
          <w:lang w:eastAsia="zh-CN"/>
        </w:rPr>
      </w:pPr>
      <w:r w:rsidRPr="007D439E">
        <w:rPr>
          <w:rFonts w:ascii="Calibri" w:eastAsia="Calibri" w:hAnsi="Calibri" w:cs="Calibri"/>
          <w:bCs/>
          <w:i/>
          <w:iCs/>
          <w:sz w:val="20"/>
          <w:szCs w:val="20"/>
          <w:lang w:eastAsia="zh-CN"/>
        </w:rPr>
        <w:t xml:space="preserve">2. </w:t>
      </w:r>
      <w:r w:rsidR="00957C63" w:rsidRPr="00957C63">
        <w:rPr>
          <w:rFonts w:ascii="Calibri" w:eastAsia="Calibri" w:hAnsi="Calibri" w:cs="Calibri"/>
          <w:bCs/>
          <w:i/>
          <w:iCs/>
          <w:sz w:val="20"/>
          <w:szCs w:val="20"/>
          <w:lang w:eastAsia="zh-CN"/>
        </w:rPr>
        <w:t xml:space="preserve">Przedmiotem zamówienia jest dostawa energii elektrycznej w okresie od dnia </w:t>
      </w:r>
      <w:r w:rsidR="00957C63" w:rsidRPr="00957C63">
        <w:rPr>
          <w:rFonts w:ascii="Calibri" w:eastAsia="Calibri" w:hAnsi="Calibri" w:cs="Calibri"/>
          <w:b/>
          <w:bCs/>
          <w:i/>
          <w:iCs/>
          <w:sz w:val="20"/>
          <w:szCs w:val="20"/>
          <w:lang w:eastAsia="zh-CN"/>
        </w:rPr>
        <w:t>01.07.2022r do 31.12.2023r.</w:t>
      </w:r>
      <w:r w:rsidR="00957C63" w:rsidRPr="00957C63">
        <w:rPr>
          <w:rFonts w:ascii="Calibri" w:eastAsia="Calibri" w:hAnsi="Calibri" w:cs="Calibri"/>
          <w:bCs/>
          <w:i/>
          <w:iCs/>
          <w:sz w:val="20"/>
          <w:szCs w:val="20"/>
          <w:lang w:eastAsia="zh-CN"/>
        </w:rPr>
        <w:t xml:space="preserve"> do </w:t>
      </w:r>
      <w:r w:rsidR="00957C63" w:rsidRPr="00957C63">
        <w:rPr>
          <w:rFonts w:ascii="Calibri" w:eastAsia="Calibri" w:hAnsi="Calibri" w:cs="Calibri"/>
          <w:b/>
          <w:i/>
          <w:iCs/>
          <w:color w:val="FF0000"/>
          <w:sz w:val="24"/>
          <w:szCs w:val="24"/>
          <w:lang w:eastAsia="zh-CN"/>
        </w:rPr>
        <w:t>1 117</w:t>
      </w:r>
      <w:r w:rsidR="00957C63" w:rsidRPr="00957C63">
        <w:rPr>
          <w:rFonts w:ascii="Calibri" w:eastAsia="Calibri" w:hAnsi="Calibri" w:cs="Calibri"/>
          <w:bCs/>
          <w:i/>
          <w:iCs/>
          <w:color w:val="000000"/>
          <w:sz w:val="20"/>
          <w:szCs w:val="20"/>
          <w:lang w:eastAsia="zh-CN"/>
        </w:rPr>
        <w:t xml:space="preserve"> </w:t>
      </w:r>
      <w:r w:rsidR="00957C63" w:rsidRPr="00957C63">
        <w:rPr>
          <w:rFonts w:ascii="Calibri" w:eastAsia="Calibri" w:hAnsi="Calibri" w:cs="Calibri"/>
          <w:bCs/>
          <w:i/>
          <w:iCs/>
          <w:sz w:val="20"/>
          <w:szCs w:val="20"/>
          <w:lang w:eastAsia="zh-CN"/>
        </w:rPr>
        <w:t xml:space="preserve">punktów poboru (PPE) o łącznym szacowanym wolumenie(+/-10%) - zamówienie podstawowe </w:t>
      </w:r>
    </w:p>
    <w:p w14:paraId="4F3187FA" w14:textId="35D2FF20" w:rsidR="00957C63" w:rsidRPr="00957C63" w:rsidRDefault="00957C63" w:rsidP="00957C63">
      <w:pPr>
        <w:tabs>
          <w:tab w:val="left" w:pos="284"/>
        </w:tabs>
        <w:suppressAutoHyphens/>
        <w:spacing w:line="280" w:lineRule="atLeast"/>
        <w:ind w:left="360"/>
        <w:jc w:val="both"/>
        <w:rPr>
          <w:rFonts w:ascii="Calibri" w:eastAsia="Calibri" w:hAnsi="Calibri" w:cs="Calibri"/>
          <w:b/>
          <w:bCs/>
          <w:i/>
          <w:iCs/>
          <w:color w:val="FF0000"/>
          <w:sz w:val="20"/>
          <w:szCs w:val="20"/>
          <w:lang w:eastAsia="zh-CN"/>
        </w:rPr>
      </w:pPr>
      <w:r w:rsidRPr="00957C63">
        <w:rPr>
          <w:rFonts w:ascii="Calibri" w:eastAsia="Calibri" w:hAnsi="Calibri" w:cs="Calibri"/>
          <w:b/>
          <w:i/>
          <w:iCs/>
          <w:sz w:val="20"/>
          <w:szCs w:val="20"/>
          <w:lang w:eastAsia="zh-CN"/>
        </w:rPr>
        <w:t>17 814,44 MWh</w:t>
      </w:r>
      <w:r w:rsidRPr="00957C63">
        <w:rPr>
          <w:rFonts w:ascii="Calibri" w:eastAsia="Calibri" w:hAnsi="Calibri" w:cs="Calibri"/>
          <w:bCs/>
          <w:i/>
          <w:iCs/>
          <w:sz w:val="20"/>
          <w:szCs w:val="20"/>
          <w:lang w:eastAsia="zh-CN"/>
        </w:rPr>
        <w:t>, z tego</w:t>
      </w:r>
    </w:p>
    <w:p w14:paraId="3A3A5507" w14:textId="77777777" w:rsidR="00957C63" w:rsidRPr="00957C63" w:rsidRDefault="00957C63" w:rsidP="00957C63">
      <w:pPr>
        <w:numPr>
          <w:ilvl w:val="1"/>
          <w:numId w:val="4"/>
        </w:numPr>
        <w:tabs>
          <w:tab w:val="left" w:pos="284"/>
          <w:tab w:val="left" w:pos="567"/>
        </w:tabs>
        <w:suppressAutoHyphens/>
        <w:spacing w:line="271" w:lineRule="auto"/>
        <w:ind w:left="567" w:hanging="283"/>
        <w:jc w:val="both"/>
        <w:rPr>
          <w:rFonts w:ascii="Calibri" w:eastAsia="Calibri" w:hAnsi="Calibri" w:cs="Calibri"/>
          <w:bCs/>
          <w:i/>
          <w:iCs/>
          <w:sz w:val="20"/>
          <w:szCs w:val="20"/>
          <w:lang w:eastAsia="zh-CN"/>
        </w:rPr>
      </w:pPr>
      <w:r w:rsidRPr="00957C63">
        <w:rPr>
          <w:rFonts w:ascii="Calibri" w:eastAsia="Calibri" w:hAnsi="Calibri" w:cs="Calibri"/>
          <w:bCs/>
          <w:i/>
          <w:iCs/>
          <w:sz w:val="20"/>
          <w:szCs w:val="20"/>
          <w:lang w:eastAsia="zh-CN"/>
        </w:rPr>
        <w:t>Do lokali i obiektów –  grupy taryfowe C, G, R (Część 1 zamówienia) – 7 614,46</w:t>
      </w:r>
      <w:r w:rsidRPr="00957C63">
        <w:rPr>
          <w:rFonts w:ascii="Calibri" w:eastAsia="Calibri" w:hAnsi="Calibri" w:cs="Calibri"/>
          <w:b/>
          <w:bCs/>
          <w:i/>
          <w:iCs/>
          <w:sz w:val="20"/>
          <w:szCs w:val="20"/>
          <w:lang w:eastAsia="zh-CN"/>
        </w:rPr>
        <w:t xml:space="preserve"> </w:t>
      </w:r>
      <w:r w:rsidRPr="00957C63">
        <w:rPr>
          <w:rFonts w:ascii="Calibri" w:eastAsia="Calibri" w:hAnsi="Calibri" w:cs="Calibri"/>
          <w:bCs/>
          <w:i/>
          <w:iCs/>
          <w:sz w:val="20"/>
          <w:szCs w:val="20"/>
          <w:lang w:eastAsia="zh-CN"/>
        </w:rPr>
        <w:t xml:space="preserve">MWh (zamówienie podstawowe) – szczegółowy wykaz PPE stanowi </w:t>
      </w:r>
      <w:r w:rsidRPr="00957C63">
        <w:rPr>
          <w:rFonts w:ascii="Calibri" w:eastAsia="Calibri" w:hAnsi="Calibri" w:cs="Calibri"/>
          <w:b/>
          <w:i/>
          <w:iCs/>
          <w:sz w:val="20"/>
          <w:szCs w:val="20"/>
          <w:lang w:eastAsia="zh-CN"/>
        </w:rPr>
        <w:t>Załącznik 1a</w:t>
      </w:r>
      <w:r w:rsidRPr="00957C63">
        <w:rPr>
          <w:rFonts w:ascii="Calibri" w:eastAsia="Calibri" w:hAnsi="Calibri" w:cs="Calibri"/>
          <w:bCs/>
          <w:i/>
          <w:iCs/>
          <w:sz w:val="20"/>
          <w:szCs w:val="20"/>
          <w:lang w:eastAsia="zh-CN"/>
        </w:rPr>
        <w:t xml:space="preserve"> do SWZ </w:t>
      </w:r>
    </w:p>
    <w:p w14:paraId="363A3C47" w14:textId="77777777" w:rsidR="00957C63" w:rsidRPr="007D439E" w:rsidRDefault="00957C63" w:rsidP="00957C63">
      <w:pPr>
        <w:numPr>
          <w:ilvl w:val="1"/>
          <w:numId w:val="4"/>
        </w:numPr>
        <w:tabs>
          <w:tab w:val="left" w:pos="284"/>
          <w:tab w:val="left" w:pos="567"/>
        </w:tabs>
        <w:suppressAutoHyphens/>
        <w:spacing w:line="271" w:lineRule="auto"/>
        <w:ind w:left="567" w:hanging="283"/>
        <w:jc w:val="both"/>
        <w:rPr>
          <w:rFonts w:ascii="Calibri" w:eastAsia="Calibri" w:hAnsi="Calibri" w:cs="Calibri"/>
          <w:bCs/>
          <w:i/>
          <w:iCs/>
          <w:sz w:val="20"/>
          <w:szCs w:val="20"/>
          <w:lang w:eastAsia="zh-CN"/>
        </w:rPr>
      </w:pPr>
      <w:r w:rsidRPr="00957C63">
        <w:rPr>
          <w:rFonts w:ascii="Calibri" w:eastAsia="Calibri" w:hAnsi="Calibri" w:cs="Calibri"/>
          <w:bCs/>
          <w:i/>
          <w:iCs/>
          <w:sz w:val="20"/>
          <w:szCs w:val="20"/>
          <w:lang w:eastAsia="zh-CN"/>
        </w:rPr>
        <w:t xml:space="preserve">Do lokali i obiektów – grupa taryfowa B (Część 2 zamówienia) – 2 756,32 MWh – szczegółowy wykaz PPE stanowi </w:t>
      </w:r>
      <w:r w:rsidRPr="00957C63">
        <w:rPr>
          <w:rFonts w:ascii="Calibri" w:eastAsia="Calibri" w:hAnsi="Calibri" w:cs="Calibri"/>
          <w:b/>
          <w:i/>
          <w:iCs/>
          <w:sz w:val="20"/>
          <w:szCs w:val="20"/>
          <w:lang w:eastAsia="zh-CN"/>
        </w:rPr>
        <w:t>Załącznik 1b</w:t>
      </w:r>
      <w:r w:rsidRPr="00957C63">
        <w:rPr>
          <w:rFonts w:ascii="Calibri" w:eastAsia="Calibri" w:hAnsi="Calibri" w:cs="Calibri"/>
          <w:bCs/>
          <w:i/>
          <w:iCs/>
          <w:sz w:val="20"/>
          <w:szCs w:val="20"/>
          <w:lang w:eastAsia="zh-CN"/>
        </w:rPr>
        <w:t xml:space="preserve"> do SWZ</w:t>
      </w:r>
    </w:p>
    <w:p w14:paraId="26ECA424" w14:textId="12BB83D3" w:rsidR="00957C63" w:rsidRPr="007D439E" w:rsidRDefault="00957C63" w:rsidP="00957C63">
      <w:pPr>
        <w:numPr>
          <w:ilvl w:val="1"/>
          <w:numId w:val="4"/>
        </w:numPr>
        <w:tabs>
          <w:tab w:val="left" w:pos="284"/>
          <w:tab w:val="left" w:pos="567"/>
        </w:tabs>
        <w:suppressAutoHyphens/>
        <w:spacing w:line="271" w:lineRule="auto"/>
        <w:ind w:left="567" w:hanging="283"/>
        <w:jc w:val="both"/>
        <w:rPr>
          <w:rFonts w:ascii="Calibri" w:eastAsia="Calibri" w:hAnsi="Calibri" w:cs="Calibri"/>
          <w:bCs/>
          <w:i/>
          <w:iCs/>
          <w:sz w:val="20"/>
          <w:szCs w:val="20"/>
          <w:lang w:eastAsia="zh-CN"/>
        </w:rPr>
      </w:pPr>
      <w:r w:rsidRPr="007D439E">
        <w:rPr>
          <w:rFonts w:ascii="Calibri" w:eastAsia="Calibri" w:hAnsi="Calibri" w:cs="Calibri"/>
          <w:bCs/>
          <w:i/>
          <w:iCs/>
          <w:sz w:val="20"/>
          <w:szCs w:val="20"/>
          <w:lang w:eastAsia="zh-CN"/>
        </w:rPr>
        <w:t xml:space="preserve">Dla potrzeb oświetlenia drogowego (Część 3 zamówienia) – 7 443,66 MWh – szczegółowy wykaz PPE stanowi </w:t>
      </w:r>
      <w:r w:rsidRPr="007D439E">
        <w:rPr>
          <w:rFonts w:ascii="Calibri" w:eastAsia="Calibri" w:hAnsi="Calibri" w:cs="Calibri"/>
          <w:b/>
          <w:i/>
          <w:iCs/>
          <w:sz w:val="20"/>
          <w:szCs w:val="20"/>
          <w:lang w:eastAsia="zh-CN"/>
        </w:rPr>
        <w:t>Załącznik 1c</w:t>
      </w:r>
      <w:r w:rsidRPr="007D439E">
        <w:rPr>
          <w:rFonts w:ascii="Calibri" w:eastAsia="Calibri" w:hAnsi="Calibri" w:cs="Calibri"/>
          <w:bCs/>
          <w:i/>
          <w:iCs/>
          <w:sz w:val="20"/>
          <w:szCs w:val="20"/>
          <w:lang w:eastAsia="zh-CN"/>
        </w:rPr>
        <w:t xml:space="preserve"> SWZ.</w:t>
      </w:r>
    </w:p>
    <w:p w14:paraId="571A2F17" w14:textId="54F221B5" w:rsidR="00957C63" w:rsidRDefault="00957C63" w:rsidP="00957C63">
      <w:pPr>
        <w:tabs>
          <w:tab w:val="left" w:pos="284"/>
          <w:tab w:val="left" w:pos="567"/>
        </w:tabs>
        <w:suppressAutoHyphens/>
        <w:spacing w:line="271" w:lineRule="auto"/>
        <w:ind w:left="284"/>
        <w:jc w:val="both"/>
        <w:rPr>
          <w:rFonts w:ascii="Calibri" w:eastAsia="Calibri" w:hAnsi="Calibri" w:cs="Calibri"/>
          <w:bCs/>
          <w:sz w:val="20"/>
          <w:szCs w:val="20"/>
          <w:lang w:eastAsia="zh-CN"/>
        </w:rPr>
      </w:pPr>
    </w:p>
    <w:p w14:paraId="6803ED60" w14:textId="77777777" w:rsidR="009D2067" w:rsidRDefault="009D2067" w:rsidP="00957C63">
      <w:pPr>
        <w:tabs>
          <w:tab w:val="left" w:pos="284"/>
          <w:tab w:val="left" w:pos="567"/>
        </w:tabs>
        <w:suppressAutoHyphens/>
        <w:spacing w:line="271" w:lineRule="auto"/>
        <w:ind w:left="284"/>
        <w:jc w:val="both"/>
        <w:rPr>
          <w:rFonts w:ascii="Calibri" w:eastAsia="Calibri" w:hAnsi="Calibri" w:cs="Calibri"/>
          <w:bCs/>
          <w:sz w:val="20"/>
          <w:szCs w:val="20"/>
          <w:lang w:eastAsia="zh-CN"/>
        </w:rPr>
      </w:pPr>
    </w:p>
    <w:p w14:paraId="03606C7A" w14:textId="5E998E87" w:rsidR="00957C63" w:rsidRPr="0088037C" w:rsidRDefault="00957C63" w:rsidP="009D2067">
      <w:pPr>
        <w:pStyle w:val="Akapitzlist"/>
        <w:numPr>
          <w:ilvl w:val="0"/>
          <w:numId w:val="2"/>
        </w:numPr>
        <w:ind w:left="1134" w:hanging="1134"/>
        <w:rPr>
          <w:b/>
          <w:bCs/>
        </w:rPr>
      </w:pPr>
      <w:r w:rsidRPr="0088037C">
        <w:rPr>
          <w:b/>
          <w:bCs/>
        </w:rPr>
        <w:t>Zmianie ulega treść Rozdziału III</w:t>
      </w:r>
      <w:r w:rsidR="007D439E" w:rsidRPr="0088037C">
        <w:rPr>
          <w:b/>
          <w:bCs/>
        </w:rPr>
        <w:t>.3</w:t>
      </w:r>
      <w:r w:rsidRPr="0088037C">
        <w:rPr>
          <w:b/>
          <w:bCs/>
        </w:rPr>
        <w:t xml:space="preserve"> </w:t>
      </w:r>
      <w:r w:rsidR="007436C1" w:rsidRPr="0088037C">
        <w:rPr>
          <w:b/>
          <w:bCs/>
        </w:rPr>
        <w:t>Szczegółowy opis przedmiotu zamówienia - Część 3 zamówienia – Dostawa energii elektrycznej dla potrzeb oświetlenia drogowego</w:t>
      </w:r>
      <w:r w:rsidRPr="0088037C">
        <w:rPr>
          <w:b/>
          <w:bCs/>
        </w:rPr>
        <w:t xml:space="preserve"> </w:t>
      </w:r>
      <w:r w:rsidR="007436C1" w:rsidRPr="0088037C">
        <w:rPr>
          <w:b/>
          <w:bCs/>
        </w:rPr>
        <w:t xml:space="preserve">pkt 1, </w:t>
      </w:r>
      <w:r w:rsidRPr="0088037C">
        <w:rPr>
          <w:b/>
          <w:bCs/>
        </w:rPr>
        <w:t>który otrzymuje brzmienie:</w:t>
      </w:r>
    </w:p>
    <w:p w14:paraId="2697DB2C" w14:textId="77777777" w:rsidR="00957C63" w:rsidRPr="00957C63" w:rsidRDefault="00957C63" w:rsidP="00957C63">
      <w:pPr>
        <w:tabs>
          <w:tab w:val="left" w:pos="284"/>
          <w:tab w:val="left" w:pos="567"/>
        </w:tabs>
        <w:suppressAutoHyphens/>
        <w:spacing w:line="271" w:lineRule="auto"/>
        <w:ind w:left="284"/>
        <w:jc w:val="both"/>
        <w:rPr>
          <w:rFonts w:ascii="Calibri" w:eastAsia="Calibri" w:hAnsi="Calibri" w:cs="Calibri"/>
          <w:bCs/>
          <w:sz w:val="20"/>
          <w:szCs w:val="20"/>
          <w:lang w:eastAsia="zh-CN"/>
        </w:rPr>
      </w:pPr>
    </w:p>
    <w:p w14:paraId="41AF8F0D" w14:textId="4AC8ABEB" w:rsidR="00957C63" w:rsidRPr="007D439E" w:rsidRDefault="007D439E" w:rsidP="007D439E">
      <w:pPr>
        <w:pStyle w:val="Akapitzlist"/>
        <w:ind w:left="1080" w:hanging="796"/>
        <w:rPr>
          <w:rFonts w:eastAsia="Calibri" w:cs="Calibri"/>
          <w:i/>
          <w:iCs/>
          <w:sz w:val="20"/>
          <w:lang w:eastAsia="zh-CN"/>
        </w:rPr>
      </w:pPr>
      <w:r w:rsidRPr="007D439E">
        <w:rPr>
          <w:rFonts w:eastAsia="Calibri" w:cs="Calibri"/>
          <w:i/>
          <w:iCs/>
          <w:sz w:val="20"/>
          <w:lang w:eastAsia="zh-CN"/>
        </w:rPr>
        <w:t xml:space="preserve">1. Ilość układów pomiarowych rozliczających zużytą energię elektryczną </w:t>
      </w:r>
      <w:r w:rsidRPr="007D439E">
        <w:rPr>
          <w:rFonts w:eastAsia="Calibri" w:cs="Calibri"/>
          <w:b/>
          <w:i/>
          <w:iCs/>
          <w:color w:val="FF0000"/>
          <w:szCs w:val="24"/>
          <w:lang w:eastAsia="zh-CN"/>
        </w:rPr>
        <w:t>647</w:t>
      </w:r>
      <w:r w:rsidRPr="007D439E">
        <w:rPr>
          <w:rFonts w:eastAsia="Calibri" w:cs="Calibri"/>
          <w:b/>
          <w:i/>
          <w:iCs/>
          <w:color w:val="FF0000"/>
          <w:sz w:val="20"/>
          <w:lang w:eastAsia="zh-CN"/>
        </w:rPr>
        <w:t xml:space="preserve"> </w:t>
      </w:r>
      <w:r w:rsidRPr="007D439E">
        <w:rPr>
          <w:rFonts w:eastAsia="Calibri" w:cs="Calibri"/>
          <w:i/>
          <w:iCs/>
          <w:sz w:val="20"/>
          <w:lang w:eastAsia="zh-CN"/>
        </w:rPr>
        <w:t>szt.</w:t>
      </w:r>
    </w:p>
    <w:p w14:paraId="030AF82F" w14:textId="79B666CB" w:rsidR="007D439E" w:rsidRDefault="007D439E" w:rsidP="007D439E">
      <w:pPr>
        <w:pStyle w:val="Akapitzlist"/>
        <w:ind w:left="1080" w:hanging="796"/>
      </w:pPr>
    </w:p>
    <w:p w14:paraId="659281AA" w14:textId="77777777" w:rsidR="009D2067" w:rsidRDefault="009D2067" w:rsidP="007D439E">
      <w:pPr>
        <w:pStyle w:val="Akapitzlist"/>
        <w:ind w:left="1080" w:hanging="796"/>
      </w:pPr>
    </w:p>
    <w:p w14:paraId="60DAAD2C" w14:textId="35C7974D" w:rsidR="007D439E" w:rsidRPr="0088037C" w:rsidRDefault="007D439E" w:rsidP="009D2067">
      <w:pPr>
        <w:pStyle w:val="Akapitzlist"/>
        <w:numPr>
          <w:ilvl w:val="0"/>
          <w:numId w:val="2"/>
        </w:numPr>
        <w:ind w:left="1134" w:hanging="1134"/>
        <w:rPr>
          <w:b/>
          <w:bCs/>
        </w:rPr>
      </w:pPr>
      <w:r w:rsidRPr="0088037C">
        <w:rPr>
          <w:b/>
          <w:bCs/>
        </w:rPr>
        <w:t xml:space="preserve">Zmianie ulega treść Rozdziału III.3 </w:t>
      </w:r>
      <w:r w:rsidR="007436C1" w:rsidRPr="0088037C">
        <w:rPr>
          <w:b/>
          <w:bCs/>
        </w:rPr>
        <w:t xml:space="preserve">Szczegółowy opis przedmiotu zamówienia - Część 3 zamówienia – Dostawa energii elektrycznej dla potrzeb oświetlenia drogowego </w:t>
      </w:r>
      <w:r w:rsidRPr="0088037C">
        <w:rPr>
          <w:b/>
          <w:bCs/>
        </w:rPr>
        <w:t>pkt 6, który otrzymuje brzmienie:</w:t>
      </w:r>
    </w:p>
    <w:p w14:paraId="6683E688" w14:textId="23C9011B" w:rsidR="007436C1" w:rsidRDefault="007436C1" w:rsidP="007D439E">
      <w:pPr>
        <w:suppressAutoHyphens/>
        <w:spacing w:line="280" w:lineRule="atLeast"/>
        <w:ind w:left="360"/>
        <w:jc w:val="both"/>
        <w:rPr>
          <w:rFonts w:eastAsia="Calibri" w:cs="Calibri"/>
          <w:bCs/>
          <w:i/>
          <w:iCs/>
          <w:sz w:val="20"/>
          <w:lang w:eastAsia="zh-CN"/>
        </w:rPr>
      </w:pPr>
    </w:p>
    <w:p w14:paraId="713C39CE" w14:textId="2E827B3D" w:rsidR="0088037C" w:rsidRDefault="0088037C" w:rsidP="007D439E">
      <w:pPr>
        <w:suppressAutoHyphens/>
        <w:spacing w:line="280" w:lineRule="atLeast"/>
        <w:ind w:left="360"/>
        <w:jc w:val="both"/>
        <w:rPr>
          <w:rFonts w:eastAsia="Calibri" w:cs="Calibri"/>
          <w:bCs/>
          <w:i/>
          <w:iCs/>
          <w:sz w:val="20"/>
          <w:lang w:eastAsia="zh-CN"/>
        </w:rPr>
      </w:pPr>
    </w:p>
    <w:p w14:paraId="5EBEA01C" w14:textId="77777777" w:rsidR="0088037C" w:rsidRDefault="0088037C" w:rsidP="007D439E">
      <w:pPr>
        <w:suppressAutoHyphens/>
        <w:spacing w:line="280" w:lineRule="atLeast"/>
        <w:ind w:left="360"/>
        <w:jc w:val="both"/>
        <w:rPr>
          <w:rFonts w:eastAsia="Calibri" w:cs="Calibri"/>
          <w:bCs/>
          <w:i/>
          <w:iCs/>
          <w:sz w:val="20"/>
          <w:lang w:eastAsia="zh-CN"/>
        </w:rPr>
      </w:pPr>
    </w:p>
    <w:p w14:paraId="75852D61" w14:textId="6F81ED92" w:rsidR="007D439E" w:rsidRPr="007D439E" w:rsidRDefault="007D439E" w:rsidP="007D439E">
      <w:pPr>
        <w:suppressAutoHyphens/>
        <w:spacing w:line="280" w:lineRule="atLeast"/>
        <w:ind w:left="360"/>
        <w:jc w:val="both"/>
        <w:rPr>
          <w:rFonts w:eastAsia="Calibri" w:cs="Calibri"/>
          <w:i/>
          <w:iCs/>
          <w:sz w:val="20"/>
          <w:lang w:eastAsia="zh-CN"/>
        </w:rPr>
      </w:pPr>
      <w:r w:rsidRPr="007D439E">
        <w:rPr>
          <w:rFonts w:eastAsia="Calibri" w:cs="Calibri"/>
          <w:bCs/>
          <w:i/>
          <w:iCs/>
          <w:sz w:val="20"/>
          <w:lang w:eastAsia="zh-CN"/>
        </w:rPr>
        <w:t>6. Część 3 zamówienia</w:t>
      </w:r>
      <w:r w:rsidRPr="007D439E">
        <w:rPr>
          <w:rFonts w:eastAsia="Calibri" w:cs="Calibri"/>
          <w:i/>
          <w:iCs/>
          <w:sz w:val="20"/>
          <w:lang w:eastAsia="zh-CN"/>
        </w:rPr>
        <w:t xml:space="preserve"> – podsumowanie </w:t>
      </w:r>
    </w:p>
    <w:tbl>
      <w:tblPr>
        <w:tblW w:w="0" w:type="auto"/>
        <w:tblInd w:w="55" w:type="dxa"/>
        <w:tblCellMar>
          <w:left w:w="70" w:type="dxa"/>
          <w:right w:w="70" w:type="dxa"/>
        </w:tblCellMar>
        <w:tblLook w:val="04A0" w:firstRow="1" w:lastRow="0" w:firstColumn="1" w:lastColumn="0" w:noHBand="0" w:noVBand="1"/>
      </w:tblPr>
      <w:tblGrid>
        <w:gridCol w:w="402"/>
        <w:gridCol w:w="2301"/>
        <w:gridCol w:w="1461"/>
        <w:gridCol w:w="1460"/>
        <w:gridCol w:w="1200"/>
        <w:gridCol w:w="1081"/>
        <w:gridCol w:w="1097"/>
      </w:tblGrid>
      <w:tr w:rsidR="007D439E" w:rsidRPr="007436C1" w14:paraId="5AC12290" w14:textId="77777777" w:rsidTr="009D2067">
        <w:trPr>
          <w:trHeight w:val="397"/>
        </w:trPr>
        <w:tc>
          <w:tcPr>
            <w:tcW w:w="402" w:type="dxa"/>
            <w:vMerge w:val="restart"/>
            <w:tcBorders>
              <w:top w:val="single" w:sz="4" w:space="0" w:color="auto"/>
              <w:left w:val="single" w:sz="4" w:space="0" w:color="auto"/>
              <w:bottom w:val="single" w:sz="4" w:space="0" w:color="000000"/>
              <w:right w:val="single" w:sz="4" w:space="0" w:color="auto"/>
            </w:tcBorders>
            <w:shd w:val="clear" w:color="auto" w:fill="DBE5F1"/>
            <w:noWrap/>
            <w:vAlign w:val="center"/>
            <w:hideMark/>
          </w:tcPr>
          <w:p w14:paraId="33AB6CE7" w14:textId="77777777" w:rsidR="007D439E" w:rsidRPr="007436C1" w:rsidRDefault="007D439E" w:rsidP="0027380F">
            <w:pPr>
              <w:jc w:val="center"/>
              <w:rPr>
                <w:rFonts w:cs="Calibri"/>
                <w:sz w:val="16"/>
                <w:szCs w:val="16"/>
              </w:rPr>
            </w:pPr>
            <w:r w:rsidRPr="007436C1">
              <w:rPr>
                <w:rFonts w:cs="Calibri"/>
                <w:sz w:val="16"/>
                <w:szCs w:val="16"/>
              </w:rPr>
              <w:t>L.p.</w:t>
            </w:r>
          </w:p>
        </w:tc>
        <w:tc>
          <w:tcPr>
            <w:tcW w:w="2301" w:type="dxa"/>
            <w:vMerge w:val="restart"/>
            <w:tcBorders>
              <w:top w:val="single" w:sz="4" w:space="0" w:color="auto"/>
              <w:left w:val="single" w:sz="4" w:space="0" w:color="auto"/>
              <w:bottom w:val="single" w:sz="4" w:space="0" w:color="000000"/>
              <w:right w:val="single" w:sz="4" w:space="0" w:color="auto"/>
            </w:tcBorders>
            <w:shd w:val="clear" w:color="auto" w:fill="DBE5F1"/>
            <w:vAlign w:val="center"/>
            <w:hideMark/>
          </w:tcPr>
          <w:p w14:paraId="527DBBC6" w14:textId="77777777" w:rsidR="007D439E" w:rsidRPr="007436C1" w:rsidRDefault="007D439E" w:rsidP="0027380F">
            <w:pPr>
              <w:jc w:val="center"/>
              <w:rPr>
                <w:rFonts w:cs="Calibri"/>
                <w:sz w:val="16"/>
                <w:szCs w:val="16"/>
              </w:rPr>
            </w:pPr>
            <w:r w:rsidRPr="007436C1">
              <w:rPr>
                <w:rFonts w:cs="Calibri"/>
                <w:sz w:val="16"/>
                <w:szCs w:val="16"/>
              </w:rPr>
              <w:t>Zamawiający</w:t>
            </w:r>
          </w:p>
        </w:tc>
        <w:tc>
          <w:tcPr>
            <w:tcW w:w="4121" w:type="dxa"/>
            <w:gridSpan w:val="3"/>
            <w:tcBorders>
              <w:top w:val="single" w:sz="4" w:space="0" w:color="auto"/>
              <w:left w:val="nil"/>
              <w:bottom w:val="single" w:sz="4" w:space="0" w:color="auto"/>
              <w:right w:val="single" w:sz="4" w:space="0" w:color="000000"/>
            </w:tcBorders>
            <w:shd w:val="clear" w:color="auto" w:fill="DBE5F1"/>
            <w:vAlign w:val="center"/>
            <w:hideMark/>
          </w:tcPr>
          <w:p w14:paraId="3C997D50" w14:textId="77777777" w:rsidR="007D439E" w:rsidRPr="007436C1" w:rsidRDefault="007D439E" w:rsidP="0027380F">
            <w:pPr>
              <w:jc w:val="center"/>
              <w:rPr>
                <w:rFonts w:cs="Calibri"/>
                <w:sz w:val="16"/>
                <w:szCs w:val="16"/>
              </w:rPr>
            </w:pPr>
            <w:r w:rsidRPr="007436C1">
              <w:rPr>
                <w:rFonts w:cs="Calibri"/>
                <w:sz w:val="16"/>
                <w:szCs w:val="16"/>
              </w:rPr>
              <w:t>Szacowane zużycie energii elektrycznej</w:t>
            </w:r>
            <w:r w:rsidRPr="007436C1">
              <w:rPr>
                <w:rFonts w:cs="Calibri"/>
                <w:sz w:val="16"/>
                <w:szCs w:val="16"/>
              </w:rPr>
              <w:br/>
              <w:t>w okresie trwania umowy [MWh]</w:t>
            </w:r>
          </w:p>
        </w:tc>
        <w:tc>
          <w:tcPr>
            <w:tcW w:w="1081" w:type="dxa"/>
            <w:vMerge w:val="restart"/>
            <w:tcBorders>
              <w:top w:val="single" w:sz="4" w:space="0" w:color="auto"/>
              <w:left w:val="single" w:sz="4" w:space="0" w:color="auto"/>
              <w:bottom w:val="single" w:sz="4" w:space="0" w:color="000000"/>
              <w:right w:val="nil"/>
            </w:tcBorders>
            <w:shd w:val="clear" w:color="auto" w:fill="DBE5F1"/>
            <w:vAlign w:val="center"/>
            <w:hideMark/>
          </w:tcPr>
          <w:p w14:paraId="67692C7E" w14:textId="77777777" w:rsidR="007D439E" w:rsidRPr="007436C1" w:rsidRDefault="007D439E" w:rsidP="0027380F">
            <w:pPr>
              <w:jc w:val="center"/>
              <w:rPr>
                <w:rFonts w:cs="Calibri"/>
                <w:sz w:val="16"/>
                <w:szCs w:val="16"/>
              </w:rPr>
            </w:pPr>
            <w:r w:rsidRPr="007436C1">
              <w:rPr>
                <w:rFonts w:cs="Calibri"/>
                <w:sz w:val="16"/>
                <w:szCs w:val="16"/>
              </w:rPr>
              <w:t>Razem</w:t>
            </w:r>
          </w:p>
        </w:tc>
        <w:tc>
          <w:tcPr>
            <w:tcW w:w="1097" w:type="dxa"/>
            <w:vMerge w:val="restart"/>
            <w:tcBorders>
              <w:top w:val="single" w:sz="8" w:space="0" w:color="auto"/>
              <w:left w:val="single" w:sz="8" w:space="0" w:color="auto"/>
              <w:bottom w:val="single" w:sz="4" w:space="0" w:color="000000"/>
              <w:right w:val="single" w:sz="8" w:space="0" w:color="auto"/>
            </w:tcBorders>
            <w:shd w:val="clear" w:color="auto" w:fill="DBE5F1"/>
            <w:vAlign w:val="center"/>
            <w:hideMark/>
          </w:tcPr>
          <w:p w14:paraId="48DCD416" w14:textId="77777777" w:rsidR="007D439E" w:rsidRPr="007436C1" w:rsidRDefault="007D439E" w:rsidP="0027380F">
            <w:pPr>
              <w:jc w:val="center"/>
              <w:rPr>
                <w:rFonts w:cs="Calibri"/>
                <w:sz w:val="16"/>
                <w:szCs w:val="16"/>
              </w:rPr>
            </w:pPr>
            <w:r w:rsidRPr="007436C1">
              <w:rPr>
                <w:rFonts w:cs="Calibri"/>
                <w:sz w:val="16"/>
                <w:szCs w:val="16"/>
              </w:rPr>
              <w:t>Ilość</w:t>
            </w:r>
            <w:r w:rsidRPr="007436C1">
              <w:rPr>
                <w:rFonts w:cs="Calibri"/>
                <w:sz w:val="16"/>
                <w:szCs w:val="16"/>
              </w:rPr>
              <w:br/>
              <w:t>punktów</w:t>
            </w:r>
          </w:p>
        </w:tc>
      </w:tr>
      <w:tr w:rsidR="007D439E" w:rsidRPr="007436C1" w14:paraId="17ABB8FF" w14:textId="77777777" w:rsidTr="009D2067">
        <w:trPr>
          <w:trHeight w:val="397"/>
        </w:trPr>
        <w:tc>
          <w:tcPr>
            <w:tcW w:w="402" w:type="dxa"/>
            <w:vMerge/>
            <w:tcBorders>
              <w:top w:val="single" w:sz="4" w:space="0" w:color="auto"/>
              <w:left w:val="single" w:sz="4" w:space="0" w:color="auto"/>
              <w:bottom w:val="single" w:sz="4" w:space="0" w:color="000000"/>
              <w:right w:val="single" w:sz="4" w:space="0" w:color="auto"/>
            </w:tcBorders>
            <w:vAlign w:val="center"/>
            <w:hideMark/>
          </w:tcPr>
          <w:p w14:paraId="3E57CE99" w14:textId="77777777" w:rsidR="007D439E" w:rsidRPr="007436C1" w:rsidRDefault="007D439E" w:rsidP="0027380F">
            <w:pPr>
              <w:rPr>
                <w:rFonts w:cs="Calibri"/>
                <w:sz w:val="16"/>
                <w:szCs w:val="16"/>
              </w:rPr>
            </w:pPr>
          </w:p>
        </w:tc>
        <w:tc>
          <w:tcPr>
            <w:tcW w:w="2301" w:type="dxa"/>
            <w:vMerge/>
            <w:tcBorders>
              <w:top w:val="single" w:sz="4" w:space="0" w:color="auto"/>
              <w:left w:val="single" w:sz="4" w:space="0" w:color="auto"/>
              <w:bottom w:val="single" w:sz="4" w:space="0" w:color="000000"/>
              <w:right w:val="single" w:sz="4" w:space="0" w:color="auto"/>
            </w:tcBorders>
            <w:vAlign w:val="center"/>
            <w:hideMark/>
          </w:tcPr>
          <w:p w14:paraId="499D86B8" w14:textId="77777777" w:rsidR="007D439E" w:rsidRPr="007436C1" w:rsidRDefault="007D439E" w:rsidP="0027380F">
            <w:pPr>
              <w:rPr>
                <w:rFonts w:cs="Calibri"/>
                <w:sz w:val="16"/>
                <w:szCs w:val="16"/>
              </w:rPr>
            </w:pPr>
          </w:p>
        </w:tc>
        <w:tc>
          <w:tcPr>
            <w:tcW w:w="1461" w:type="dxa"/>
            <w:tcBorders>
              <w:top w:val="nil"/>
              <w:left w:val="nil"/>
              <w:bottom w:val="single" w:sz="4" w:space="0" w:color="auto"/>
              <w:right w:val="single" w:sz="4" w:space="0" w:color="auto"/>
            </w:tcBorders>
            <w:shd w:val="clear" w:color="auto" w:fill="DBE5F1"/>
            <w:vAlign w:val="center"/>
            <w:hideMark/>
          </w:tcPr>
          <w:p w14:paraId="3B461118" w14:textId="77777777" w:rsidR="007D439E" w:rsidRPr="007436C1" w:rsidRDefault="007D439E" w:rsidP="0027380F">
            <w:pPr>
              <w:jc w:val="center"/>
              <w:rPr>
                <w:rFonts w:cs="Calibri"/>
                <w:sz w:val="16"/>
                <w:szCs w:val="16"/>
              </w:rPr>
            </w:pPr>
            <w:r w:rsidRPr="007436C1">
              <w:rPr>
                <w:rFonts w:cs="Calibri"/>
                <w:sz w:val="16"/>
                <w:szCs w:val="16"/>
              </w:rPr>
              <w:t>Strefa I</w:t>
            </w:r>
          </w:p>
        </w:tc>
        <w:tc>
          <w:tcPr>
            <w:tcW w:w="1460" w:type="dxa"/>
            <w:tcBorders>
              <w:top w:val="nil"/>
              <w:left w:val="nil"/>
              <w:bottom w:val="single" w:sz="4" w:space="0" w:color="auto"/>
              <w:right w:val="single" w:sz="4" w:space="0" w:color="auto"/>
            </w:tcBorders>
            <w:shd w:val="clear" w:color="auto" w:fill="DBE5F1"/>
            <w:vAlign w:val="center"/>
            <w:hideMark/>
          </w:tcPr>
          <w:p w14:paraId="0A0A8DCE" w14:textId="77777777" w:rsidR="007D439E" w:rsidRPr="007436C1" w:rsidRDefault="007D439E" w:rsidP="0027380F">
            <w:pPr>
              <w:jc w:val="center"/>
              <w:rPr>
                <w:rFonts w:cs="Calibri"/>
                <w:sz w:val="16"/>
                <w:szCs w:val="16"/>
              </w:rPr>
            </w:pPr>
            <w:r w:rsidRPr="007436C1">
              <w:rPr>
                <w:rFonts w:cs="Calibri"/>
                <w:sz w:val="16"/>
                <w:szCs w:val="16"/>
              </w:rPr>
              <w:t>Strefa II</w:t>
            </w:r>
          </w:p>
        </w:tc>
        <w:tc>
          <w:tcPr>
            <w:tcW w:w="1200" w:type="dxa"/>
            <w:tcBorders>
              <w:top w:val="nil"/>
              <w:left w:val="nil"/>
              <w:bottom w:val="single" w:sz="4" w:space="0" w:color="auto"/>
              <w:right w:val="single" w:sz="4" w:space="0" w:color="auto"/>
            </w:tcBorders>
            <w:shd w:val="clear" w:color="auto" w:fill="DBE5F1"/>
            <w:vAlign w:val="center"/>
            <w:hideMark/>
          </w:tcPr>
          <w:p w14:paraId="51EEC145" w14:textId="77777777" w:rsidR="007D439E" w:rsidRPr="007436C1" w:rsidRDefault="007D439E" w:rsidP="0027380F">
            <w:pPr>
              <w:jc w:val="center"/>
              <w:rPr>
                <w:rFonts w:cs="Calibri"/>
                <w:sz w:val="16"/>
                <w:szCs w:val="16"/>
              </w:rPr>
            </w:pPr>
            <w:r w:rsidRPr="007436C1">
              <w:rPr>
                <w:rFonts w:cs="Calibri"/>
                <w:sz w:val="16"/>
                <w:szCs w:val="16"/>
              </w:rPr>
              <w:t>Strefa III</w:t>
            </w:r>
          </w:p>
        </w:tc>
        <w:tc>
          <w:tcPr>
            <w:tcW w:w="1081" w:type="dxa"/>
            <w:vMerge/>
            <w:tcBorders>
              <w:top w:val="single" w:sz="4" w:space="0" w:color="auto"/>
              <w:left w:val="single" w:sz="4" w:space="0" w:color="auto"/>
              <w:bottom w:val="single" w:sz="4" w:space="0" w:color="000000"/>
              <w:right w:val="nil"/>
            </w:tcBorders>
            <w:vAlign w:val="center"/>
            <w:hideMark/>
          </w:tcPr>
          <w:p w14:paraId="4F795F10" w14:textId="77777777" w:rsidR="007D439E" w:rsidRPr="007436C1" w:rsidRDefault="007D439E" w:rsidP="0027380F">
            <w:pPr>
              <w:rPr>
                <w:rFonts w:cs="Calibri"/>
                <w:sz w:val="16"/>
                <w:szCs w:val="16"/>
              </w:rPr>
            </w:pPr>
          </w:p>
        </w:tc>
        <w:tc>
          <w:tcPr>
            <w:tcW w:w="1097" w:type="dxa"/>
            <w:vMerge/>
            <w:tcBorders>
              <w:top w:val="single" w:sz="8" w:space="0" w:color="auto"/>
              <w:left w:val="single" w:sz="8" w:space="0" w:color="auto"/>
              <w:bottom w:val="single" w:sz="4" w:space="0" w:color="000000"/>
              <w:right w:val="single" w:sz="8" w:space="0" w:color="auto"/>
            </w:tcBorders>
            <w:vAlign w:val="center"/>
            <w:hideMark/>
          </w:tcPr>
          <w:p w14:paraId="7E40D156" w14:textId="77777777" w:rsidR="007D439E" w:rsidRPr="007436C1" w:rsidRDefault="007D439E" w:rsidP="0027380F">
            <w:pPr>
              <w:rPr>
                <w:rFonts w:cs="Calibri"/>
                <w:sz w:val="16"/>
                <w:szCs w:val="16"/>
              </w:rPr>
            </w:pPr>
          </w:p>
        </w:tc>
      </w:tr>
      <w:tr w:rsidR="007D439E" w:rsidRPr="007436C1" w14:paraId="1FC78C4D" w14:textId="77777777" w:rsidTr="009D2067">
        <w:trPr>
          <w:trHeight w:val="397"/>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31E4BFB7" w14:textId="77777777" w:rsidR="007D439E" w:rsidRPr="007436C1" w:rsidRDefault="007D439E" w:rsidP="0027380F">
            <w:pPr>
              <w:jc w:val="center"/>
              <w:rPr>
                <w:rFonts w:cs="Calibri"/>
                <w:sz w:val="16"/>
                <w:szCs w:val="16"/>
              </w:rPr>
            </w:pPr>
            <w:r w:rsidRPr="007436C1">
              <w:rPr>
                <w:rFonts w:cs="Calibri"/>
                <w:sz w:val="16"/>
                <w:szCs w:val="16"/>
              </w:rPr>
              <w:t>1.</w:t>
            </w:r>
          </w:p>
        </w:tc>
        <w:tc>
          <w:tcPr>
            <w:tcW w:w="2301" w:type="dxa"/>
            <w:tcBorders>
              <w:top w:val="nil"/>
              <w:left w:val="nil"/>
              <w:bottom w:val="single" w:sz="4" w:space="0" w:color="auto"/>
              <w:right w:val="single" w:sz="4" w:space="0" w:color="auto"/>
            </w:tcBorders>
            <w:shd w:val="clear" w:color="auto" w:fill="auto"/>
            <w:vAlign w:val="center"/>
            <w:hideMark/>
          </w:tcPr>
          <w:p w14:paraId="2F9BA859" w14:textId="77777777" w:rsidR="007D439E" w:rsidRPr="007436C1" w:rsidRDefault="007D439E" w:rsidP="0027380F">
            <w:pPr>
              <w:rPr>
                <w:rFonts w:cs="Calibri"/>
                <w:sz w:val="16"/>
                <w:szCs w:val="16"/>
              </w:rPr>
            </w:pPr>
            <w:r w:rsidRPr="007436C1">
              <w:rPr>
                <w:rFonts w:cs="Calibri"/>
                <w:sz w:val="16"/>
                <w:szCs w:val="16"/>
              </w:rPr>
              <w:t>Gmina Brusy</w:t>
            </w:r>
          </w:p>
        </w:tc>
        <w:tc>
          <w:tcPr>
            <w:tcW w:w="1461" w:type="dxa"/>
            <w:tcBorders>
              <w:top w:val="nil"/>
              <w:left w:val="nil"/>
              <w:bottom w:val="single" w:sz="4" w:space="0" w:color="auto"/>
              <w:right w:val="single" w:sz="4" w:space="0" w:color="auto"/>
            </w:tcBorders>
            <w:shd w:val="clear" w:color="auto" w:fill="auto"/>
            <w:vAlign w:val="center"/>
            <w:hideMark/>
          </w:tcPr>
          <w:p w14:paraId="01962225" w14:textId="77777777" w:rsidR="007D439E" w:rsidRPr="007436C1" w:rsidRDefault="007D439E" w:rsidP="0027380F">
            <w:pPr>
              <w:jc w:val="center"/>
              <w:rPr>
                <w:rFonts w:cs="Calibri"/>
                <w:sz w:val="16"/>
                <w:szCs w:val="16"/>
              </w:rPr>
            </w:pPr>
            <w:r w:rsidRPr="007436C1">
              <w:rPr>
                <w:rFonts w:cs="Calibri"/>
                <w:sz w:val="16"/>
                <w:szCs w:val="16"/>
              </w:rPr>
              <w:t>1 050,34</w:t>
            </w:r>
          </w:p>
        </w:tc>
        <w:tc>
          <w:tcPr>
            <w:tcW w:w="1460" w:type="dxa"/>
            <w:tcBorders>
              <w:top w:val="nil"/>
              <w:left w:val="nil"/>
              <w:bottom w:val="single" w:sz="4" w:space="0" w:color="auto"/>
              <w:right w:val="single" w:sz="4" w:space="0" w:color="auto"/>
            </w:tcBorders>
            <w:shd w:val="clear" w:color="auto" w:fill="auto"/>
            <w:vAlign w:val="center"/>
            <w:hideMark/>
          </w:tcPr>
          <w:p w14:paraId="77A8A7AD" w14:textId="77777777" w:rsidR="007D439E" w:rsidRPr="007436C1" w:rsidRDefault="007D439E" w:rsidP="0027380F">
            <w:pPr>
              <w:jc w:val="center"/>
              <w:rPr>
                <w:rFonts w:cs="Calibri"/>
                <w:sz w:val="16"/>
                <w:szCs w:val="16"/>
              </w:rPr>
            </w:pPr>
            <w:r w:rsidRPr="007436C1">
              <w:rPr>
                <w:rFonts w:cs="Calibri"/>
                <w:sz w:val="16"/>
                <w:szCs w:val="16"/>
              </w:rPr>
              <w:t>0,00</w:t>
            </w:r>
          </w:p>
        </w:tc>
        <w:tc>
          <w:tcPr>
            <w:tcW w:w="1200" w:type="dxa"/>
            <w:tcBorders>
              <w:top w:val="nil"/>
              <w:left w:val="nil"/>
              <w:bottom w:val="single" w:sz="4" w:space="0" w:color="auto"/>
              <w:right w:val="single" w:sz="4" w:space="0" w:color="auto"/>
            </w:tcBorders>
            <w:shd w:val="clear" w:color="auto" w:fill="auto"/>
            <w:vAlign w:val="center"/>
            <w:hideMark/>
          </w:tcPr>
          <w:p w14:paraId="1C358792" w14:textId="77777777" w:rsidR="007D439E" w:rsidRPr="007436C1" w:rsidRDefault="007D439E" w:rsidP="0027380F">
            <w:pPr>
              <w:jc w:val="center"/>
              <w:rPr>
                <w:rFonts w:cs="Calibri"/>
                <w:sz w:val="16"/>
                <w:szCs w:val="16"/>
              </w:rPr>
            </w:pPr>
            <w:r w:rsidRPr="007436C1">
              <w:rPr>
                <w:rFonts w:cs="Calibri"/>
                <w:sz w:val="16"/>
                <w:szCs w:val="16"/>
              </w:rPr>
              <w:t>0,00</w:t>
            </w:r>
          </w:p>
        </w:tc>
        <w:tc>
          <w:tcPr>
            <w:tcW w:w="1081" w:type="dxa"/>
            <w:tcBorders>
              <w:top w:val="nil"/>
              <w:left w:val="nil"/>
              <w:bottom w:val="single" w:sz="4" w:space="0" w:color="auto"/>
              <w:right w:val="nil"/>
            </w:tcBorders>
            <w:shd w:val="clear" w:color="auto" w:fill="auto"/>
            <w:vAlign w:val="center"/>
            <w:hideMark/>
          </w:tcPr>
          <w:p w14:paraId="4C9EA476" w14:textId="77777777" w:rsidR="007D439E" w:rsidRPr="007436C1" w:rsidRDefault="007D439E" w:rsidP="0027380F">
            <w:pPr>
              <w:jc w:val="center"/>
              <w:rPr>
                <w:rFonts w:cs="Calibri"/>
                <w:sz w:val="16"/>
                <w:szCs w:val="16"/>
              </w:rPr>
            </w:pPr>
            <w:r w:rsidRPr="007436C1">
              <w:rPr>
                <w:rFonts w:cs="Calibri"/>
                <w:sz w:val="16"/>
                <w:szCs w:val="16"/>
              </w:rPr>
              <w:t>1 050,34</w:t>
            </w: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7D181416" w14:textId="77777777" w:rsidR="007D439E" w:rsidRPr="007436C1" w:rsidRDefault="007D439E" w:rsidP="0027380F">
            <w:pPr>
              <w:jc w:val="center"/>
              <w:rPr>
                <w:rFonts w:cs="Calibri"/>
                <w:sz w:val="16"/>
                <w:szCs w:val="16"/>
              </w:rPr>
            </w:pPr>
            <w:r w:rsidRPr="007436C1">
              <w:rPr>
                <w:rFonts w:cs="Calibri"/>
                <w:sz w:val="16"/>
                <w:szCs w:val="16"/>
              </w:rPr>
              <w:t>107</w:t>
            </w:r>
          </w:p>
        </w:tc>
      </w:tr>
      <w:tr w:rsidR="007D439E" w:rsidRPr="007436C1" w14:paraId="53C9A361" w14:textId="77777777" w:rsidTr="009D2067">
        <w:trPr>
          <w:trHeight w:val="397"/>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455E26A3" w14:textId="77777777" w:rsidR="007D439E" w:rsidRPr="007436C1" w:rsidRDefault="007D439E" w:rsidP="0027380F">
            <w:pPr>
              <w:jc w:val="center"/>
              <w:rPr>
                <w:rFonts w:cs="Calibri"/>
                <w:sz w:val="16"/>
                <w:szCs w:val="16"/>
              </w:rPr>
            </w:pPr>
            <w:r w:rsidRPr="007436C1">
              <w:rPr>
                <w:rFonts w:cs="Calibri"/>
                <w:sz w:val="16"/>
                <w:szCs w:val="16"/>
              </w:rPr>
              <w:t>2.</w:t>
            </w:r>
          </w:p>
        </w:tc>
        <w:tc>
          <w:tcPr>
            <w:tcW w:w="2301" w:type="dxa"/>
            <w:tcBorders>
              <w:top w:val="nil"/>
              <w:left w:val="nil"/>
              <w:bottom w:val="single" w:sz="4" w:space="0" w:color="auto"/>
              <w:right w:val="single" w:sz="4" w:space="0" w:color="auto"/>
            </w:tcBorders>
            <w:shd w:val="clear" w:color="auto" w:fill="auto"/>
            <w:vAlign w:val="center"/>
            <w:hideMark/>
          </w:tcPr>
          <w:p w14:paraId="47FD0BB0" w14:textId="77777777" w:rsidR="007D439E" w:rsidRPr="007436C1" w:rsidRDefault="007D439E" w:rsidP="0027380F">
            <w:pPr>
              <w:rPr>
                <w:rFonts w:cs="Calibri"/>
                <w:sz w:val="16"/>
                <w:szCs w:val="16"/>
              </w:rPr>
            </w:pPr>
            <w:r w:rsidRPr="007436C1">
              <w:rPr>
                <w:rFonts w:cs="Calibri"/>
                <w:sz w:val="16"/>
                <w:szCs w:val="16"/>
              </w:rPr>
              <w:t>Gmina Miejska Chojnice</w:t>
            </w:r>
          </w:p>
        </w:tc>
        <w:tc>
          <w:tcPr>
            <w:tcW w:w="1461" w:type="dxa"/>
            <w:tcBorders>
              <w:top w:val="nil"/>
              <w:left w:val="nil"/>
              <w:bottom w:val="single" w:sz="4" w:space="0" w:color="auto"/>
              <w:right w:val="single" w:sz="4" w:space="0" w:color="auto"/>
            </w:tcBorders>
            <w:shd w:val="clear" w:color="auto" w:fill="auto"/>
            <w:vAlign w:val="center"/>
            <w:hideMark/>
          </w:tcPr>
          <w:p w14:paraId="51B63BEC" w14:textId="77777777" w:rsidR="007D439E" w:rsidRPr="007436C1" w:rsidRDefault="007D439E" w:rsidP="0027380F">
            <w:pPr>
              <w:jc w:val="center"/>
              <w:rPr>
                <w:rFonts w:cs="Calibri"/>
                <w:sz w:val="16"/>
                <w:szCs w:val="16"/>
              </w:rPr>
            </w:pPr>
            <w:r w:rsidRPr="007436C1">
              <w:rPr>
                <w:rFonts w:cs="Calibri"/>
                <w:sz w:val="16"/>
                <w:szCs w:val="16"/>
              </w:rPr>
              <w:t>2 881,27</w:t>
            </w:r>
          </w:p>
        </w:tc>
        <w:tc>
          <w:tcPr>
            <w:tcW w:w="1460" w:type="dxa"/>
            <w:tcBorders>
              <w:top w:val="nil"/>
              <w:left w:val="nil"/>
              <w:bottom w:val="single" w:sz="4" w:space="0" w:color="auto"/>
              <w:right w:val="single" w:sz="4" w:space="0" w:color="auto"/>
            </w:tcBorders>
            <w:shd w:val="clear" w:color="auto" w:fill="auto"/>
            <w:vAlign w:val="center"/>
            <w:hideMark/>
          </w:tcPr>
          <w:p w14:paraId="5725B688" w14:textId="77777777" w:rsidR="007D439E" w:rsidRPr="007436C1" w:rsidRDefault="007D439E" w:rsidP="0027380F">
            <w:pPr>
              <w:jc w:val="center"/>
              <w:rPr>
                <w:rFonts w:cs="Calibri"/>
                <w:sz w:val="16"/>
                <w:szCs w:val="16"/>
              </w:rPr>
            </w:pPr>
            <w:r w:rsidRPr="007436C1">
              <w:rPr>
                <w:rFonts w:cs="Calibri"/>
                <w:sz w:val="16"/>
                <w:szCs w:val="16"/>
              </w:rPr>
              <w:t>21,30</w:t>
            </w:r>
          </w:p>
        </w:tc>
        <w:tc>
          <w:tcPr>
            <w:tcW w:w="1200" w:type="dxa"/>
            <w:tcBorders>
              <w:top w:val="nil"/>
              <w:left w:val="nil"/>
              <w:bottom w:val="single" w:sz="4" w:space="0" w:color="auto"/>
              <w:right w:val="single" w:sz="4" w:space="0" w:color="auto"/>
            </w:tcBorders>
            <w:shd w:val="clear" w:color="auto" w:fill="auto"/>
            <w:vAlign w:val="center"/>
            <w:hideMark/>
          </w:tcPr>
          <w:p w14:paraId="5CD86B87" w14:textId="77777777" w:rsidR="007D439E" w:rsidRPr="007436C1" w:rsidRDefault="007D439E" w:rsidP="0027380F">
            <w:pPr>
              <w:jc w:val="center"/>
              <w:rPr>
                <w:rFonts w:cs="Calibri"/>
                <w:sz w:val="16"/>
                <w:szCs w:val="16"/>
              </w:rPr>
            </w:pPr>
            <w:r w:rsidRPr="007436C1">
              <w:rPr>
                <w:rFonts w:cs="Calibri"/>
                <w:sz w:val="16"/>
                <w:szCs w:val="16"/>
              </w:rPr>
              <w:t>0,00</w:t>
            </w:r>
          </w:p>
        </w:tc>
        <w:tc>
          <w:tcPr>
            <w:tcW w:w="1081" w:type="dxa"/>
            <w:tcBorders>
              <w:top w:val="nil"/>
              <w:left w:val="nil"/>
              <w:bottom w:val="single" w:sz="4" w:space="0" w:color="auto"/>
              <w:right w:val="nil"/>
            </w:tcBorders>
            <w:shd w:val="clear" w:color="auto" w:fill="auto"/>
            <w:vAlign w:val="center"/>
            <w:hideMark/>
          </w:tcPr>
          <w:p w14:paraId="75A1F800" w14:textId="77777777" w:rsidR="007D439E" w:rsidRPr="007436C1" w:rsidRDefault="007D439E" w:rsidP="0027380F">
            <w:pPr>
              <w:jc w:val="center"/>
              <w:rPr>
                <w:rFonts w:cs="Calibri"/>
                <w:sz w:val="16"/>
                <w:szCs w:val="16"/>
              </w:rPr>
            </w:pPr>
            <w:r w:rsidRPr="007436C1">
              <w:rPr>
                <w:rFonts w:cs="Calibri"/>
                <w:sz w:val="16"/>
                <w:szCs w:val="16"/>
              </w:rPr>
              <w:t>2 902,57</w:t>
            </w: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61B40FA9" w14:textId="77777777" w:rsidR="007D439E" w:rsidRPr="007436C1" w:rsidRDefault="007D439E" w:rsidP="0027380F">
            <w:pPr>
              <w:jc w:val="center"/>
              <w:rPr>
                <w:rFonts w:cs="Calibri"/>
                <w:sz w:val="16"/>
                <w:szCs w:val="16"/>
              </w:rPr>
            </w:pPr>
            <w:r w:rsidRPr="007436C1">
              <w:rPr>
                <w:rFonts w:cs="Calibri"/>
                <w:sz w:val="16"/>
                <w:szCs w:val="16"/>
              </w:rPr>
              <w:t>113</w:t>
            </w:r>
          </w:p>
        </w:tc>
      </w:tr>
      <w:tr w:rsidR="007D439E" w:rsidRPr="007436C1" w14:paraId="030078D2" w14:textId="77777777" w:rsidTr="009D2067">
        <w:trPr>
          <w:trHeight w:val="397"/>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14:paraId="798DAA09" w14:textId="77777777" w:rsidR="007D439E" w:rsidRPr="007436C1" w:rsidRDefault="007D439E" w:rsidP="0027380F">
            <w:pPr>
              <w:jc w:val="center"/>
              <w:rPr>
                <w:rFonts w:cs="Calibri"/>
                <w:sz w:val="16"/>
                <w:szCs w:val="16"/>
              </w:rPr>
            </w:pPr>
            <w:r w:rsidRPr="007436C1">
              <w:rPr>
                <w:rFonts w:cs="Calibri"/>
                <w:sz w:val="16"/>
                <w:szCs w:val="16"/>
              </w:rPr>
              <w:t>3.</w:t>
            </w:r>
          </w:p>
        </w:tc>
        <w:tc>
          <w:tcPr>
            <w:tcW w:w="2301" w:type="dxa"/>
            <w:tcBorders>
              <w:top w:val="nil"/>
              <w:left w:val="nil"/>
              <w:bottom w:val="single" w:sz="4" w:space="0" w:color="auto"/>
              <w:right w:val="single" w:sz="4" w:space="0" w:color="auto"/>
            </w:tcBorders>
            <w:shd w:val="clear" w:color="auto" w:fill="auto"/>
            <w:vAlign w:val="center"/>
            <w:hideMark/>
          </w:tcPr>
          <w:p w14:paraId="4AC10764" w14:textId="77777777" w:rsidR="007D439E" w:rsidRPr="007436C1" w:rsidRDefault="007D439E" w:rsidP="0027380F">
            <w:pPr>
              <w:rPr>
                <w:rFonts w:cs="Calibri"/>
                <w:sz w:val="16"/>
                <w:szCs w:val="16"/>
              </w:rPr>
            </w:pPr>
            <w:r w:rsidRPr="007436C1">
              <w:rPr>
                <w:rFonts w:cs="Calibri"/>
                <w:sz w:val="16"/>
                <w:szCs w:val="16"/>
              </w:rPr>
              <w:t>Gmina Chojnice</w:t>
            </w:r>
          </w:p>
        </w:tc>
        <w:tc>
          <w:tcPr>
            <w:tcW w:w="1461" w:type="dxa"/>
            <w:tcBorders>
              <w:top w:val="nil"/>
              <w:left w:val="nil"/>
              <w:bottom w:val="single" w:sz="4" w:space="0" w:color="auto"/>
              <w:right w:val="single" w:sz="4" w:space="0" w:color="auto"/>
            </w:tcBorders>
            <w:shd w:val="clear" w:color="auto" w:fill="auto"/>
            <w:vAlign w:val="center"/>
            <w:hideMark/>
          </w:tcPr>
          <w:p w14:paraId="6A45655C" w14:textId="77777777" w:rsidR="007D439E" w:rsidRPr="007436C1" w:rsidRDefault="007D439E" w:rsidP="0027380F">
            <w:pPr>
              <w:jc w:val="center"/>
              <w:rPr>
                <w:rFonts w:cs="Calibri"/>
                <w:sz w:val="16"/>
                <w:szCs w:val="16"/>
              </w:rPr>
            </w:pPr>
            <w:r w:rsidRPr="007436C1">
              <w:rPr>
                <w:rFonts w:cs="Calibri"/>
                <w:sz w:val="16"/>
                <w:szCs w:val="16"/>
              </w:rPr>
              <w:t>521,96</w:t>
            </w:r>
          </w:p>
        </w:tc>
        <w:tc>
          <w:tcPr>
            <w:tcW w:w="1460" w:type="dxa"/>
            <w:tcBorders>
              <w:top w:val="nil"/>
              <w:left w:val="nil"/>
              <w:bottom w:val="single" w:sz="4" w:space="0" w:color="auto"/>
              <w:right w:val="single" w:sz="4" w:space="0" w:color="auto"/>
            </w:tcBorders>
            <w:shd w:val="clear" w:color="auto" w:fill="auto"/>
            <w:vAlign w:val="center"/>
            <w:hideMark/>
          </w:tcPr>
          <w:p w14:paraId="034E790E" w14:textId="77777777" w:rsidR="007D439E" w:rsidRPr="007436C1" w:rsidRDefault="007D439E" w:rsidP="0027380F">
            <w:pPr>
              <w:jc w:val="center"/>
              <w:rPr>
                <w:rFonts w:cs="Calibri"/>
                <w:sz w:val="16"/>
                <w:szCs w:val="16"/>
              </w:rPr>
            </w:pPr>
            <w:r w:rsidRPr="007436C1">
              <w:rPr>
                <w:rFonts w:cs="Calibri"/>
                <w:sz w:val="16"/>
                <w:szCs w:val="16"/>
              </w:rPr>
              <w:t>758,05</w:t>
            </w:r>
          </w:p>
        </w:tc>
        <w:tc>
          <w:tcPr>
            <w:tcW w:w="1200" w:type="dxa"/>
            <w:tcBorders>
              <w:top w:val="nil"/>
              <w:left w:val="nil"/>
              <w:bottom w:val="single" w:sz="4" w:space="0" w:color="auto"/>
              <w:right w:val="single" w:sz="4" w:space="0" w:color="auto"/>
            </w:tcBorders>
            <w:shd w:val="clear" w:color="auto" w:fill="auto"/>
            <w:vAlign w:val="center"/>
            <w:hideMark/>
          </w:tcPr>
          <w:p w14:paraId="7486C083" w14:textId="77777777" w:rsidR="007D439E" w:rsidRPr="007436C1" w:rsidRDefault="007D439E" w:rsidP="0027380F">
            <w:pPr>
              <w:jc w:val="center"/>
              <w:rPr>
                <w:rFonts w:cs="Calibri"/>
                <w:sz w:val="16"/>
                <w:szCs w:val="16"/>
              </w:rPr>
            </w:pPr>
            <w:r w:rsidRPr="007436C1">
              <w:rPr>
                <w:rFonts w:cs="Calibri"/>
                <w:sz w:val="16"/>
                <w:szCs w:val="16"/>
              </w:rPr>
              <w:t>0,00</w:t>
            </w:r>
          </w:p>
        </w:tc>
        <w:tc>
          <w:tcPr>
            <w:tcW w:w="1081" w:type="dxa"/>
            <w:tcBorders>
              <w:top w:val="nil"/>
              <w:left w:val="nil"/>
              <w:bottom w:val="single" w:sz="4" w:space="0" w:color="auto"/>
              <w:right w:val="nil"/>
            </w:tcBorders>
            <w:shd w:val="clear" w:color="auto" w:fill="auto"/>
            <w:vAlign w:val="center"/>
            <w:hideMark/>
          </w:tcPr>
          <w:p w14:paraId="709444CB" w14:textId="77777777" w:rsidR="007D439E" w:rsidRPr="007436C1" w:rsidRDefault="007D439E" w:rsidP="0027380F">
            <w:pPr>
              <w:jc w:val="center"/>
              <w:rPr>
                <w:rFonts w:cs="Calibri"/>
                <w:sz w:val="16"/>
                <w:szCs w:val="16"/>
              </w:rPr>
            </w:pPr>
            <w:r w:rsidRPr="007436C1">
              <w:rPr>
                <w:rFonts w:cs="Calibri"/>
                <w:sz w:val="16"/>
                <w:szCs w:val="16"/>
              </w:rPr>
              <w:t>1 280,01</w:t>
            </w: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0320238D" w14:textId="77777777" w:rsidR="007D439E" w:rsidRPr="007436C1" w:rsidRDefault="007D439E" w:rsidP="0027380F">
            <w:pPr>
              <w:jc w:val="center"/>
              <w:rPr>
                <w:rFonts w:cs="Calibri"/>
                <w:color w:val="7030A0"/>
                <w:sz w:val="16"/>
                <w:szCs w:val="16"/>
              </w:rPr>
            </w:pPr>
            <w:r w:rsidRPr="007436C1">
              <w:rPr>
                <w:rFonts w:cs="Calibri"/>
                <w:color w:val="FF0000"/>
                <w:sz w:val="16"/>
                <w:szCs w:val="16"/>
              </w:rPr>
              <w:t>142</w:t>
            </w:r>
          </w:p>
        </w:tc>
      </w:tr>
      <w:tr w:rsidR="007D439E" w:rsidRPr="007436C1" w14:paraId="7EA869CF" w14:textId="77777777" w:rsidTr="009D2067">
        <w:trPr>
          <w:trHeight w:val="397"/>
        </w:trPr>
        <w:tc>
          <w:tcPr>
            <w:tcW w:w="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7C44B" w14:textId="77777777" w:rsidR="007D439E" w:rsidRPr="007436C1" w:rsidRDefault="007D439E" w:rsidP="0027380F">
            <w:pPr>
              <w:jc w:val="center"/>
              <w:rPr>
                <w:rFonts w:cs="Calibri"/>
                <w:sz w:val="16"/>
                <w:szCs w:val="16"/>
              </w:rPr>
            </w:pPr>
            <w:r w:rsidRPr="007436C1">
              <w:rPr>
                <w:rFonts w:cs="Calibri"/>
                <w:sz w:val="16"/>
                <w:szCs w:val="16"/>
              </w:rPr>
              <w:t>4.</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23DF8" w14:textId="77777777" w:rsidR="007D439E" w:rsidRPr="007436C1" w:rsidRDefault="007D439E" w:rsidP="0027380F">
            <w:pPr>
              <w:rPr>
                <w:rFonts w:cs="Calibri"/>
                <w:sz w:val="16"/>
                <w:szCs w:val="16"/>
              </w:rPr>
            </w:pPr>
            <w:r w:rsidRPr="007436C1">
              <w:rPr>
                <w:rFonts w:cs="Calibri"/>
                <w:sz w:val="16"/>
                <w:szCs w:val="16"/>
              </w:rPr>
              <w:t>Gmina Czersk</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0254B" w14:textId="77777777" w:rsidR="007D439E" w:rsidRPr="007436C1" w:rsidRDefault="007D439E" w:rsidP="0027380F">
            <w:pPr>
              <w:jc w:val="center"/>
              <w:rPr>
                <w:rFonts w:cs="Calibri"/>
                <w:sz w:val="16"/>
                <w:szCs w:val="16"/>
              </w:rPr>
            </w:pPr>
            <w:r w:rsidRPr="007436C1">
              <w:rPr>
                <w:rFonts w:cs="Calibri"/>
                <w:sz w:val="16"/>
                <w:szCs w:val="16"/>
              </w:rPr>
              <w:t>2 080,03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36BB1" w14:textId="77777777" w:rsidR="007D439E" w:rsidRPr="007436C1" w:rsidRDefault="007D439E" w:rsidP="0027380F">
            <w:pPr>
              <w:jc w:val="center"/>
              <w:rPr>
                <w:rFonts w:cs="Calibri"/>
                <w:sz w:val="16"/>
                <w:szCs w:val="16"/>
              </w:rPr>
            </w:pPr>
            <w:r w:rsidRPr="007436C1">
              <w:rPr>
                <w:rFonts w:cs="Calibri"/>
                <w:sz w:val="16"/>
                <w:szCs w:val="16"/>
              </w:rPr>
              <w:t>49,60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716AE" w14:textId="77777777" w:rsidR="007D439E" w:rsidRPr="007436C1" w:rsidRDefault="007D439E" w:rsidP="0027380F">
            <w:pPr>
              <w:jc w:val="center"/>
              <w:rPr>
                <w:rFonts w:cs="Calibri"/>
                <w:sz w:val="16"/>
                <w:szCs w:val="16"/>
              </w:rPr>
            </w:pPr>
            <w:r w:rsidRPr="007436C1">
              <w:rPr>
                <w:rFonts w:cs="Calibri"/>
                <w:sz w:val="16"/>
                <w:szCs w:val="16"/>
              </w:rPr>
              <w:t>0,00</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DDF97" w14:textId="77777777" w:rsidR="007D439E" w:rsidRPr="007436C1" w:rsidRDefault="007D439E" w:rsidP="0027380F">
            <w:pPr>
              <w:jc w:val="center"/>
              <w:rPr>
                <w:rFonts w:cs="Calibri"/>
                <w:sz w:val="16"/>
                <w:szCs w:val="16"/>
              </w:rPr>
            </w:pPr>
            <w:r w:rsidRPr="007436C1">
              <w:rPr>
                <w:rFonts w:cs="Calibri"/>
                <w:sz w:val="16"/>
                <w:szCs w:val="16"/>
              </w:rPr>
              <w:t>2 129,63</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7572E" w14:textId="77777777" w:rsidR="007D439E" w:rsidRPr="007436C1" w:rsidRDefault="007D439E" w:rsidP="0027380F">
            <w:pPr>
              <w:jc w:val="center"/>
              <w:rPr>
                <w:rFonts w:cs="Calibri"/>
                <w:sz w:val="16"/>
                <w:szCs w:val="16"/>
              </w:rPr>
            </w:pPr>
            <w:r w:rsidRPr="007436C1">
              <w:rPr>
                <w:rFonts w:cs="Calibri"/>
                <w:sz w:val="16"/>
                <w:szCs w:val="16"/>
              </w:rPr>
              <w:t>255</w:t>
            </w:r>
          </w:p>
        </w:tc>
      </w:tr>
      <w:tr w:rsidR="007D439E" w:rsidRPr="007436C1" w14:paraId="7733B7ED" w14:textId="77777777" w:rsidTr="009D2067">
        <w:trPr>
          <w:trHeight w:val="397"/>
        </w:trPr>
        <w:tc>
          <w:tcPr>
            <w:tcW w:w="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022D6" w14:textId="77777777" w:rsidR="007D439E" w:rsidRPr="007436C1" w:rsidRDefault="007D439E" w:rsidP="0027380F">
            <w:pPr>
              <w:jc w:val="center"/>
              <w:rPr>
                <w:rFonts w:cs="Calibri"/>
                <w:sz w:val="16"/>
                <w:szCs w:val="16"/>
              </w:rPr>
            </w:pPr>
            <w:r w:rsidRPr="007436C1">
              <w:rPr>
                <w:rFonts w:cs="Calibri"/>
                <w:sz w:val="16"/>
                <w:szCs w:val="16"/>
              </w:rPr>
              <w:t>5.</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5304E" w14:textId="77777777" w:rsidR="007D439E" w:rsidRPr="007436C1" w:rsidRDefault="007D439E" w:rsidP="0027380F">
            <w:pPr>
              <w:rPr>
                <w:rFonts w:cs="Calibri"/>
                <w:sz w:val="16"/>
                <w:szCs w:val="16"/>
              </w:rPr>
            </w:pPr>
            <w:r w:rsidRPr="007436C1">
              <w:rPr>
                <w:rFonts w:cs="Calibri"/>
                <w:sz w:val="16"/>
                <w:szCs w:val="16"/>
              </w:rPr>
              <w:t>Gmina Konarzyny</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ADB87" w14:textId="77777777" w:rsidR="007D439E" w:rsidRPr="007436C1" w:rsidRDefault="007D439E" w:rsidP="0027380F">
            <w:pPr>
              <w:jc w:val="center"/>
              <w:rPr>
                <w:rFonts w:cs="Calibri"/>
                <w:sz w:val="16"/>
                <w:szCs w:val="16"/>
              </w:rPr>
            </w:pPr>
            <w:r w:rsidRPr="007436C1">
              <w:rPr>
                <w:rFonts w:cs="Calibri"/>
                <w:sz w:val="16"/>
                <w:szCs w:val="16"/>
              </w:rPr>
              <w:t>35,80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4B6E9" w14:textId="77777777" w:rsidR="007D439E" w:rsidRPr="007436C1" w:rsidRDefault="007D439E" w:rsidP="0027380F">
            <w:pPr>
              <w:jc w:val="center"/>
              <w:rPr>
                <w:rFonts w:cs="Calibri"/>
                <w:sz w:val="16"/>
                <w:szCs w:val="16"/>
              </w:rPr>
            </w:pPr>
            <w:r w:rsidRPr="007436C1">
              <w:rPr>
                <w:rFonts w:cs="Calibri"/>
                <w:sz w:val="16"/>
                <w:szCs w:val="16"/>
              </w:rPr>
              <w:t>45,31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A05ED" w14:textId="77777777" w:rsidR="007D439E" w:rsidRPr="007436C1" w:rsidRDefault="007D439E" w:rsidP="0027380F">
            <w:pPr>
              <w:jc w:val="center"/>
              <w:rPr>
                <w:rFonts w:cs="Calibri"/>
                <w:sz w:val="16"/>
                <w:szCs w:val="16"/>
              </w:rPr>
            </w:pPr>
            <w:r w:rsidRPr="007436C1">
              <w:rPr>
                <w:rFonts w:cs="Calibri"/>
                <w:sz w:val="16"/>
                <w:szCs w:val="16"/>
              </w:rPr>
              <w:t>0,00</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2238C" w14:textId="77777777" w:rsidR="007D439E" w:rsidRPr="007436C1" w:rsidRDefault="007D439E" w:rsidP="0027380F">
            <w:pPr>
              <w:jc w:val="center"/>
              <w:rPr>
                <w:rFonts w:cs="Calibri"/>
                <w:sz w:val="16"/>
                <w:szCs w:val="16"/>
              </w:rPr>
            </w:pPr>
            <w:r w:rsidRPr="007436C1">
              <w:rPr>
                <w:rFonts w:cs="Calibri"/>
                <w:sz w:val="16"/>
                <w:szCs w:val="16"/>
              </w:rPr>
              <w:t>81,11</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A9284" w14:textId="77777777" w:rsidR="007D439E" w:rsidRPr="007436C1" w:rsidRDefault="007D439E" w:rsidP="0027380F">
            <w:pPr>
              <w:jc w:val="center"/>
              <w:rPr>
                <w:rFonts w:cs="Calibri"/>
                <w:sz w:val="16"/>
                <w:szCs w:val="16"/>
              </w:rPr>
            </w:pPr>
            <w:r w:rsidRPr="007436C1">
              <w:rPr>
                <w:rFonts w:cs="Calibri"/>
                <w:sz w:val="16"/>
                <w:szCs w:val="16"/>
              </w:rPr>
              <w:t>30</w:t>
            </w:r>
          </w:p>
        </w:tc>
      </w:tr>
      <w:tr w:rsidR="007D439E" w:rsidRPr="007436C1" w14:paraId="451B3114" w14:textId="77777777" w:rsidTr="009D2067">
        <w:trPr>
          <w:trHeight w:val="443"/>
        </w:trPr>
        <w:tc>
          <w:tcPr>
            <w:tcW w:w="402" w:type="dxa"/>
            <w:tcBorders>
              <w:top w:val="single" w:sz="4" w:space="0" w:color="auto"/>
              <w:left w:val="nil"/>
              <w:bottom w:val="nil"/>
              <w:right w:val="nil"/>
            </w:tcBorders>
            <w:shd w:val="clear" w:color="auto" w:fill="auto"/>
            <w:noWrap/>
            <w:vAlign w:val="center"/>
            <w:hideMark/>
          </w:tcPr>
          <w:p w14:paraId="16240778" w14:textId="77777777" w:rsidR="007D439E" w:rsidRPr="007436C1" w:rsidRDefault="007D439E" w:rsidP="0027380F">
            <w:pPr>
              <w:jc w:val="center"/>
              <w:rPr>
                <w:rFonts w:cs="Calibri"/>
                <w:sz w:val="16"/>
                <w:szCs w:val="16"/>
              </w:rPr>
            </w:pPr>
          </w:p>
        </w:tc>
        <w:tc>
          <w:tcPr>
            <w:tcW w:w="2301" w:type="dxa"/>
            <w:tcBorders>
              <w:top w:val="single" w:sz="4" w:space="0" w:color="auto"/>
              <w:left w:val="nil"/>
              <w:bottom w:val="nil"/>
              <w:right w:val="nil"/>
            </w:tcBorders>
            <w:shd w:val="clear" w:color="auto" w:fill="auto"/>
            <w:vAlign w:val="center"/>
            <w:hideMark/>
          </w:tcPr>
          <w:p w14:paraId="7F3F508B" w14:textId="77777777" w:rsidR="007D439E" w:rsidRPr="007436C1" w:rsidRDefault="007D439E" w:rsidP="0027380F">
            <w:pPr>
              <w:rPr>
                <w:rFonts w:cs="Calibri"/>
                <w:sz w:val="16"/>
                <w:szCs w:val="16"/>
              </w:rPr>
            </w:pPr>
          </w:p>
        </w:tc>
        <w:tc>
          <w:tcPr>
            <w:tcW w:w="1461" w:type="dxa"/>
            <w:tcBorders>
              <w:top w:val="single" w:sz="4" w:space="0" w:color="auto"/>
              <w:left w:val="single" w:sz="8" w:space="0" w:color="auto"/>
              <w:bottom w:val="single" w:sz="8" w:space="0" w:color="auto"/>
              <w:right w:val="single" w:sz="4" w:space="0" w:color="auto"/>
            </w:tcBorders>
            <w:shd w:val="clear" w:color="auto" w:fill="DBE5F1"/>
            <w:vAlign w:val="center"/>
            <w:hideMark/>
          </w:tcPr>
          <w:p w14:paraId="3B01EF6A" w14:textId="77777777" w:rsidR="007D439E" w:rsidRPr="007436C1" w:rsidRDefault="007D439E" w:rsidP="0027380F">
            <w:pPr>
              <w:jc w:val="center"/>
              <w:rPr>
                <w:rFonts w:cs="Calibri"/>
                <w:sz w:val="16"/>
                <w:szCs w:val="16"/>
              </w:rPr>
            </w:pPr>
            <w:r w:rsidRPr="007436C1">
              <w:rPr>
                <w:rFonts w:cs="Calibri"/>
                <w:sz w:val="16"/>
                <w:szCs w:val="16"/>
              </w:rPr>
              <w:t>6 569,40</w:t>
            </w:r>
          </w:p>
        </w:tc>
        <w:tc>
          <w:tcPr>
            <w:tcW w:w="1460" w:type="dxa"/>
            <w:tcBorders>
              <w:top w:val="single" w:sz="4" w:space="0" w:color="auto"/>
              <w:left w:val="nil"/>
              <w:bottom w:val="single" w:sz="8" w:space="0" w:color="auto"/>
              <w:right w:val="single" w:sz="4" w:space="0" w:color="auto"/>
            </w:tcBorders>
            <w:shd w:val="clear" w:color="auto" w:fill="DBE5F1"/>
            <w:vAlign w:val="center"/>
            <w:hideMark/>
          </w:tcPr>
          <w:p w14:paraId="544A865B" w14:textId="77777777" w:rsidR="007D439E" w:rsidRPr="007436C1" w:rsidRDefault="007D439E" w:rsidP="0027380F">
            <w:pPr>
              <w:jc w:val="center"/>
              <w:rPr>
                <w:rFonts w:cs="Calibri"/>
                <w:sz w:val="16"/>
                <w:szCs w:val="16"/>
              </w:rPr>
            </w:pPr>
            <w:r w:rsidRPr="007436C1">
              <w:rPr>
                <w:rFonts w:cs="Calibri"/>
                <w:sz w:val="16"/>
                <w:szCs w:val="16"/>
              </w:rPr>
              <w:t>874,26</w:t>
            </w:r>
          </w:p>
        </w:tc>
        <w:tc>
          <w:tcPr>
            <w:tcW w:w="1200" w:type="dxa"/>
            <w:tcBorders>
              <w:top w:val="single" w:sz="4" w:space="0" w:color="auto"/>
              <w:left w:val="nil"/>
              <w:bottom w:val="single" w:sz="8" w:space="0" w:color="auto"/>
              <w:right w:val="single" w:sz="4" w:space="0" w:color="auto"/>
            </w:tcBorders>
            <w:shd w:val="clear" w:color="auto" w:fill="DBE5F1"/>
            <w:vAlign w:val="center"/>
            <w:hideMark/>
          </w:tcPr>
          <w:p w14:paraId="4A112A86" w14:textId="77777777" w:rsidR="007D439E" w:rsidRPr="007436C1" w:rsidRDefault="007D439E" w:rsidP="0027380F">
            <w:pPr>
              <w:jc w:val="center"/>
              <w:rPr>
                <w:rFonts w:cs="Calibri"/>
                <w:sz w:val="16"/>
                <w:szCs w:val="16"/>
              </w:rPr>
            </w:pPr>
            <w:r w:rsidRPr="007436C1">
              <w:rPr>
                <w:rFonts w:cs="Calibri"/>
                <w:sz w:val="16"/>
                <w:szCs w:val="16"/>
              </w:rPr>
              <w:t>0,00</w:t>
            </w:r>
          </w:p>
        </w:tc>
        <w:tc>
          <w:tcPr>
            <w:tcW w:w="1081" w:type="dxa"/>
            <w:tcBorders>
              <w:top w:val="single" w:sz="4" w:space="0" w:color="auto"/>
              <w:left w:val="nil"/>
              <w:bottom w:val="single" w:sz="8" w:space="0" w:color="auto"/>
              <w:right w:val="nil"/>
            </w:tcBorders>
            <w:shd w:val="clear" w:color="auto" w:fill="DBE5F1"/>
            <w:vAlign w:val="center"/>
            <w:hideMark/>
          </w:tcPr>
          <w:p w14:paraId="0F992BE0" w14:textId="77777777" w:rsidR="007D439E" w:rsidRPr="007436C1" w:rsidRDefault="007D439E" w:rsidP="0027380F">
            <w:pPr>
              <w:jc w:val="center"/>
              <w:rPr>
                <w:rFonts w:cs="Calibri"/>
                <w:sz w:val="16"/>
                <w:szCs w:val="16"/>
              </w:rPr>
            </w:pPr>
            <w:r w:rsidRPr="007436C1">
              <w:rPr>
                <w:rFonts w:cs="Calibri"/>
                <w:sz w:val="16"/>
                <w:szCs w:val="16"/>
              </w:rPr>
              <w:t>7 443,66</w:t>
            </w:r>
          </w:p>
        </w:tc>
        <w:tc>
          <w:tcPr>
            <w:tcW w:w="1097" w:type="dxa"/>
            <w:tcBorders>
              <w:top w:val="single" w:sz="4" w:space="0" w:color="auto"/>
              <w:left w:val="single" w:sz="8" w:space="0" w:color="auto"/>
              <w:bottom w:val="single" w:sz="8" w:space="0" w:color="auto"/>
              <w:right w:val="single" w:sz="8" w:space="0" w:color="auto"/>
            </w:tcBorders>
            <w:shd w:val="clear" w:color="auto" w:fill="DBE5F1"/>
            <w:vAlign w:val="center"/>
            <w:hideMark/>
          </w:tcPr>
          <w:p w14:paraId="0234F803" w14:textId="77777777" w:rsidR="007D439E" w:rsidRPr="007436C1" w:rsidRDefault="007D439E" w:rsidP="0027380F">
            <w:pPr>
              <w:jc w:val="center"/>
              <w:rPr>
                <w:rFonts w:cs="Calibri"/>
                <w:color w:val="FF0000"/>
                <w:sz w:val="16"/>
                <w:szCs w:val="16"/>
              </w:rPr>
            </w:pPr>
            <w:r w:rsidRPr="007436C1">
              <w:rPr>
                <w:rFonts w:cs="Calibri"/>
                <w:color w:val="FF0000"/>
                <w:sz w:val="16"/>
                <w:szCs w:val="16"/>
              </w:rPr>
              <w:t>647</w:t>
            </w:r>
          </w:p>
        </w:tc>
      </w:tr>
    </w:tbl>
    <w:p w14:paraId="394144E6" w14:textId="17FD0060" w:rsidR="007436C1" w:rsidRDefault="007436C1" w:rsidP="007436C1">
      <w:pPr>
        <w:pStyle w:val="Akapitzlist"/>
        <w:ind w:left="1080"/>
      </w:pPr>
    </w:p>
    <w:p w14:paraId="60042E07" w14:textId="77777777" w:rsidR="007436C1" w:rsidRDefault="007436C1" w:rsidP="007436C1">
      <w:pPr>
        <w:pStyle w:val="Akapitzlist"/>
        <w:ind w:left="1080"/>
      </w:pPr>
    </w:p>
    <w:p w14:paraId="00020E9F" w14:textId="659EA2A7" w:rsidR="00091D0D" w:rsidRDefault="00091D0D" w:rsidP="00091D0D">
      <w:pPr>
        <w:pStyle w:val="Akapitzlist"/>
        <w:ind w:left="1080" w:hanging="1080"/>
      </w:pPr>
    </w:p>
    <w:p w14:paraId="11D2CC91" w14:textId="77777777" w:rsidR="00091D0D" w:rsidRDefault="00091D0D" w:rsidP="00091D0D">
      <w:pPr>
        <w:pStyle w:val="Akapitzlist"/>
        <w:ind w:left="1080" w:hanging="1080"/>
      </w:pPr>
    </w:p>
    <w:p w14:paraId="2D96762A" w14:textId="6BB0D1E2" w:rsidR="009D2067" w:rsidRPr="0088037C" w:rsidRDefault="009D2067" w:rsidP="009D2067">
      <w:pPr>
        <w:pStyle w:val="Akapitzlist"/>
        <w:numPr>
          <w:ilvl w:val="0"/>
          <w:numId w:val="2"/>
        </w:numPr>
        <w:ind w:hanging="1080"/>
        <w:rPr>
          <w:b/>
          <w:bCs/>
        </w:rPr>
      </w:pPr>
      <w:r w:rsidRPr="0088037C">
        <w:rPr>
          <w:b/>
          <w:bCs/>
        </w:rPr>
        <w:t xml:space="preserve">Zmianie ulega treść Rozdziału XX </w:t>
      </w:r>
      <w:r w:rsidR="00091D0D" w:rsidRPr="0088037C">
        <w:rPr>
          <w:b/>
          <w:bCs/>
        </w:rPr>
        <w:t xml:space="preserve">POSTANOWIENIA DODATKOWE </w:t>
      </w:r>
      <w:r w:rsidRPr="0088037C">
        <w:rPr>
          <w:b/>
          <w:bCs/>
        </w:rPr>
        <w:t>pkt 3, który otrzymuje brzmienie:</w:t>
      </w:r>
    </w:p>
    <w:p w14:paraId="12F7A930" w14:textId="77777777" w:rsidR="009D2067" w:rsidRDefault="009D2067" w:rsidP="009D2067">
      <w:pPr>
        <w:pStyle w:val="Akapitzlist"/>
        <w:ind w:left="1080"/>
      </w:pPr>
    </w:p>
    <w:p w14:paraId="013D941C" w14:textId="2BF6CAD3" w:rsidR="00957C63" w:rsidRPr="00091D0D" w:rsidRDefault="009D2067" w:rsidP="007436C1">
      <w:pPr>
        <w:pStyle w:val="Akapitzlist"/>
        <w:ind w:left="993"/>
        <w:jc w:val="both"/>
        <w:rPr>
          <w:i/>
          <w:iCs/>
          <w:sz w:val="20"/>
          <w:szCs w:val="20"/>
        </w:rPr>
      </w:pPr>
      <w:r w:rsidRPr="00091D0D">
        <w:rPr>
          <w:i/>
          <w:iCs/>
          <w:sz w:val="20"/>
          <w:szCs w:val="20"/>
        </w:rPr>
        <w:t>3</w:t>
      </w:r>
      <w:r w:rsidRPr="007436C1">
        <w:rPr>
          <w:i/>
          <w:iCs/>
          <w:color w:val="FF0000"/>
          <w:sz w:val="20"/>
          <w:szCs w:val="20"/>
        </w:rPr>
        <w:t xml:space="preserve">. </w:t>
      </w:r>
      <w:r w:rsidR="00091D0D" w:rsidRPr="007436C1">
        <w:rPr>
          <w:i/>
          <w:iCs/>
          <w:color w:val="FF0000"/>
          <w:sz w:val="20"/>
          <w:szCs w:val="20"/>
        </w:rPr>
        <w:t xml:space="preserve">Zamawiający dopuszcza podpisanie umów na odległość poprzez podpisanie ich przez Strony kwalifikowanym podpisem elektronicznym w wyznaczonym przez zamawiającego terminie </w:t>
      </w:r>
      <w:r w:rsidR="00FF7270">
        <w:rPr>
          <w:i/>
          <w:iCs/>
          <w:color w:val="FF0000"/>
          <w:sz w:val="20"/>
          <w:szCs w:val="20"/>
        </w:rPr>
        <w:br/>
      </w:r>
      <w:r w:rsidR="00091D0D" w:rsidRPr="007436C1">
        <w:rPr>
          <w:i/>
          <w:iCs/>
          <w:color w:val="FF0000"/>
          <w:sz w:val="20"/>
          <w:szCs w:val="20"/>
        </w:rPr>
        <w:t>(z uwzględnieniem przepisów ustawy Pzp) pod rygorem uznania że wykonawca uchyla się od zawarcia umowy, po uprzednim wniesieniu przez wykonawcę zabezpieczenia należytego wykonania umowy. Jednocześnie zamawiający podtrzymuje brak zgody na zawarcie umów drogą korespondencyjną, tj. poprzez przesyłanie podpisanych umów w formie papierowej</w:t>
      </w:r>
      <w:r w:rsidR="00091D0D" w:rsidRPr="00091D0D">
        <w:rPr>
          <w:i/>
          <w:iCs/>
          <w:sz w:val="20"/>
          <w:szCs w:val="20"/>
        </w:rPr>
        <w:t>.</w:t>
      </w:r>
    </w:p>
    <w:p w14:paraId="2E2DAB48" w14:textId="2910C70B" w:rsidR="00091D0D" w:rsidRPr="009C65DF" w:rsidRDefault="00091D0D" w:rsidP="009D2067">
      <w:pPr>
        <w:pStyle w:val="Akapitzlist"/>
        <w:ind w:left="284"/>
        <w:jc w:val="both"/>
      </w:pPr>
    </w:p>
    <w:p w14:paraId="03B0BB54" w14:textId="0388FBBD" w:rsidR="00091D0D" w:rsidRPr="0088037C" w:rsidRDefault="009C65DF" w:rsidP="008A62F7">
      <w:pPr>
        <w:pStyle w:val="Akapitzlist"/>
        <w:numPr>
          <w:ilvl w:val="0"/>
          <w:numId w:val="2"/>
        </w:numPr>
        <w:ind w:hanging="1080"/>
        <w:jc w:val="both"/>
        <w:rPr>
          <w:b/>
          <w:bCs/>
        </w:rPr>
      </w:pPr>
      <w:r w:rsidRPr="0088037C">
        <w:rPr>
          <w:b/>
          <w:bCs/>
        </w:rPr>
        <w:t>Zmianie ulega treść Załącznika nr 1c do SWZ – skorygowany załącznik został zamieszczony na stronie postępowania pod nazwą Zal_1c_Wykaz_PPE_ZMIANA</w:t>
      </w:r>
    </w:p>
    <w:p w14:paraId="3C6E8B6E" w14:textId="16612333" w:rsidR="009C65DF" w:rsidRDefault="009C65DF" w:rsidP="009C65DF">
      <w:pPr>
        <w:pStyle w:val="Akapitzlist"/>
        <w:ind w:left="1080"/>
        <w:jc w:val="both"/>
      </w:pPr>
    </w:p>
    <w:p w14:paraId="27900843" w14:textId="77777777" w:rsidR="00554F4A" w:rsidRDefault="00554F4A" w:rsidP="009C65DF">
      <w:pPr>
        <w:pStyle w:val="Akapitzlist"/>
        <w:ind w:left="1080"/>
        <w:jc w:val="both"/>
      </w:pPr>
    </w:p>
    <w:p w14:paraId="68D19CF8" w14:textId="674EC171" w:rsidR="009C65DF" w:rsidRPr="0088037C" w:rsidRDefault="009C65DF" w:rsidP="008A62F7">
      <w:pPr>
        <w:pStyle w:val="Akapitzlist"/>
        <w:numPr>
          <w:ilvl w:val="0"/>
          <w:numId w:val="2"/>
        </w:numPr>
        <w:ind w:hanging="1080"/>
        <w:jc w:val="both"/>
        <w:rPr>
          <w:b/>
          <w:bCs/>
        </w:rPr>
      </w:pPr>
      <w:r w:rsidRPr="0088037C">
        <w:rPr>
          <w:b/>
          <w:bCs/>
        </w:rPr>
        <w:t xml:space="preserve">W wyniku wprowadzonych zmian </w:t>
      </w:r>
      <w:r w:rsidR="00554F4A">
        <w:rPr>
          <w:b/>
          <w:bCs/>
        </w:rPr>
        <w:t xml:space="preserve">w SWZ </w:t>
      </w:r>
      <w:r w:rsidRPr="0088037C">
        <w:rPr>
          <w:b/>
          <w:bCs/>
        </w:rPr>
        <w:t>zmianie uległa treść Ogłoszenia o zamówieniu. Ogłoszenie o zmianie ogłoszenia zamieszczone zostało na stronie postępowania.</w:t>
      </w:r>
    </w:p>
    <w:p w14:paraId="1A1E2D88" w14:textId="535FEC68" w:rsidR="00091D0D" w:rsidRDefault="00091D0D" w:rsidP="009D2067">
      <w:pPr>
        <w:pStyle w:val="Akapitzlist"/>
        <w:ind w:left="284"/>
        <w:jc w:val="both"/>
      </w:pPr>
    </w:p>
    <w:p w14:paraId="0A12F23F" w14:textId="13E412DC" w:rsidR="006B2DB4" w:rsidRDefault="006B2DB4" w:rsidP="006B2DB4">
      <w:pPr>
        <w:jc w:val="both"/>
      </w:pPr>
    </w:p>
    <w:p w14:paraId="2FB44FB3" w14:textId="33624E56" w:rsidR="006B2DB4" w:rsidRDefault="006B2DB4" w:rsidP="009D2067">
      <w:pPr>
        <w:pStyle w:val="Akapitzlist"/>
        <w:ind w:left="284"/>
        <w:jc w:val="both"/>
      </w:pPr>
    </w:p>
    <w:p w14:paraId="5A340CD4" w14:textId="77777777" w:rsidR="006B2DB4" w:rsidRDefault="006B2DB4" w:rsidP="006B2DB4">
      <w:pPr>
        <w:spacing w:line="276" w:lineRule="auto"/>
        <w:jc w:val="both"/>
        <w:rPr>
          <w:rFonts w:ascii="Arial" w:hAnsi="Arial" w:cs="Arial"/>
          <w:sz w:val="20"/>
          <w:szCs w:val="20"/>
        </w:rPr>
      </w:pPr>
      <w:r w:rsidRPr="0044551F">
        <w:rPr>
          <w:rFonts w:ascii="Arial" w:hAnsi="Arial" w:cs="Arial"/>
          <w:sz w:val="20"/>
          <w:szCs w:val="20"/>
        </w:rPr>
        <w:t>Zamawiający informuje, że dokonał stosownych zmian w Specyfikacji Warunków Zamówienia oraz w Ogłoszeniu o zamówieniu</w:t>
      </w:r>
      <w:r>
        <w:rPr>
          <w:rFonts w:ascii="Arial" w:hAnsi="Arial" w:cs="Arial"/>
          <w:sz w:val="20"/>
          <w:szCs w:val="20"/>
        </w:rPr>
        <w:t xml:space="preserve">: </w:t>
      </w:r>
      <w:r w:rsidRPr="0044551F">
        <w:rPr>
          <w:rFonts w:ascii="Arial" w:hAnsi="Arial" w:cs="Arial"/>
          <w:sz w:val="20"/>
          <w:szCs w:val="20"/>
        </w:rPr>
        <w:t xml:space="preserve">data publikacji w DUE </w:t>
      </w:r>
      <w:r>
        <w:rPr>
          <w:rFonts w:ascii="Arial" w:hAnsi="Arial" w:cs="Arial"/>
          <w:sz w:val="20"/>
          <w:szCs w:val="20"/>
        </w:rPr>
        <w:t xml:space="preserve">11.03.2022 r: </w:t>
      </w:r>
      <w:r w:rsidRPr="009B5EC4">
        <w:rPr>
          <w:rFonts w:ascii="Arial" w:hAnsi="Arial" w:cs="Arial"/>
          <w:sz w:val="20"/>
          <w:szCs w:val="20"/>
        </w:rPr>
        <w:t>Polska-Chojnice: Energia elektryczna, cieplna, słoneczna i jądrowa  2022/S 050-127556,</w:t>
      </w:r>
      <w:r>
        <w:rPr>
          <w:rFonts w:ascii="Arial" w:hAnsi="Arial" w:cs="Arial"/>
          <w:sz w:val="20"/>
          <w:szCs w:val="20"/>
        </w:rPr>
        <w:t xml:space="preserve"> </w:t>
      </w:r>
      <w:r w:rsidRPr="009B5EC4">
        <w:rPr>
          <w:rFonts w:ascii="Arial" w:hAnsi="Arial" w:cs="Arial"/>
          <w:sz w:val="20"/>
          <w:szCs w:val="20"/>
        </w:rPr>
        <w:t xml:space="preserve">Niniejsze ogłoszenie w witrynie TED: </w:t>
      </w:r>
      <w:hyperlink r:id="rId7" w:history="1">
        <w:r w:rsidRPr="009B5EC4">
          <w:rPr>
            <w:rStyle w:val="Hipercze"/>
            <w:rFonts w:ascii="Arial" w:hAnsi="Arial" w:cs="Arial"/>
            <w:b/>
            <w:bCs/>
            <w:sz w:val="20"/>
            <w:szCs w:val="20"/>
          </w:rPr>
          <w:t>https://ted.europa.eu/udl?uri=TED:NOTICE:127556-2022:TEXT:PL:HTML</w:t>
        </w:r>
      </w:hyperlink>
      <w:r>
        <w:rPr>
          <w:rFonts w:ascii="Arial" w:hAnsi="Arial" w:cs="Arial"/>
          <w:sz w:val="20"/>
          <w:szCs w:val="20"/>
        </w:rPr>
        <w:t xml:space="preserve"> </w:t>
      </w:r>
    </w:p>
    <w:p w14:paraId="19DCFB75" w14:textId="77777777" w:rsidR="006B2DB4" w:rsidRDefault="006B2DB4" w:rsidP="006B2DB4">
      <w:pPr>
        <w:spacing w:line="276" w:lineRule="auto"/>
        <w:jc w:val="both"/>
        <w:rPr>
          <w:rFonts w:ascii="Arial" w:hAnsi="Arial" w:cs="Arial"/>
          <w:sz w:val="20"/>
          <w:szCs w:val="20"/>
        </w:rPr>
      </w:pPr>
    </w:p>
    <w:p w14:paraId="4DA77432" w14:textId="77777777" w:rsidR="006B2DB4" w:rsidRPr="009B5EC4" w:rsidRDefault="006B2DB4" w:rsidP="006B2DB4">
      <w:pPr>
        <w:autoSpaceDE w:val="0"/>
        <w:autoSpaceDN w:val="0"/>
        <w:adjustRightInd w:val="0"/>
        <w:spacing w:line="240" w:lineRule="auto"/>
        <w:rPr>
          <w:rFonts w:ascii="Liberation Sans" w:hAnsi="Liberation Sans" w:cs="Liberation Sans"/>
          <w:color w:val="000000"/>
          <w:sz w:val="24"/>
          <w:szCs w:val="24"/>
        </w:rPr>
      </w:pPr>
    </w:p>
    <w:p w14:paraId="2C2180F3" w14:textId="77777777" w:rsidR="006B2DB4" w:rsidRDefault="006B2DB4" w:rsidP="006B2DB4">
      <w:pPr>
        <w:spacing w:line="276" w:lineRule="auto"/>
        <w:jc w:val="both"/>
        <w:rPr>
          <w:rFonts w:ascii="Liberation Sans" w:hAnsi="Liberation Sans" w:cs="Liberation Sans"/>
          <w:b/>
          <w:bCs/>
          <w:color w:val="000000"/>
          <w:sz w:val="20"/>
          <w:szCs w:val="20"/>
        </w:rPr>
      </w:pPr>
      <w:r w:rsidRPr="009B5EC4">
        <w:rPr>
          <w:rFonts w:ascii="Liberation Sans" w:hAnsi="Liberation Sans" w:cs="Liberation Sans"/>
          <w:b/>
          <w:bCs/>
          <w:color w:val="000000"/>
          <w:sz w:val="20"/>
          <w:szCs w:val="20"/>
        </w:rPr>
        <w:t>Sprostowanie</w:t>
      </w:r>
      <w:r>
        <w:rPr>
          <w:rFonts w:ascii="Liberation Sans" w:hAnsi="Liberation Sans" w:cs="Liberation Sans"/>
          <w:b/>
          <w:bCs/>
          <w:color w:val="000000"/>
          <w:sz w:val="20"/>
          <w:szCs w:val="20"/>
        </w:rPr>
        <w:t>:</w:t>
      </w:r>
      <w:r w:rsidRPr="009B5EC4">
        <w:rPr>
          <w:rFonts w:ascii="Arial" w:hAnsi="Arial" w:cs="Arial"/>
          <w:sz w:val="20"/>
          <w:szCs w:val="20"/>
        </w:rPr>
        <w:t xml:space="preserve"> </w:t>
      </w:r>
      <w:r w:rsidRPr="003838DF">
        <w:rPr>
          <w:rFonts w:ascii="Liberation Sans" w:hAnsi="Liberation Sans" w:cs="Liberation Sans"/>
          <w:color w:val="000000"/>
          <w:sz w:val="20"/>
          <w:szCs w:val="20"/>
        </w:rPr>
        <w:t>data publikacji w DUE 01.04.2022 r, Polska-Chojnice: Energia elektryczna, cieplna, słoneczna i jądrowa 2022/S 065-170050,</w:t>
      </w:r>
      <w:r>
        <w:rPr>
          <w:rFonts w:ascii="Liberation Sans" w:hAnsi="Liberation Sans" w:cs="Liberation Sans"/>
          <w:b/>
          <w:bCs/>
          <w:color w:val="000000"/>
          <w:sz w:val="20"/>
          <w:szCs w:val="20"/>
        </w:rPr>
        <w:t xml:space="preserve"> </w:t>
      </w:r>
      <w:r w:rsidRPr="009B5EC4">
        <w:rPr>
          <w:rFonts w:ascii="Liberation Sans" w:hAnsi="Liberation Sans" w:cs="Liberation Sans"/>
          <w:color w:val="000000"/>
          <w:sz w:val="20"/>
          <w:szCs w:val="20"/>
        </w:rPr>
        <w:t xml:space="preserve">Niniejsze ogłoszenie w witrynie TED: </w:t>
      </w:r>
      <w:hyperlink r:id="rId8" w:history="1">
        <w:r w:rsidRPr="009B5EC4">
          <w:rPr>
            <w:rStyle w:val="Hipercze"/>
            <w:rFonts w:ascii="Liberation Sans" w:hAnsi="Liberation Sans" w:cs="Liberation Sans"/>
            <w:b/>
            <w:bCs/>
            <w:sz w:val="20"/>
            <w:szCs w:val="20"/>
          </w:rPr>
          <w:t>https://ted.europa.eu/udl?uri=TED:NOTICE:170050-2022:TEXT:PL:HTML</w:t>
        </w:r>
      </w:hyperlink>
    </w:p>
    <w:p w14:paraId="5D63F795" w14:textId="5F1DEDC3" w:rsidR="006B2DB4" w:rsidRDefault="006B2DB4" w:rsidP="009D2067">
      <w:pPr>
        <w:pStyle w:val="Akapitzlist"/>
        <w:ind w:left="284"/>
        <w:jc w:val="both"/>
      </w:pPr>
    </w:p>
    <w:p w14:paraId="308E26E2" w14:textId="77777777" w:rsidR="006B2DB4" w:rsidRDefault="006B2DB4" w:rsidP="006B2DB4">
      <w:pPr>
        <w:pStyle w:val="Akapitzlist"/>
        <w:ind w:left="0"/>
        <w:jc w:val="both"/>
        <w:rPr>
          <w:b/>
          <w:bCs/>
          <w:color w:val="FF0000"/>
        </w:rPr>
      </w:pPr>
    </w:p>
    <w:p w14:paraId="0F64A7E6" w14:textId="58766E90" w:rsidR="006B2DB4" w:rsidRPr="006B2DB4" w:rsidRDefault="006B2DB4" w:rsidP="006B2DB4">
      <w:pPr>
        <w:pStyle w:val="Akapitzlist"/>
        <w:ind w:left="0"/>
        <w:jc w:val="both"/>
        <w:rPr>
          <w:b/>
          <w:bCs/>
        </w:rPr>
      </w:pPr>
      <w:r w:rsidRPr="006B2DB4">
        <w:rPr>
          <w:b/>
          <w:bCs/>
        </w:rPr>
        <w:t>Powyższe zmiany są wiążące dla wszystkich Wykonawców.</w:t>
      </w:r>
    </w:p>
    <w:p w14:paraId="2389C95F" w14:textId="77777777" w:rsidR="006B2DB4" w:rsidRPr="009C65DF" w:rsidRDefault="006B2DB4" w:rsidP="006B2DB4">
      <w:pPr>
        <w:pStyle w:val="Akapitzlist"/>
        <w:ind w:left="0"/>
        <w:jc w:val="both"/>
      </w:pPr>
      <w:r w:rsidRPr="006B2DB4">
        <w:rPr>
          <w:b/>
          <w:bCs/>
          <w:color w:val="FF0000"/>
        </w:rPr>
        <w:t>Jednocześnie Zamawiający informuje, że zmianie nie ulega termin składania i otwarcia ofert</w:t>
      </w:r>
      <w:r>
        <w:t>.</w:t>
      </w:r>
    </w:p>
    <w:p w14:paraId="1A373B7E" w14:textId="77777777" w:rsidR="006B2DB4" w:rsidRPr="009C65DF" w:rsidRDefault="006B2DB4" w:rsidP="009D2067">
      <w:pPr>
        <w:pStyle w:val="Akapitzlist"/>
        <w:ind w:left="284"/>
        <w:jc w:val="both"/>
      </w:pPr>
    </w:p>
    <w:sectPr w:rsidR="006B2DB4" w:rsidRPr="009C65DF" w:rsidSect="007436C1">
      <w:pgSz w:w="11906" w:h="16838"/>
      <w:pgMar w:top="851" w:right="1417" w:bottom="1417" w:left="1417" w:header="708"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B18ED" w14:textId="77777777" w:rsidR="00E725B6" w:rsidRDefault="00E725B6" w:rsidP="007436C1">
      <w:pPr>
        <w:spacing w:line="240" w:lineRule="auto"/>
      </w:pPr>
      <w:r>
        <w:separator/>
      </w:r>
    </w:p>
  </w:endnote>
  <w:endnote w:type="continuationSeparator" w:id="0">
    <w:p w14:paraId="4F1C5B90" w14:textId="77777777" w:rsidR="00E725B6" w:rsidRDefault="00E725B6" w:rsidP="007436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modern"/>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03FB4" w14:textId="77777777" w:rsidR="00E725B6" w:rsidRDefault="00E725B6" w:rsidP="007436C1">
      <w:pPr>
        <w:spacing w:line="240" w:lineRule="auto"/>
      </w:pPr>
      <w:r>
        <w:separator/>
      </w:r>
    </w:p>
  </w:footnote>
  <w:footnote w:type="continuationSeparator" w:id="0">
    <w:p w14:paraId="5D75B29E" w14:textId="77777777" w:rsidR="00E725B6" w:rsidRDefault="00E725B6" w:rsidP="007436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50BD"/>
    <w:multiLevelType w:val="multilevel"/>
    <w:tmpl w:val="AD34353A"/>
    <w:lvl w:ilvl="0">
      <w:start w:val="1"/>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rPr>
    </w:lvl>
    <w:lvl w:ilvl="3">
      <w:start w:val="1"/>
      <w:numFmt w:val="decimal"/>
      <w:lvlText w:val="%4."/>
      <w:lvlJc w:val="left"/>
      <w:pPr>
        <w:ind w:left="2880" w:hanging="360"/>
      </w:pPr>
      <w:rPr>
        <w:rFonts w:hint="default"/>
        <w:strike w:val="0"/>
      </w:rPr>
    </w:lvl>
    <w:lvl w:ilvl="4">
      <w:start w:val="1"/>
      <w:numFmt w:val="decimal"/>
      <w:lvlText w:val="%5)"/>
      <w:lvlJc w:val="left"/>
      <w:rPr>
        <w:rFonts w:ascii="Calibri" w:eastAsia="Times New Roman" w:hAnsi="Calibri" w:cs="Calibri"/>
        <w:b w:val="0"/>
        <w:bCs w:val="0"/>
        <w:i w:val="0"/>
        <w:iCs w:val="0"/>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AB56DCB"/>
    <w:multiLevelType w:val="hybridMultilevel"/>
    <w:tmpl w:val="984E88F6"/>
    <w:lvl w:ilvl="0" w:tplc="E8080B0C">
      <w:start w:val="4"/>
      <w:numFmt w:val="decimal"/>
      <w:lvlText w:val="%1."/>
      <w:lvlJc w:val="left"/>
      <w:pPr>
        <w:ind w:left="29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2D7619"/>
    <w:multiLevelType w:val="hybridMultilevel"/>
    <w:tmpl w:val="B78C2C9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03165F6"/>
    <w:multiLevelType w:val="hybridMultilevel"/>
    <w:tmpl w:val="C70A833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55B6D10"/>
    <w:multiLevelType w:val="hybridMultilevel"/>
    <w:tmpl w:val="F1FA8B5A"/>
    <w:lvl w:ilvl="0" w:tplc="BD5624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D654A1"/>
    <w:multiLevelType w:val="hybridMultilevel"/>
    <w:tmpl w:val="29B20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B93FFB"/>
    <w:multiLevelType w:val="hybridMultilevel"/>
    <w:tmpl w:val="41CC805E"/>
    <w:lvl w:ilvl="0" w:tplc="1ED6765C">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4"/>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C7"/>
    <w:rsid w:val="00091D0D"/>
    <w:rsid w:val="00097B24"/>
    <w:rsid w:val="002813EF"/>
    <w:rsid w:val="00390810"/>
    <w:rsid w:val="00554F4A"/>
    <w:rsid w:val="006B2DB4"/>
    <w:rsid w:val="007436C1"/>
    <w:rsid w:val="007D439E"/>
    <w:rsid w:val="0088037C"/>
    <w:rsid w:val="008A62F7"/>
    <w:rsid w:val="00957C63"/>
    <w:rsid w:val="009A2CC7"/>
    <w:rsid w:val="009C65DF"/>
    <w:rsid w:val="009D2067"/>
    <w:rsid w:val="009D3914"/>
    <w:rsid w:val="00BB4133"/>
    <w:rsid w:val="00BB43D0"/>
    <w:rsid w:val="00DC75B9"/>
    <w:rsid w:val="00DE54C1"/>
    <w:rsid w:val="00E725B6"/>
    <w:rsid w:val="00FC0A79"/>
    <w:rsid w:val="00FF72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93690"/>
  <w15:chartTrackingRefBased/>
  <w15:docId w15:val="{15D8D782-C1E7-495C-9843-D88B0E1A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7C63"/>
    <w:pPr>
      <w:ind w:left="720"/>
      <w:contextualSpacing/>
    </w:pPr>
  </w:style>
  <w:style w:type="character" w:styleId="HTML-cytat">
    <w:name w:val="HTML Cite"/>
    <w:uiPriority w:val="99"/>
    <w:unhideWhenUsed/>
    <w:rsid w:val="00957C63"/>
    <w:rPr>
      <w:i/>
      <w:iCs/>
    </w:rPr>
  </w:style>
  <w:style w:type="paragraph" w:styleId="Nagwek">
    <w:name w:val="header"/>
    <w:basedOn w:val="Normalny"/>
    <w:link w:val="NagwekZnak"/>
    <w:uiPriority w:val="99"/>
    <w:unhideWhenUsed/>
    <w:rsid w:val="007436C1"/>
    <w:pPr>
      <w:tabs>
        <w:tab w:val="center" w:pos="4536"/>
        <w:tab w:val="right" w:pos="9072"/>
      </w:tabs>
      <w:spacing w:line="240" w:lineRule="auto"/>
    </w:pPr>
  </w:style>
  <w:style w:type="character" w:customStyle="1" w:styleId="NagwekZnak">
    <w:name w:val="Nagłówek Znak"/>
    <w:basedOn w:val="Domylnaczcionkaakapitu"/>
    <w:link w:val="Nagwek"/>
    <w:uiPriority w:val="99"/>
    <w:rsid w:val="007436C1"/>
  </w:style>
  <w:style w:type="paragraph" w:styleId="Stopka">
    <w:name w:val="footer"/>
    <w:basedOn w:val="Normalny"/>
    <w:link w:val="StopkaZnak"/>
    <w:uiPriority w:val="99"/>
    <w:unhideWhenUsed/>
    <w:rsid w:val="007436C1"/>
    <w:pPr>
      <w:tabs>
        <w:tab w:val="center" w:pos="4536"/>
        <w:tab w:val="right" w:pos="9072"/>
      </w:tabs>
      <w:spacing w:line="240" w:lineRule="auto"/>
    </w:pPr>
  </w:style>
  <w:style w:type="character" w:customStyle="1" w:styleId="StopkaZnak">
    <w:name w:val="Stopka Znak"/>
    <w:basedOn w:val="Domylnaczcionkaakapitu"/>
    <w:link w:val="Stopka"/>
    <w:uiPriority w:val="99"/>
    <w:rsid w:val="007436C1"/>
  </w:style>
  <w:style w:type="character" w:styleId="Hipercze">
    <w:name w:val="Hyperlink"/>
    <w:basedOn w:val="Domylnaczcionkaakapitu"/>
    <w:uiPriority w:val="99"/>
    <w:unhideWhenUsed/>
    <w:rsid w:val="006B2D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97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170050-2022:TEXT:PL:HTML" TargetMode="External"/><Relationship Id="rId3" Type="http://schemas.openxmlformats.org/officeDocument/2006/relationships/settings" Target="settings.xml"/><Relationship Id="rId7" Type="http://schemas.openxmlformats.org/officeDocument/2006/relationships/hyperlink" Target="https://ted.europa.eu/udl?uri=TED:NOTICE:127556-2022:TEXT:P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3541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Kowalska</dc:creator>
  <cp:keywords/>
  <dc:description/>
  <cp:lastModifiedBy>Matusik Arleta</cp:lastModifiedBy>
  <cp:revision>5</cp:revision>
  <cp:lastPrinted>2022-04-01T07:58:00Z</cp:lastPrinted>
  <dcterms:created xsi:type="dcterms:W3CDTF">2022-03-31T13:15:00Z</dcterms:created>
  <dcterms:modified xsi:type="dcterms:W3CDTF">2022-04-01T07:58:00Z</dcterms:modified>
</cp:coreProperties>
</file>