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0DBE233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9D70EF">
        <w:rPr>
          <w:rFonts w:ascii="Arial" w:hAnsi="Arial" w:cs="Arial"/>
          <w:b/>
          <w:sz w:val="21"/>
          <w:szCs w:val="21"/>
        </w:rPr>
        <w:t>67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08143F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9D70EF">
        <w:rPr>
          <w:rFonts w:ascii="Cambria" w:hAnsi="Cambria" w:cs="Arial"/>
          <w:b/>
          <w:sz w:val="21"/>
          <w:szCs w:val="21"/>
        </w:rPr>
        <w:t>leków w ramach chemioterapii – uzupełnienie V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D1BB-DBCE-4D0B-B387-929D8D9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7</cp:revision>
  <cp:lastPrinted>2022-05-04T11:03:00Z</cp:lastPrinted>
  <dcterms:created xsi:type="dcterms:W3CDTF">2022-05-31T11:39:00Z</dcterms:created>
  <dcterms:modified xsi:type="dcterms:W3CDTF">2022-07-08T08:15:00Z</dcterms:modified>
</cp:coreProperties>
</file>