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30AE6CEC" wp14:editId="2E95620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dla postępowania prowadzonego z wyłączeniem przepisów ustawy – Prawo zamówień publicznych o wartości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wyższej niż 20 000 zł</w:t>
      </w:r>
      <w:r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 do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130 000 zł</w:t>
      </w: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:rsidR="000B5F28" w:rsidRPr="00D60A0C" w:rsidRDefault="000B5F28" w:rsidP="000B5F28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:rsidR="00FE5D0A" w:rsidRPr="00D60A0C" w:rsidRDefault="00FE5D0A" w:rsidP="00953E20">
      <w:pPr>
        <w:jc w:val="both"/>
        <w:rPr>
          <w:rFonts w:ascii="Gill Sans MT" w:hAnsi="Gill Sans MT" w:cstheme="minorHAnsi"/>
          <w:b/>
          <w:sz w:val="20"/>
          <w:szCs w:val="20"/>
          <w:lang w:eastAsia="x-none"/>
        </w:rPr>
      </w:pPr>
      <w:r w:rsidRPr="00D60A0C"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Remont ścian łącznika E-B parter i </w:t>
      </w:r>
      <w:proofErr w:type="spellStart"/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>I</w:t>
      </w:r>
      <w:proofErr w:type="spellEnd"/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 piętro, remont dylatacji wewnętrznych</w:t>
      </w:r>
      <w:r w:rsidR="007071C1"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 w segmencie E</w:t>
      </w:r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 I piętro, likwidacja pęknięć ścian przy windzie oraz napraw</w:t>
      </w:r>
      <w:r w:rsidR="007071C1" w:rsidRPr="00D60A0C">
        <w:rPr>
          <w:rFonts w:ascii="Gill Sans MT" w:hAnsi="Gill Sans MT" w:cstheme="minorHAnsi"/>
          <w:b/>
          <w:sz w:val="20"/>
          <w:szCs w:val="20"/>
          <w:lang w:eastAsia="x-none"/>
        </w:rPr>
        <w:t>a żelbetowej belki łącznika B-D</w:t>
      </w:r>
      <w:r w:rsidR="00953E20"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 </w:t>
      </w:r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>I piętro – budynek Wydziału Nauk Ścisłych  i Technicznych przy ul. Bankowej 14 w Katowicach”</w:t>
      </w:r>
    </w:p>
    <w:p w:rsidR="000B5F28" w:rsidRPr="00D60A0C" w:rsidRDefault="000B5F28" w:rsidP="00953E20">
      <w:pPr>
        <w:suppressAutoHyphens/>
        <w:autoSpaceDE w:val="0"/>
        <w:spacing w:after="0"/>
        <w:rPr>
          <w:rFonts w:ascii="Gill Sans MT" w:eastAsia="Calibri" w:hAnsi="Gill Sans MT" w:cstheme="minorHAnsi"/>
          <w:bCs/>
          <w:i/>
          <w:color w:val="000000"/>
          <w:sz w:val="20"/>
          <w:szCs w:val="20"/>
          <w:lang w:eastAsia="ar-SA"/>
        </w:rPr>
      </w:pPr>
    </w:p>
    <w:p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</w:p>
    <w:p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</w:t>
      </w:r>
      <w:r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:</w:t>
      </w:r>
      <w:r w:rsid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712866"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DIiIB.2231.1.5.</w:t>
      </w:r>
      <w:r w:rsidR="00FE6DEB">
        <w:rPr>
          <w:rFonts w:ascii="Gill Sans MT" w:eastAsia="Calibri" w:hAnsi="Gill Sans MT" w:cstheme="minorHAnsi"/>
          <w:bCs/>
          <w:sz w:val="20"/>
          <w:szCs w:val="20"/>
          <w:lang w:eastAsia="pl-PL"/>
        </w:rPr>
        <w:t>2</w:t>
      </w:r>
      <w:r w:rsidR="00712866"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.</w:t>
      </w:r>
      <w:bookmarkStart w:id="0" w:name="_GoBack"/>
      <w:r w:rsidR="00712866"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2021</w:t>
      </w:r>
      <w:bookmarkEnd w:id="0"/>
    </w:p>
    <w:p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1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1"/>
    </w:p>
    <w:p w:rsidR="000B5F28" w:rsidRPr="00D60A0C" w:rsidRDefault="000B5F28" w:rsidP="009C0C8B">
      <w:pPr>
        <w:tabs>
          <w:tab w:val="right" w:pos="9072"/>
        </w:tabs>
        <w:spacing w:before="120" w:after="120"/>
        <w:ind w:left="425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9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:rsidR="006C6642" w:rsidRPr="00D60A0C" w:rsidRDefault="006C6642" w:rsidP="006C6642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:rsidR="000B5F28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:rsidR="00AF1FD3" w:rsidRPr="00D60A0C" w:rsidRDefault="00AF1FD3" w:rsidP="008700F7">
      <w:pPr>
        <w:pStyle w:val="Akapitzlist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hanging="294"/>
        <w:jc w:val="both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Leszek Wojdyła – inspektor nadzoru inwestorskiego (branża budowlana), tel.: 32 359 14 44, e-mail: </w:t>
      </w:r>
      <w:hyperlink r:id="rId10" w:history="1">
        <w:r w:rsidRPr="00D60A0C">
          <w:rPr>
            <w:rStyle w:val="Hipercze"/>
            <w:rFonts w:ascii="Gill Sans MT" w:eastAsia="Arial Unicode MS" w:hAnsi="Gill Sans MT" w:cstheme="minorHAnsi"/>
            <w:sz w:val="20"/>
            <w:szCs w:val="20"/>
          </w:rPr>
          <w:t>leszek.wojdyla@us.edu.pl</w:t>
        </w:r>
      </w:hyperlink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D60A0C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:rsidR="009C0C8B" w:rsidRPr="00D60A0C" w:rsidRDefault="00AF1FD3" w:rsidP="008700F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hanging="294"/>
        <w:jc w:val="both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Marek Prażmowski – inspektor nadzoru inwestorskiego (branża instalacyjna sanitarna), tel.: 32 359 15 80, e-mail: </w:t>
      </w:r>
      <w:hyperlink r:id="rId11" w:history="1">
        <w:r w:rsidRPr="00D60A0C">
          <w:rPr>
            <w:rStyle w:val="Hipercze"/>
            <w:rFonts w:ascii="Gill Sans MT" w:eastAsia="Arial Unicode MS" w:hAnsi="Gill Sans MT" w:cstheme="minorHAnsi"/>
            <w:sz w:val="20"/>
            <w:szCs w:val="20"/>
          </w:rPr>
          <w:t>marek.prazmowski@us.edu.pl</w:t>
        </w:r>
      </w:hyperlink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</w:t>
      </w:r>
      <w:r w:rsidR="009C0C8B" w:rsidRPr="00D60A0C">
        <w:rPr>
          <w:rFonts w:ascii="Gill Sans MT" w:eastAsia="Arial Unicode MS" w:hAnsi="Gill Sans MT" w:cstheme="minorHAnsi"/>
          <w:sz w:val="20"/>
          <w:szCs w:val="20"/>
        </w:rPr>
        <w:t>osoba uprawniona do kontaktowania się z Wykonawcami, udzielania wyjaśnień w sprawach technicznych uzgodnień dotyczących przedmiotu umowy oraz nadzorowania i odbioru robót, w tym w zakresie zgodności z umową i pozostałymi wymaganiami Zamawiającego;</w:t>
      </w:r>
    </w:p>
    <w:p w:rsidR="00AF1FD3" w:rsidRPr="00EB019C" w:rsidRDefault="00BF3D84" w:rsidP="008700F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hanging="294"/>
        <w:jc w:val="both"/>
        <w:rPr>
          <w:rFonts w:ascii="Gill Sans MT" w:eastAsia="Arial Unicode MS" w:hAnsi="Gill Sans MT" w:cstheme="minorHAnsi"/>
          <w:sz w:val="20"/>
          <w:szCs w:val="20"/>
        </w:rPr>
      </w:pPr>
      <w:r w:rsidRPr="00EB019C">
        <w:rPr>
          <w:rFonts w:ascii="Gill Sans MT" w:eastAsia="Arial Unicode MS" w:hAnsi="Gill Sans MT" w:cstheme="minorHAnsi"/>
          <w:sz w:val="20"/>
          <w:szCs w:val="20"/>
        </w:rPr>
        <w:t>Monika Komarek</w:t>
      </w:r>
      <w:r w:rsidR="00AF1FD3" w:rsidRPr="00EB019C">
        <w:rPr>
          <w:rFonts w:ascii="Gill Sans MT" w:eastAsia="Arial Unicode MS" w:hAnsi="Gill Sans MT" w:cstheme="minorHAnsi"/>
          <w:sz w:val="20"/>
          <w:szCs w:val="20"/>
        </w:rPr>
        <w:t xml:space="preserve"> – </w:t>
      </w:r>
      <w:r w:rsidRPr="00EB019C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2" w:history="1">
        <w:r w:rsidRPr="00EB019C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Pr="00EB019C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EB019C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EB019C">
        <w:rPr>
          <w:rFonts w:ascii="Gill Sans MT" w:eastAsia="Arial Unicode MS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umowy;</w:t>
      </w:r>
    </w:p>
    <w:p w:rsidR="00AF1FD3" w:rsidRPr="00D60A0C" w:rsidRDefault="00AF1FD3" w:rsidP="008700F7">
      <w:pPr>
        <w:pStyle w:val="Akapitzlist"/>
        <w:numPr>
          <w:ilvl w:val="1"/>
          <w:numId w:val="9"/>
        </w:numPr>
        <w:tabs>
          <w:tab w:val="right" w:pos="9072"/>
        </w:tabs>
        <w:spacing w:after="120"/>
        <w:ind w:hanging="294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Zdzisław </w:t>
      </w:r>
      <w:proofErr w:type="spellStart"/>
      <w:r w:rsidRPr="00D60A0C">
        <w:rPr>
          <w:rFonts w:ascii="Gill Sans MT" w:eastAsia="Arial Unicode MS" w:hAnsi="Gill Sans MT" w:cstheme="minorHAnsi"/>
          <w:sz w:val="20"/>
          <w:szCs w:val="20"/>
        </w:rPr>
        <w:t>Gołojuch</w:t>
      </w:r>
      <w:proofErr w:type="spellEnd"/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– administrator obiektu, tel. 32 359 12 65, e-mail: </w:t>
      </w:r>
      <w:hyperlink r:id="rId13" w:history="1">
        <w:r w:rsidRPr="00D60A0C">
          <w:rPr>
            <w:rStyle w:val="Hipercze"/>
            <w:rFonts w:ascii="Gill Sans MT" w:eastAsia="Arial Unicode MS" w:hAnsi="Gill Sans MT" w:cstheme="minorHAnsi"/>
            <w:sz w:val="20"/>
            <w:szCs w:val="20"/>
          </w:rPr>
          <w:t>zdzislaw.golojuch@us.edu.pl</w:t>
        </w:r>
      </w:hyperlink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- osoba uprawniona do zgłaszania Wykonawcy wad w okresie gwarancji i rękojmi.</w:t>
      </w:r>
    </w:p>
    <w:p w:rsidR="00FE5D0A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:rsidR="000B5F28" w:rsidRPr="00D60A0C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:rsidR="000B5F28" w:rsidRPr="00D60A0C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 w:cstheme="minorHAnsi"/>
          <w:i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przepisu art. 2 ust. 1 pkt 1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Prawo zamówień publicznych – dotyczy zamówienia, którego wartość jest </w:t>
      </w:r>
      <w:r w:rsidR="00953E20" w:rsidRPr="00D60A0C">
        <w:rPr>
          <w:rFonts w:ascii="Gill Sans MT" w:hAnsi="Gill Sans MT" w:cstheme="minorHAnsi"/>
          <w:b/>
          <w:sz w:val="20"/>
          <w:szCs w:val="20"/>
          <w:lang w:eastAsia="pl-PL"/>
        </w:rPr>
        <w:t>większa niż 20 000 zł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i nie przekracza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kwoty </w:t>
      </w:r>
      <w:r w:rsidR="00214465" w:rsidRPr="00D60A0C">
        <w:rPr>
          <w:rFonts w:ascii="Gill Sans MT" w:hAnsi="Gill Sans MT" w:cstheme="minorHAnsi"/>
          <w:b/>
          <w:sz w:val="20"/>
          <w:szCs w:val="20"/>
          <w:lang w:eastAsia="pl-PL"/>
        </w:rPr>
        <w:t>130 000 zł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. Postępowanie prowadzone jest w oparciu o postanowienia § 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>zarządzeniem</w:t>
      </w:r>
      <w:r w:rsidR="00953E20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nr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25</w:t>
      </w:r>
      <w:r w:rsidR="002E1656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Rektora Uniwersytetu Śląskiego w </w:t>
      </w:r>
      <w:r w:rsidR="002E1656" w:rsidRPr="00D60A0C">
        <w:rPr>
          <w:rFonts w:ascii="Gill Sans MT" w:hAnsi="Gill Sans MT" w:cstheme="minorHAnsi"/>
          <w:sz w:val="20"/>
          <w:szCs w:val="20"/>
          <w:lang w:eastAsia="pl-PL"/>
        </w:rPr>
        <w:lastRenderedPageBreak/>
        <w:t xml:space="preserve">Katowicach z dnia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5 lutego 2021 r.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:rsidR="000B5F28" w:rsidRPr="00D60A0C" w:rsidRDefault="000B5F28" w:rsidP="000B5F28">
      <w:pPr>
        <w:spacing w:before="60" w:after="60"/>
        <w:ind w:left="426"/>
        <w:contextualSpacing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</w:p>
    <w:p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:rsidR="006C6642" w:rsidRPr="00D60A0C" w:rsidRDefault="006C6642" w:rsidP="00B107E3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Przedmiotem zamówienia jest wykonanie robót budowlanych w budynku Wydziału Nauk Ścisłych i Technicznych przy ul. Bankowej 14 w Katowicach. Szczegółowy opis przedmiotu zamówienia zawarty jest w specyfikacji technicznej wykonania i odbioru robót budowlanych  oraz w p</w:t>
      </w:r>
      <w:r w:rsidR="002202F4" w:rsidRPr="00D60A0C">
        <w:rPr>
          <w:rFonts w:ascii="Gill Sans MT" w:hAnsi="Gill Sans MT" w:cstheme="minorHAnsi"/>
          <w:sz w:val="20"/>
          <w:szCs w:val="20"/>
          <w:lang w:eastAsia="pl-PL"/>
        </w:rPr>
        <w:t>rzedmiarze robót (załączniki nr 6 i 7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(załącznik nr </w:t>
      </w:r>
      <w:r w:rsidR="002202F4" w:rsidRPr="00D60A0C">
        <w:rPr>
          <w:rFonts w:ascii="Gill Sans MT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 należy rozpatrywać łącznie. </w:t>
      </w:r>
      <w:r w:rsidR="00B107E3" w:rsidRPr="00D60A0C">
        <w:rPr>
          <w:rFonts w:ascii="Gill Sans MT" w:hAnsi="Gill Sans MT" w:cstheme="minorHAnsi"/>
          <w:sz w:val="20"/>
          <w:szCs w:val="20"/>
          <w:lang w:eastAsia="pl-PL"/>
        </w:rPr>
        <w:t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</w:p>
    <w:p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>45000000 - 7 roboty budowlane, z szczegółowym podziałem: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45111300 - 1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roboty rozbiórkowe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45262100 -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2 roboty przy wznoszeniu rusztowań</w:t>
      </w:r>
    </w:p>
    <w:p w:rsidR="00A30DA0" w:rsidRPr="00D60A0C" w:rsidRDefault="00C855CD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>45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262110 - 5 demontaż rusztowań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45262330 - 3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roboty w zakresie naprawy betonu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45332300 </w:t>
      </w:r>
      <w:r w:rsidR="00120D7F" w:rsidRPr="00D60A0C">
        <w:rPr>
          <w:rFonts w:ascii="Gill Sans MT" w:eastAsia="Arial Unicode MS" w:hAnsi="Gill Sans MT" w:cstheme="minorHAnsi"/>
          <w:sz w:val="20"/>
          <w:szCs w:val="20"/>
        </w:rPr>
        <w:t>-</w:t>
      </w: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6</w:t>
      </w:r>
      <w:r w:rsidR="00120D7F" w:rsidRPr="00D60A0C"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D60A0C">
        <w:rPr>
          <w:rFonts w:ascii="Gill Sans MT" w:eastAsia="Arial Unicode MS" w:hAnsi="Gill Sans MT" w:cstheme="minorHAnsi"/>
          <w:sz w:val="20"/>
          <w:szCs w:val="20"/>
        </w:rPr>
        <w:t>roboty instalacyjne kanalizacyjne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>45410000 - 4 tynkowanie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45421160 - 3 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instalowanie wyrobów metalowych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45431000 - 7 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kładzenie płytek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45442100 - 8 </w:t>
      </w:r>
      <w:r w:rsidR="00120D7F" w:rsidRPr="00D60A0C"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D60A0C">
        <w:rPr>
          <w:rFonts w:ascii="Gill Sans MT" w:eastAsia="Arial Unicode MS" w:hAnsi="Gill Sans MT" w:cstheme="minorHAnsi"/>
          <w:sz w:val="20"/>
          <w:szCs w:val="20"/>
        </w:rPr>
        <w:t>roboty malarskie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45442190 - 5 </w:t>
      </w:r>
      <w:r w:rsidR="00120D7F" w:rsidRPr="00D60A0C"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D60A0C">
        <w:rPr>
          <w:rFonts w:ascii="Gill Sans MT" w:eastAsia="Arial Unicode MS" w:hAnsi="Gill Sans MT" w:cstheme="minorHAnsi"/>
          <w:sz w:val="20"/>
          <w:szCs w:val="20"/>
        </w:rPr>
        <w:t>usuwanie warstwy malarskiej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>45450000 - 6  roboty budowlane wykończeniowe, pozostałe</w:t>
      </w:r>
    </w:p>
    <w:p w:rsidR="000B5F28" w:rsidRPr="00D60A0C" w:rsidRDefault="000B5F28" w:rsidP="0010677A">
      <w:pPr>
        <w:spacing w:before="60" w:after="60"/>
        <w:ind w:left="426" w:right="282"/>
        <w:jc w:val="both"/>
        <w:rPr>
          <w:rFonts w:ascii="Gill Sans MT" w:hAnsi="Gill Sans MT" w:cstheme="minorHAnsi"/>
          <w:i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:rsidTr="004C230E">
        <w:tc>
          <w:tcPr>
            <w:tcW w:w="8754" w:type="dxa"/>
          </w:tcPr>
          <w:p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do 5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0 dni, licząc od daty przekazania terenu budowy,</w:t>
      </w:r>
    </w:p>
    <w:p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do 3 dni roboczych, licząc od daty podpisania umowy.</w:t>
      </w:r>
    </w:p>
    <w:p w:rsidR="000B5F28" w:rsidRPr="00D60A0C" w:rsidRDefault="003D5A3E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budynek Wydziału Nauk Ścisłych i Technicznych,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ul. Bankowa 14, Katowice</w:t>
      </w:r>
    </w:p>
    <w:p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:rsidR="00B107E3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:rsidR="009F1CD8" w:rsidRPr="00D60A0C" w:rsidRDefault="0052612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Zgodnie z szczegółowym opisem przedmiotu zamówienia.</w:t>
      </w:r>
    </w:p>
    <w:p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:rsidR="009F1CD8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iż w okresie ostatnich pięciu lat przed upływem terminu składania ofert, a jeżeli okres prowadzenia działalności jest krótszy - w tym okresie, wykonał w sposób należyty: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co najmniej jedną robotę budowlaną</w:t>
      </w:r>
      <w:r w:rsidR="009F1CD8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, obejmującą swym zakresem</w:t>
      </w:r>
      <w:r w:rsidR="00EE4DF7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remont wnętrz budynku</w:t>
      </w:r>
      <w:r w:rsidR="00EE4DF7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9F1CD8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–  o wartości tej roboty minimum 24 000,00 zł brutto (rozumianej jako jedna robota budowlana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ramach jednej umowy/zlecenia).</w:t>
      </w:r>
    </w:p>
    <w:p w:rsidR="0050517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zawodowej o udzielenie zamówienia może ubiegać się Wykonawca, który wykaże, iż dysponuje lub będzie dysponował osobami zdolnymi do wykonania niniejszego zamówienia, posiadającymi prawo wykonywania zawodu oraz wymagane uprawnienia budowlane,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tj. kierownikiem robót, który posiada uprawnienia budowlane do kierowania robotami budowlanymi w specjalności konstrukcyjno-budowlanej, w rozumieniu przepisów ustawy z dnia 7 lipca 1994 r. Prawo budowlane (tekst jedn. </w:t>
      </w:r>
      <w:proofErr w:type="spellStart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Dz.U.z</w:t>
      </w:r>
      <w:proofErr w:type="spellEnd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2020 r. poz. 1333 z </w:t>
      </w:r>
      <w:proofErr w:type="spellStart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późń</w:t>
      </w:r>
      <w:proofErr w:type="spellEnd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 zm.) oraz rozporządzenia Ministra Inwestycji i Rozwoju z dnia 29 kwietnia 2019 r. w sprawie przygotowania zawodowego do pełnienia samodzielnych funkcji technicznych w budownictwie (</w:t>
      </w:r>
      <w:proofErr w:type="spellStart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Dz.U</w:t>
      </w:r>
      <w:proofErr w:type="spellEnd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 z 2019 r. poz. 831).</w:t>
      </w:r>
    </w:p>
    <w:p w:rsidR="0050517D" w:rsidRPr="00D60A0C" w:rsidRDefault="0050517D" w:rsidP="00C2745D">
      <w:pPr>
        <w:tabs>
          <w:tab w:val="left" w:pos="426"/>
        </w:tabs>
        <w:spacing w:before="80" w:after="80"/>
        <w:ind w:left="70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2016 r. poz. 65) lub odpowiadające im ważne uprawnienia budowlane, które zostały wydane na podstawie wcześniej obowiązujących przepisów.</w:t>
      </w:r>
    </w:p>
    <w:p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:rsidR="00240399" w:rsidRPr="00D60A0C" w:rsidRDefault="00240399" w:rsidP="0050517D">
      <w:pPr>
        <w:numPr>
          <w:ilvl w:val="0"/>
          <w:numId w:val="15"/>
        </w:numPr>
        <w:tabs>
          <w:tab w:val="left" w:pos="1134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:rsidR="00240399" w:rsidRPr="00D60A0C" w:rsidRDefault="00240399" w:rsidP="0050517D">
      <w:pPr>
        <w:numPr>
          <w:ilvl w:val="0"/>
          <w:numId w:val="15"/>
        </w:numPr>
        <w:tabs>
          <w:tab w:val="left" w:pos="1134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ppkt. 2) ogłoszenia; </w:t>
      </w:r>
    </w:p>
    <w:p w:rsidR="00240399" w:rsidRPr="00D60A0C" w:rsidRDefault="00240399" w:rsidP="0050517D">
      <w:pPr>
        <w:numPr>
          <w:ilvl w:val="0"/>
          <w:numId w:val="15"/>
        </w:numPr>
        <w:tabs>
          <w:tab w:val="left" w:pos="1134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wykaz osób, o którym mowa pkt. 10 ppkt. 3) ogłoszenia.</w:t>
      </w:r>
    </w:p>
    <w:p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:rsidR="000B5F28" w:rsidRPr="00D60A0C" w:rsidRDefault="00953E20" w:rsidP="00726AC9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:rsidR="000B5F28" w:rsidRPr="00D60A0C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</w:p>
    <w:p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z p. Leszkiem Wojdyła – inspektorem nadzoru inwestorskiego, tel. 506 212 896.</w:t>
      </w:r>
    </w:p>
    <w:p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4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</w:p>
    <w:p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:rsidR="00526128" w:rsidRPr="00D60A0C" w:rsidRDefault="00526128" w:rsidP="007469A0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r w:rsidRPr="00CE209C">
        <w:rPr>
          <w:rFonts w:ascii="Gill Sans MT" w:eastAsia="Calibri" w:hAnsi="Gill Sans MT" w:cstheme="minorHAnsi"/>
          <w:sz w:val="20"/>
          <w:szCs w:val="20"/>
          <w:lang w:eastAsia="pl-PL"/>
        </w:rPr>
        <w:t>https://platfo</w:t>
      </w:r>
      <w:r w:rsidR="00CE209C">
        <w:rPr>
          <w:rFonts w:ascii="Gill Sans MT" w:eastAsia="Calibri" w:hAnsi="Gill Sans MT" w:cstheme="minorHAnsi"/>
          <w:sz w:val="20"/>
          <w:szCs w:val="20"/>
          <w:lang w:eastAsia="pl-PL"/>
        </w:rPr>
        <w:t>rmazakupowa.pl/pn/us</w:t>
      </w:r>
    </w:p>
    <w:p w:rsidR="000B5F28" w:rsidRPr="00D60A0C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5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Po wypełnieniu Formularza składania oferty i dołączenia  wszystkich wymaganych załączników, należy  </w:t>
      </w:r>
    </w:p>
    <w:p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kliknąć przycisk „Przejdź do podsumowania”;</w:t>
      </w:r>
    </w:p>
    <w:p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b) 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c) 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Szczegółowa instrukcja dla Wykonawców dotycząca złożenia, zmiany i wycofania oferty przed upływem terminu składania ofert znajduje się na stronie internetowej pod adresem: </w:t>
      </w:r>
    </w:p>
    <w:p w:rsidR="000B5F28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6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</w:p>
    <w:p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nie ulegnie zwiększeniu i nie będzie podlegała waloryzacji podczas trwania umowy.</w:t>
      </w:r>
    </w:p>
    <w:p w:rsidR="000B5F28" w:rsidRPr="00D60A0C" w:rsidRDefault="00E534C0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:rsidR="000B5F28" w:rsidRPr="00D60A0C" w:rsidRDefault="000B5F28" w:rsidP="00CD3053">
      <w:pPr>
        <w:numPr>
          <w:ilvl w:val="0"/>
          <w:numId w:val="3"/>
        </w:numPr>
        <w:spacing w:after="0"/>
        <w:ind w:left="709" w:right="707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:rsidR="0019461F" w:rsidRPr="00D60A0C" w:rsidRDefault="0019461F" w:rsidP="0019461F">
      <w:pPr>
        <w:spacing w:after="0"/>
        <w:ind w:left="709" w:right="707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osób, które będą uczestniczyć w wykonaniu zamówienia, w szczególności odpowiedzialnych za świadczenie usług wraz z informacjami na temat ich kwalifikacji zawodowych, doświadczenia i  wykształcenia niezbędnych do wykonania zamówienia, a także zakresu wykonywanych przez nie czynności oraz informacją o podstawie do dysponowan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ia tymi osobami. – załącznik 5</w:t>
      </w:r>
    </w:p>
    <w:p w:rsidR="000B5F28" w:rsidRPr="00D60A0C" w:rsidRDefault="000B5F28" w:rsidP="0019461F">
      <w:pPr>
        <w:tabs>
          <w:tab w:val="left" w:pos="1560"/>
        </w:tabs>
        <w:spacing w:before="120"/>
        <w:ind w:right="282"/>
        <w:contextualSpacing/>
        <w:jc w:val="both"/>
        <w:rPr>
          <w:rFonts w:ascii="Gill Sans MT" w:eastAsia="Calibri" w:hAnsi="Gill Sans MT" w:cstheme="minorHAnsi"/>
          <w:bCs/>
          <w:i/>
          <w:sz w:val="20"/>
          <w:szCs w:val="20"/>
          <w:lang w:eastAsia="pl-PL"/>
        </w:rPr>
      </w:pPr>
    </w:p>
    <w:p w:rsidR="000B5F28" w:rsidRPr="00D60A0C" w:rsidRDefault="000B5F28" w:rsidP="0010677A">
      <w:pPr>
        <w:ind w:left="426" w:right="28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:rsidR="0019461F" w:rsidRPr="00D60A0C" w:rsidRDefault="0019461F" w:rsidP="0019461F">
      <w:pPr>
        <w:spacing w:before="60" w:after="60"/>
        <w:ind w:left="426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:rsidR="000B5F28" w:rsidRPr="00D60A0C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Instrukcja dotycząca przeprowadzenia postepowania - załącznik nr 1 </w:t>
      </w:r>
    </w:p>
    <w:p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Klauzula RODO – załącznik nr 3,</w:t>
      </w:r>
    </w:p>
    <w:p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D60A0C">
        <w:rPr>
          <w:rFonts w:ascii="Gill Sans MT" w:hAnsi="Gill Sans MT" w:cstheme="minorHAnsi"/>
          <w:sz w:val="20"/>
          <w:szCs w:val="20"/>
        </w:rPr>
        <w:t>,</w:t>
      </w:r>
    </w:p>
    <w:p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osób – załącznik nr 5</w:t>
      </w:r>
    </w:p>
    <w:p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proofErr w:type="spellStart"/>
      <w:r w:rsidRPr="00D60A0C">
        <w:rPr>
          <w:rFonts w:ascii="Gill Sans MT" w:hAnsi="Gill Sans MT" w:cstheme="minorHAnsi"/>
          <w:sz w:val="20"/>
          <w:szCs w:val="20"/>
        </w:rPr>
        <w:t>STWiORB</w:t>
      </w:r>
      <w:proofErr w:type="spellEnd"/>
      <w:r w:rsidRPr="00D60A0C">
        <w:rPr>
          <w:rFonts w:ascii="Gill Sans MT" w:hAnsi="Gill Sans MT" w:cstheme="minorHAnsi"/>
          <w:sz w:val="20"/>
          <w:szCs w:val="20"/>
        </w:rPr>
        <w:t xml:space="preserve"> – załącznik nr 6</w:t>
      </w:r>
    </w:p>
    <w:p w:rsidR="0010677A" w:rsidRPr="00D60A0C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D60A0C">
        <w:rPr>
          <w:rFonts w:ascii="Gill Sans MT" w:hAnsi="Gill Sans MT" w:cstheme="minorHAnsi"/>
          <w:sz w:val="20"/>
          <w:szCs w:val="20"/>
        </w:rPr>
        <w:t>ro</w:t>
      </w:r>
      <w:r w:rsidR="00847D47" w:rsidRPr="00D60A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D60A0C">
        <w:rPr>
          <w:rFonts w:ascii="Gill Sans MT" w:hAnsi="Gill Sans MT" w:cstheme="minorHAnsi"/>
          <w:sz w:val="20"/>
          <w:szCs w:val="20"/>
        </w:rPr>
        <w:t>– załącznik nr 7</w:t>
      </w: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10677A">
      <w:headerReference w:type="default" r:id="rId17"/>
      <w:footerReference w:type="default" r:id="rId18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BE" w:rsidRDefault="008518BE" w:rsidP="00885E24">
      <w:pPr>
        <w:spacing w:after="0" w:line="240" w:lineRule="auto"/>
      </w:pPr>
      <w:r>
        <w:separator/>
      </w:r>
    </w:p>
  </w:endnote>
  <w:endnote w:type="continuationSeparator" w:id="0">
    <w:p w:rsidR="008518BE" w:rsidRDefault="008518BE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EndPr/>
    <w:sdtContent>
      <w:p w:rsidR="008518BE" w:rsidRDefault="008518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DEB">
          <w:rPr>
            <w:noProof/>
          </w:rPr>
          <w:t>1</w:t>
        </w:r>
        <w:r>
          <w:fldChar w:fldCharType="end"/>
        </w:r>
      </w:p>
    </w:sdtContent>
  </w:sdt>
  <w:p w:rsidR="008518BE" w:rsidRDefault="00851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BE" w:rsidRDefault="008518BE" w:rsidP="00885E24">
      <w:pPr>
        <w:spacing w:after="0" w:line="240" w:lineRule="auto"/>
      </w:pPr>
      <w:r>
        <w:separator/>
      </w:r>
    </w:p>
  </w:footnote>
  <w:footnote w:type="continuationSeparator" w:id="0">
    <w:p w:rsidR="008518BE" w:rsidRDefault="008518BE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BE" w:rsidRPr="004C230E" w:rsidRDefault="008518BE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6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A7CA2"/>
    <w:multiLevelType w:val="multilevel"/>
    <w:tmpl w:val="3F7CD338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18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16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30679"/>
    <w:rsid w:val="00040CC9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20D7F"/>
    <w:rsid w:val="0012263D"/>
    <w:rsid w:val="0012468E"/>
    <w:rsid w:val="0012639F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1AD0"/>
    <w:rsid w:val="0039492B"/>
    <w:rsid w:val="003A1011"/>
    <w:rsid w:val="003A18A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3B4"/>
    <w:rsid w:val="006119FA"/>
    <w:rsid w:val="0062719F"/>
    <w:rsid w:val="00630991"/>
    <w:rsid w:val="00631BF1"/>
    <w:rsid w:val="00637661"/>
    <w:rsid w:val="00640D4D"/>
    <w:rsid w:val="00643092"/>
    <w:rsid w:val="00650B02"/>
    <w:rsid w:val="006524D6"/>
    <w:rsid w:val="0067134B"/>
    <w:rsid w:val="006806CE"/>
    <w:rsid w:val="00686689"/>
    <w:rsid w:val="0069173B"/>
    <w:rsid w:val="006A2FBE"/>
    <w:rsid w:val="006B2668"/>
    <w:rsid w:val="006C6642"/>
    <w:rsid w:val="006D5ADC"/>
    <w:rsid w:val="00705E08"/>
    <w:rsid w:val="007071C1"/>
    <w:rsid w:val="00712866"/>
    <w:rsid w:val="00726AC9"/>
    <w:rsid w:val="007370E3"/>
    <w:rsid w:val="007446D3"/>
    <w:rsid w:val="007469A0"/>
    <w:rsid w:val="00755F08"/>
    <w:rsid w:val="007571AB"/>
    <w:rsid w:val="00760C0F"/>
    <w:rsid w:val="0076155E"/>
    <w:rsid w:val="00774927"/>
    <w:rsid w:val="007920CF"/>
    <w:rsid w:val="00797805"/>
    <w:rsid w:val="007A6B05"/>
    <w:rsid w:val="007B123F"/>
    <w:rsid w:val="007C409A"/>
    <w:rsid w:val="007D0E9D"/>
    <w:rsid w:val="007D6638"/>
    <w:rsid w:val="007E3267"/>
    <w:rsid w:val="007E3DE1"/>
    <w:rsid w:val="00817870"/>
    <w:rsid w:val="00822360"/>
    <w:rsid w:val="00833EFB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26970"/>
    <w:rsid w:val="00B31F37"/>
    <w:rsid w:val="00B3492F"/>
    <w:rsid w:val="00B37091"/>
    <w:rsid w:val="00B503A5"/>
    <w:rsid w:val="00B67F4B"/>
    <w:rsid w:val="00B71B9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D3053"/>
    <w:rsid w:val="00CD403A"/>
    <w:rsid w:val="00CE00E7"/>
    <w:rsid w:val="00CE209C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20952"/>
    <w:rsid w:val="00D44811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3AD1"/>
    <w:rsid w:val="00E257E9"/>
    <w:rsid w:val="00E2710D"/>
    <w:rsid w:val="00E340B5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1020D"/>
    <w:rsid w:val="00F11025"/>
    <w:rsid w:val="00F16E3E"/>
    <w:rsid w:val="00F2235D"/>
    <w:rsid w:val="00F22F5E"/>
    <w:rsid w:val="00F4151A"/>
    <w:rsid w:val="00F53E67"/>
    <w:rsid w:val="00F556D2"/>
    <w:rsid w:val="00F84A62"/>
    <w:rsid w:val="00F93CA6"/>
    <w:rsid w:val="00F9696F"/>
    <w:rsid w:val="00FC3BCD"/>
    <w:rsid w:val="00FC4408"/>
    <w:rsid w:val="00FC7AA8"/>
    <w:rsid w:val="00FD0B10"/>
    <w:rsid w:val="00FD2991"/>
    <w:rsid w:val="00FE5D0A"/>
    <w:rsid w:val="00FE63D8"/>
    <w:rsid w:val="00FE6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dzislaw.golojuch@us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komarek@us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DvIX8c8ij69qA78GJoTQMc1Djk_avZrhcpin5Gu-2rk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.prazmowski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10" Type="http://schemas.openxmlformats.org/officeDocument/2006/relationships/hyperlink" Target="mailto:leszek.wojdyla@us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https://platformazakupowa.pl/pn/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BDF6B7-264C-46CA-9951-0C30F0EB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33</cp:revision>
  <cp:lastPrinted>2021-02-08T08:22:00Z</cp:lastPrinted>
  <dcterms:created xsi:type="dcterms:W3CDTF">2021-03-05T10:05:00Z</dcterms:created>
  <dcterms:modified xsi:type="dcterms:W3CDTF">2021-04-12T06:45:00Z</dcterms:modified>
</cp:coreProperties>
</file>