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2F8F7" w14:textId="77777777" w:rsidR="00132D62" w:rsidRDefault="00132D62" w:rsidP="006B6332">
      <w:pPr>
        <w:tabs>
          <w:tab w:val="left" w:pos="2977"/>
        </w:tabs>
        <w:suppressAutoHyphens/>
        <w:spacing w:before="120" w:after="200" w:line="276" w:lineRule="auto"/>
        <w:ind w:left="0" w:firstLine="0"/>
        <w:jc w:val="right"/>
        <w:rPr>
          <w:rFonts w:eastAsia="Calibri" w:cs="Arial"/>
          <w:sz w:val="18"/>
          <w:szCs w:val="18"/>
          <w:lang w:eastAsia="ar-SA"/>
        </w:rPr>
      </w:pPr>
    </w:p>
    <w:p w14:paraId="537F448B" w14:textId="711A820F" w:rsidR="007C1C58" w:rsidRPr="007C1C58" w:rsidRDefault="007C1C58" w:rsidP="006B6332">
      <w:pPr>
        <w:tabs>
          <w:tab w:val="left" w:pos="2977"/>
        </w:tabs>
        <w:suppressAutoHyphens/>
        <w:spacing w:before="12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DZP.382.6.</w:t>
      </w:r>
      <w:r w:rsidR="004E5074">
        <w:rPr>
          <w:rFonts w:eastAsia="Calibri" w:cs="Arial"/>
          <w:sz w:val="18"/>
          <w:szCs w:val="18"/>
          <w:lang w:eastAsia="ar-SA"/>
        </w:rPr>
        <w:t>11</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10527350" w14:textId="77777777" w:rsidR="004E5074" w:rsidRPr="00CF2221" w:rsidRDefault="004E5074" w:rsidP="004E5074">
      <w:pPr>
        <w:spacing w:before="40" w:line="276" w:lineRule="auto"/>
        <w:jc w:val="center"/>
        <w:rPr>
          <w:b/>
          <w:color w:val="000000"/>
          <w:sz w:val="22"/>
        </w:rPr>
      </w:pPr>
      <w:r w:rsidRPr="00CF2221">
        <w:rPr>
          <w:rFonts w:eastAsia="Calibri" w:cs="Arial"/>
          <w:b/>
          <w:sz w:val="22"/>
        </w:rPr>
        <w:t xml:space="preserve">Usługa cateringowa </w:t>
      </w:r>
      <w:r w:rsidRPr="00CF2221">
        <w:rPr>
          <w:b/>
          <w:color w:val="000000"/>
          <w:sz w:val="22"/>
        </w:rPr>
        <w:t xml:space="preserve">dla gości </w:t>
      </w:r>
    </w:p>
    <w:p w14:paraId="461E7EA8" w14:textId="77777777" w:rsidR="004E5074" w:rsidRPr="00CF2221" w:rsidRDefault="004E5074" w:rsidP="004E5074">
      <w:pPr>
        <w:spacing w:before="40" w:after="40" w:line="276" w:lineRule="auto"/>
        <w:jc w:val="center"/>
        <w:rPr>
          <w:rFonts w:eastAsia="Calibri" w:cs="Arial"/>
          <w:b/>
          <w:sz w:val="22"/>
        </w:rPr>
      </w:pPr>
      <w:r w:rsidRPr="00CF2221">
        <w:rPr>
          <w:b/>
          <w:color w:val="000000"/>
          <w:sz w:val="22"/>
        </w:rPr>
        <w:t>Międzyuczelnianej Inauguracji Roku Akademickiego 2024/ 2025</w:t>
      </w:r>
      <w:r w:rsidRPr="00CF2221">
        <w:rPr>
          <w:rFonts w:eastAsia="Calibri" w:cs="Arial"/>
          <w:b/>
          <w:sz w:val="22"/>
        </w:rPr>
        <w:t>r.</w:t>
      </w:r>
    </w:p>
    <w:p w14:paraId="418A4C40" w14:textId="20FC7648" w:rsidR="00D013D5" w:rsidRDefault="00D013D5" w:rsidP="000700A3">
      <w:pPr>
        <w:spacing w:before="40" w:after="40"/>
        <w:ind w:left="0" w:firstLine="0"/>
        <w:jc w:val="center"/>
        <w:rPr>
          <w:rFonts w:eastAsia="Calibri" w:cs="Arial"/>
          <w:b/>
          <w:bCs/>
          <w:color w:val="222A35" w:themeColor="text2" w:themeShade="80"/>
          <w:sz w:val="24"/>
          <w:szCs w:val="24"/>
        </w:rPr>
      </w:pPr>
    </w:p>
    <w:p w14:paraId="6DA29326" w14:textId="3A39248F" w:rsidR="007C1C58" w:rsidRPr="005E6065" w:rsidRDefault="007C1C58" w:rsidP="000700A3">
      <w:pPr>
        <w:spacing w:before="40" w:after="40"/>
        <w:ind w:left="0" w:firstLine="0"/>
        <w:jc w:val="center"/>
        <w:rPr>
          <w:rFonts w:eastAsia="Calibri" w:cs="Arial"/>
          <w:b/>
          <w:bCs/>
          <w:color w:val="222A35" w:themeColor="text2" w:themeShade="80"/>
          <w:sz w:val="24"/>
          <w:szCs w:val="24"/>
        </w:rPr>
      </w:pPr>
      <w:r w:rsidRPr="005E6065">
        <w:rPr>
          <w:rFonts w:eastAsia="Calibri" w:cs="Arial"/>
          <w:b/>
          <w:bCs/>
          <w:color w:val="222A35" w:themeColor="text2" w:themeShade="80"/>
          <w:sz w:val="24"/>
          <w:szCs w:val="24"/>
        </w:rPr>
        <w:t>DZP.</w:t>
      </w:r>
      <w:r w:rsidR="00C43839" w:rsidRPr="005E6065">
        <w:rPr>
          <w:rFonts w:eastAsia="Calibri" w:cs="Arial"/>
          <w:b/>
          <w:bCs/>
          <w:color w:val="222A35" w:themeColor="text2" w:themeShade="80"/>
          <w:sz w:val="24"/>
          <w:szCs w:val="24"/>
        </w:rPr>
        <w:t>382.6.</w:t>
      </w:r>
      <w:r w:rsidR="004E5074">
        <w:rPr>
          <w:rFonts w:eastAsia="Calibri" w:cs="Arial"/>
          <w:b/>
          <w:bCs/>
          <w:color w:val="222A35" w:themeColor="text2" w:themeShade="80"/>
          <w:sz w:val="24"/>
          <w:szCs w:val="24"/>
        </w:rPr>
        <w:t>11</w:t>
      </w:r>
      <w:bookmarkStart w:id="0" w:name="_GoBack"/>
      <w:bookmarkEnd w:id="0"/>
      <w:r w:rsidR="00C43839" w:rsidRPr="005E6065">
        <w:rPr>
          <w:rFonts w:eastAsia="Calibri" w:cs="Arial"/>
          <w:b/>
          <w:bCs/>
          <w:color w:val="222A35" w:themeColor="text2" w:themeShade="80"/>
          <w:sz w:val="24"/>
          <w:szCs w:val="24"/>
        </w:rPr>
        <w:t>.202</w:t>
      </w:r>
      <w:r w:rsidR="000700A3">
        <w:rPr>
          <w:rFonts w:eastAsia="Calibri" w:cs="Arial"/>
          <w:b/>
          <w:bCs/>
          <w:color w:val="222A35" w:themeColor="text2" w:themeShade="80"/>
          <w:sz w:val="24"/>
          <w:szCs w:val="24"/>
        </w:rPr>
        <w:t>4</w:t>
      </w:r>
    </w:p>
    <w:p w14:paraId="0BA911C8" w14:textId="77777777" w:rsidR="00D013D5" w:rsidRDefault="00D013D5" w:rsidP="00D013D5">
      <w:pPr>
        <w:tabs>
          <w:tab w:val="center" w:pos="5232"/>
          <w:tab w:val="left" w:pos="7501"/>
        </w:tabs>
        <w:suppressAutoHyphens/>
        <w:spacing w:line="276" w:lineRule="auto"/>
        <w:ind w:left="0" w:firstLine="0"/>
        <w:jc w:val="center"/>
        <w:rPr>
          <w:rFonts w:eastAsia="Calibri" w:cs="Arial"/>
          <w:b/>
          <w:sz w:val="24"/>
          <w:szCs w:val="24"/>
          <w:lang w:eastAsia="ar-SA"/>
        </w:rPr>
      </w:pPr>
    </w:p>
    <w:p w14:paraId="56D2ED31" w14:textId="719C139B"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0700A3">
        <w:trPr>
          <w:trHeight w:val="2112"/>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07D224DF"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26BB8F8E" w:rsidR="00C43839" w:rsidRPr="007C1C58" w:rsidRDefault="00C43839" w:rsidP="00D013D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755A968F" w14:textId="77777777" w:rsidR="00D013D5" w:rsidRDefault="00D013D5" w:rsidP="005E6065">
      <w:pPr>
        <w:keepNext/>
        <w:suppressAutoHyphens/>
        <w:spacing w:before="120" w:after="200" w:line="276" w:lineRule="auto"/>
        <w:ind w:left="0" w:firstLine="0"/>
        <w:jc w:val="center"/>
        <w:rPr>
          <w:rFonts w:eastAsia="Calibri" w:cs="Arial"/>
          <w:b/>
          <w:szCs w:val="20"/>
          <w:lang w:eastAsia="pl-PL"/>
        </w:rPr>
      </w:pPr>
    </w:p>
    <w:p w14:paraId="0450EFB2" w14:textId="77777777" w:rsidR="00132D62" w:rsidRDefault="00132D62">
      <w:pPr>
        <w:rPr>
          <w:rFonts w:eastAsia="Calibri" w:cs="Arial"/>
          <w:b/>
          <w:szCs w:val="20"/>
          <w:lang w:eastAsia="pl-PL"/>
        </w:rPr>
      </w:pPr>
      <w:r>
        <w:rPr>
          <w:rFonts w:eastAsia="Calibri" w:cs="Arial"/>
          <w:b/>
          <w:szCs w:val="20"/>
          <w:lang w:eastAsia="pl-PL"/>
        </w:rPr>
        <w:br w:type="page"/>
      </w:r>
    </w:p>
    <w:p w14:paraId="0A81B176" w14:textId="39296693"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64642">
      <w:headerReference w:type="default" r:id="rId8"/>
      <w:pgSz w:w="11906" w:h="16838" w:code="9"/>
      <w:pgMar w:top="1134" w:right="1418" w:bottom="709"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C0FC0" w14:textId="4853AA88" w:rsidR="007E5CDA" w:rsidRPr="00FB71CB" w:rsidRDefault="00132D62" w:rsidP="00132D62">
    <w:pPr>
      <w:pStyle w:val="Nagwek"/>
      <w:tabs>
        <w:tab w:val="clear" w:pos="4536"/>
        <w:tab w:val="clear" w:pos="9072"/>
        <w:tab w:val="left" w:pos="1650"/>
      </w:tabs>
      <w:ind w:left="426"/>
      <w:rPr>
        <w:rFonts w:ascii="Calibri" w:eastAsia="Calibri" w:hAnsi="Calibri"/>
        <w:szCs w:val="20"/>
      </w:rPr>
    </w:pPr>
    <w:r>
      <w:rPr>
        <w:noProof/>
      </w:rPr>
      <w:pict w14:anchorId="585E2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left:0;text-align:left;margin-left:-17.85pt;margin-top:-70.95pt;width:595.3pt;height:841.75pt;z-index:-251656192;mso-position-horizontal-relative:margin;mso-position-vertical-relative:margin">
          <v:imagedata r:id="rId1" o:title="image1"/>
          <w10:wrap anchorx="margin" anchory="margin"/>
        </v:shape>
      </w:pict>
    </w:r>
    <w:sdt>
      <w:sdtPr>
        <w:id w:val="533472933"/>
        <w:docPartObj>
          <w:docPartGallery w:val="Page Numbers (Margins)"/>
          <w:docPartUnique/>
        </w:docPartObj>
      </w:sdtPr>
      <w:sdtEndPr/>
      <w:sdtContent>
        <w:r w:rsidR="000700A3">
          <w:rPr>
            <w:noProof/>
          </w:rPr>
          <mc:AlternateContent>
            <mc:Choice Requires="wps">
              <w:drawing>
                <wp:anchor distT="0" distB="0" distL="114300" distR="114300" simplePos="0" relativeHeight="251659264" behindDoc="0" locked="0" layoutInCell="0" allowOverlap="1" wp14:anchorId="3782F827" wp14:editId="3676B03C">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782F827" id="Prostokąt 38"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v:textbox>
                  <w10:wrap anchorx="margin" anchory="margin"/>
                </v:rect>
              </w:pict>
            </mc:Fallback>
          </mc:AlternateContent>
        </w:r>
      </w:sdtContent>
    </w:sdt>
  </w:p>
  <w:p w14:paraId="252EF1BE" w14:textId="579966B0" w:rsidR="000700A3" w:rsidRDefault="000700A3" w:rsidP="007E5C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C35A2"/>
    <w:rsid w:val="000C5ABC"/>
    <w:rsid w:val="000D1F37"/>
    <w:rsid w:val="000E587B"/>
    <w:rsid w:val="00102936"/>
    <w:rsid w:val="00103256"/>
    <w:rsid w:val="001054AC"/>
    <w:rsid w:val="00110217"/>
    <w:rsid w:val="00111FD4"/>
    <w:rsid w:val="00113823"/>
    <w:rsid w:val="00120996"/>
    <w:rsid w:val="00132D62"/>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E5074"/>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E1600"/>
    <w:rsid w:val="007E1EB6"/>
    <w:rsid w:val="007E5CDA"/>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13D5"/>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80FA6-CF07-45B9-9394-25D800DE6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647</Words>
  <Characters>3887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5</cp:revision>
  <cp:lastPrinted>2022-03-30T09:56:00Z</cp:lastPrinted>
  <dcterms:created xsi:type="dcterms:W3CDTF">2024-04-30T08:38:00Z</dcterms:created>
  <dcterms:modified xsi:type="dcterms:W3CDTF">2024-08-27T09:40:00Z</dcterms:modified>
</cp:coreProperties>
</file>