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85A3E" w14:textId="08420BF4" w:rsidR="00CE0D4C" w:rsidRPr="00F60463" w:rsidRDefault="00CE0D4C" w:rsidP="00CE0D4C">
      <w:pPr>
        <w:pStyle w:val="Nagwek1"/>
        <w:jc w:val="right"/>
      </w:pPr>
      <w:r w:rsidRPr="00F60463">
        <w:t xml:space="preserve">ZAŁĄCZNIK NR </w:t>
      </w:r>
      <w:r>
        <w:t>3</w:t>
      </w:r>
      <w:r w:rsidRPr="00F60463">
        <w:t xml:space="preserve"> DO SWZ</w:t>
      </w:r>
    </w:p>
    <w:p w14:paraId="185A3F6E" w14:textId="59401775" w:rsidR="005424E0" w:rsidRDefault="005424E0" w:rsidP="00CD167C">
      <w:pPr>
        <w:spacing w:line="360" w:lineRule="auto"/>
        <w:jc w:val="right"/>
        <w:rPr>
          <w:rFonts w:ascii="Tahoma" w:hAnsi="Tahoma" w:cs="Tahoma"/>
          <w:b/>
        </w:rPr>
      </w:pPr>
    </w:p>
    <w:p w14:paraId="0AD0BBB3" w14:textId="77777777" w:rsidR="005424E0" w:rsidRPr="00CE0D4C" w:rsidRDefault="005424E0" w:rsidP="00CD167C">
      <w:pPr>
        <w:spacing w:line="360" w:lineRule="auto"/>
        <w:jc w:val="right"/>
        <w:rPr>
          <w:rFonts w:ascii="Cambria" w:hAnsi="Cambria" w:cs="Tahoma"/>
          <w:b/>
          <w:sz w:val="22"/>
          <w:szCs w:val="22"/>
        </w:rPr>
      </w:pPr>
    </w:p>
    <w:p w14:paraId="72477F99" w14:textId="3FA29B4F" w:rsidR="00490CFE" w:rsidRPr="00CE0D4C" w:rsidRDefault="002A49C0" w:rsidP="00CD167C">
      <w:pPr>
        <w:spacing w:line="360" w:lineRule="auto"/>
        <w:jc w:val="center"/>
        <w:rPr>
          <w:rFonts w:ascii="Cambria" w:hAnsi="Cambria" w:cs="Tahoma"/>
          <w:b/>
          <w:sz w:val="22"/>
          <w:szCs w:val="22"/>
        </w:rPr>
      </w:pPr>
      <w:r w:rsidRPr="00CE0D4C">
        <w:rPr>
          <w:rFonts w:ascii="Cambria" w:hAnsi="Cambria" w:cs="Tahoma"/>
          <w:b/>
          <w:sz w:val="22"/>
          <w:szCs w:val="22"/>
        </w:rPr>
        <w:t xml:space="preserve">OPIS </w:t>
      </w:r>
      <w:r w:rsidR="00E74DD4" w:rsidRPr="00CE0D4C">
        <w:rPr>
          <w:rFonts w:ascii="Cambria" w:hAnsi="Cambria" w:cs="Tahoma"/>
          <w:b/>
          <w:sz w:val="22"/>
          <w:szCs w:val="22"/>
        </w:rPr>
        <w:t>PRZEDMIOT</w:t>
      </w:r>
      <w:r w:rsidRPr="00CE0D4C">
        <w:rPr>
          <w:rFonts w:ascii="Cambria" w:hAnsi="Cambria" w:cs="Tahoma"/>
          <w:b/>
          <w:sz w:val="22"/>
          <w:szCs w:val="22"/>
        </w:rPr>
        <w:t>U</w:t>
      </w:r>
      <w:r w:rsidR="00E74DD4" w:rsidRPr="00CE0D4C">
        <w:rPr>
          <w:rFonts w:ascii="Cambria" w:hAnsi="Cambria" w:cs="Tahoma"/>
          <w:b/>
          <w:sz w:val="22"/>
          <w:szCs w:val="22"/>
        </w:rPr>
        <w:t xml:space="preserve"> </w:t>
      </w:r>
      <w:r w:rsidRPr="00CE0D4C">
        <w:rPr>
          <w:rFonts w:ascii="Cambria" w:hAnsi="Cambria" w:cs="Tahoma"/>
          <w:b/>
          <w:sz w:val="22"/>
          <w:szCs w:val="22"/>
        </w:rPr>
        <w:t>ZAMÓWIENIA</w:t>
      </w:r>
      <w:r w:rsidR="00C6043C" w:rsidRPr="00CE0D4C">
        <w:rPr>
          <w:rFonts w:ascii="Cambria" w:hAnsi="Cambria" w:cs="Tahoma"/>
          <w:b/>
          <w:sz w:val="22"/>
          <w:szCs w:val="22"/>
        </w:rPr>
        <w:t xml:space="preserve"> (OPZ)</w:t>
      </w:r>
    </w:p>
    <w:p w14:paraId="2C114139" w14:textId="77777777" w:rsidR="00E74DD4" w:rsidRPr="00CE0D4C" w:rsidRDefault="00E74DD4" w:rsidP="00CD167C">
      <w:pPr>
        <w:spacing w:line="360" w:lineRule="auto"/>
        <w:rPr>
          <w:rFonts w:ascii="Cambria" w:hAnsi="Cambria" w:cs="Tahoma"/>
          <w:b/>
          <w:sz w:val="22"/>
          <w:szCs w:val="22"/>
        </w:rPr>
      </w:pPr>
    </w:p>
    <w:p w14:paraId="3BF709D1" w14:textId="7021E8E8" w:rsidR="00490CFE" w:rsidRPr="00CE0D4C" w:rsidRDefault="00490CFE" w:rsidP="00CD167C">
      <w:pPr>
        <w:spacing w:line="360" w:lineRule="auto"/>
        <w:rPr>
          <w:rFonts w:ascii="Cambria" w:hAnsi="Cambria" w:cs="Tahoma"/>
          <w:b/>
          <w:sz w:val="22"/>
          <w:szCs w:val="22"/>
        </w:rPr>
      </w:pPr>
      <w:r w:rsidRPr="00CE0D4C">
        <w:rPr>
          <w:rFonts w:ascii="Cambria" w:hAnsi="Cambria" w:cs="Tahoma"/>
          <w:b/>
          <w:sz w:val="22"/>
          <w:szCs w:val="22"/>
        </w:rPr>
        <w:t xml:space="preserve">Rozdział I </w:t>
      </w:r>
      <w:r w:rsidR="00BB110C" w:rsidRPr="00CE0D4C">
        <w:rPr>
          <w:rFonts w:ascii="Cambria" w:hAnsi="Cambria" w:cs="Tahoma"/>
          <w:b/>
          <w:sz w:val="22"/>
          <w:szCs w:val="22"/>
        </w:rPr>
        <w:t>–</w:t>
      </w:r>
      <w:r w:rsidRPr="00CE0D4C">
        <w:rPr>
          <w:rFonts w:ascii="Cambria" w:hAnsi="Cambria" w:cs="Tahoma"/>
          <w:b/>
          <w:sz w:val="22"/>
          <w:szCs w:val="22"/>
        </w:rPr>
        <w:t xml:space="preserve"> OPIS</w:t>
      </w:r>
      <w:r w:rsidR="00BB110C" w:rsidRPr="00CE0D4C">
        <w:rPr>
          <w:rFonts w:ascii="Cambria" w:hAnsi="Cambria" w:cs="Tahoma"/>
          <w:b/>
          <w:sz w:val="22"/>
          <w:szCs w:val="22"/>
        </w:rPr>
        <w:t xml:space="preserve"> PRZEDMIOTU ZAMÓWIENIA</w:t>
      </w:r>
    </w:p>
    <w:p w14:paraId="0F406CDF" w14:textId="16988341" w:rsidR="00490CFE" w:rsidRPr="00CE0D4C" w:rsidRDefault="00490CFE" w:rsidP="00375EC9">
      <w:pPr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Przedmiotem </w:t>
      </w:r>
      <w:r w:rsidR="002A49C0" w:rsidRPr="00CE0D4C">
        <w:rPr>
          <w:rFonts w:ascii="Cambria" w:hAnsi="Cambria" w:cs="Tahoma"/>
          <w:sz w:val="22"/>
          <w:szCs w:val="22"/>
        </w:rPr>
        <w:t xml:space="preserve">zamówienia </w:t>
      </w:r>
      <w:r w:rsidRPr="00CE0D4C">
        <w:rPr>
          <w:rFonts w:ascii="Cambria" w:hAnsi="Cambria" w:cs="Tahoma"/>
          <w:sz w:val="22"/>
          <w:szCs w:val="22"/>
        </w:rPr>
        <w:t xml:space="preserve"> jest </w:t>
      </w:r>
      <w:r w:rsidR="004D1CF0" w:rsidRPr="00CE0D4C">
        <w:rPr>
          <w:rFonts w:ascii="Cambria" w:hAnsi="Cambria" w:cs="Tahoma"/>
          <w:sz w:val="22"/>
          <w:szCs w:val="22"/>
        </w:rPr>
        <w:t xml:space="preserve">świadczenie </w:t>
      </w:r>
      <w:r w:rsidR="0055167F" w:rsidRPr="00CE0D4C">
        <w:rPr>
          <w:rFonts w:ascii="Cambria" w:hAnsi="Cambria" w:cs="Tahoma"/>
          <w:sz w:val="22"/>
          <w:szCs w:val="22"/>
        </w:rPr>
        <w:t xml:space="preserve">bieżącej pomocy </w:t>
      </w:r>
      <w:r w:rsidR="004D1CF0" w:rsidRPr="00CE0D4C">
        <w:rPr>
          <w:rFonts w:ascii="Cambria" w:hAnsi="Cambria" w:cs="Tahoma"/>
          <w:sz w:val="22"/>
          <w:szCs w:val="22"/>
        </w:rPr>
        <w:t>prawnej dla</w:t>
      </w:r>
      <w:r w:rsidRPr="00CE0D4C">
        <w:rPr>
          <w:rFonts w:ascii="Cambria" w:hAnsi="Cambria" w:cs="Tahoma"/>
          <w:sz w:val="22"/>
          <w:szCs w:val="22"/>
        </w:rPr>
        <w:t xml:space="preserve"> </w:t>
      </w:r>
      <w:r w:rsidR="00CD167C" w:rsidRPr="00CE0D4C">
        <w:rPr>
          <w:rFonts w:ascii="Cambria" w:hAnsi="Cambria" w:cs="Tahoma"/>
          <w:sz w:val="22"/>
          <w:szCs w:val="22"/>
        </w:rPr>
        <w:t>NARODOWEGO INSTYTUTU GERIATRII, REUMATOLOGII I REHABILITACJI IM. PROF. DR HAB. MED. ELEONORY REICHER</w:t>
      </w:r>
      <w:r w:rsidR="00BB110C" w:rsidRPr="00CE0D4C">
        <w:rPr>
          <w:rFonts w:ascii="Cambria" w:hAnsi="Cambria" w:cs="Tahoma"/>
          <w:sz w:val="22"/>
          <w:szCs w:val="22"/>
        </w:rPr>
        <w:t>, zwanego dalej „Zamawiającym” lub „</w:t>
      </w:r>
      <w:r w:rsidR="00CD167C" w:rsidRPr="00CE0D4C">
        <w:rPr>
          <w:rFonts w:ascii="Cambria" w:hAnsi="Cambria" w:cs="Tahoma"/>
          <w:sz w:val="22"/>
          <w:szCs w:val="22"/>
        </w:rPr>
        <w:t>NIGRiR</w:t>
      </w:r>
      <w:r w:rsidR="00BB110C" w:rsidRPr="00CE0D4C">
        <w:rPr>
          <w:rFonts w:ascii="Cambria" w:hAnsi="Cambria" w:cs="Tahoma"/>
          <w:sz w:val="22"/>
          <w:szCs w:val="22"/>
        </w:rPr>
        <w:t>”</w:t>
      </w:r>
      <w:r w:rsidRPr="00CE0D4C">
        <w:rPr>
          <w:rFonts w:ascii="Cambria" w:hAnsi="Cambria" w:cs="Tahoma"/>
          <w:sz w:val="22"/>
          <w:szCs w:val="22"/>
        </w:rPr>
        <w:t xml:space="preserve">. </w:t>
      </w:r>
    </w:p>
    <w:p w14:paraId="359D679A" w14:textId="77777777" w:rsidR="00490CFE" w:rsidRPr="00CE0D4C" w:rsidRDefault="00490CFE" w:rsidP="00CD167C">
      <w:pPr>
        <w:numPr>
          <w:ilvl w:val="0"/>
          <w:numId w:val="1"/>
        </w:numPr>
        <w:tabs>
          <w:tab w:val="num" w:pos="180"/>
        </w:tabs>
        <w:spacing w:line="360" w:lineRule="auto"/>
        <w:ind w:left="180" w:hanging="180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   W zakres przedmiotowej usługi wchodzą następujące czynności:</w:t>
      </w:r>
    </w:p>
    <w:p w14:paraId="729C4872" w14:textId="08810D2C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udzielanie porad i konsultacji prawnych oraz opinii prawnych w sprawach zgłaszanych </w:t>
      </w:r>
      <w:r w:rsidR="00DC789E" w:rsidRPr="00CE0D4C">
        <w:rPr>
          <w:rFonts w:ascii="Cambria" w:hAnsi="Cambria" w:cs="Tahoma"/>
          <w:sz w:val="22"/>
          <w:szCs w:val="22"/>
        </w:rPr>
        <w:br/>
      </w:r>
      <w:r w:rsidRPr="00CE0D4C">
        <w:rPr>
          <w:rFonts w:ascii="Cambria" w:hAnsi="Cambria" w:cs="Tahoma"/>
          <w:sz w:val="22"/>
          <w:szCs w:val="22"/>
        </w:rPr>
        <w:t xml:space="preserve">przez komórki organizacyjne, we wszystkich obszarach działalności Zamawiającego, </w:t>
      </w:r>
      <w:r w:rsidR="00DC789E" w:rsidRPr="00CE0D4C">
        <w:rPr>
          <w:rFonts w:ascii="Cambria" w:hAnsi="Cambria" w:cs="Tahoma"/>
          <w:sz w:val="22"/>
          <w:szCs w:val="22"/>
        </w:rPr>
        <w:br/>
      </w:r>
      <w:r w:rsidRPr="00CE0D4C">
        <w:rPr>
          <w:rFonts w:ascii="Cambria" w:hAnsi="Cambria" w:cs="Tahoma"/>
          <w:sz w:val="22"/>
          <w:szCs w:val="22"/>
        </w:rPr>
        <w:t>w tym w szczególności obejmujących:</w:t>
      </w:r>
    </w:p>
    <w:p w14:paraId="709444E2" w14:textId="59E3037C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prawo dot. działalności leczniczej oraz udzielania świadczeń zdrowotnych</w:t>
      </w:r>
      <w:r w:rsidR="00DC789E" w:rsidRPr="00CE0D4C">
        <w:rPr>
          <w:rFonts w:ascii="Cambria" w:hAnsi="Cambria" w:cs="Tahoma"/>
          <w:sz w:val="22"/>
          <w:szCs w:val="22"/>
        </w:rPr>
        <w:t>;</w:t>
      </w:r>
    </w:p>
    <w:p w14:paraId="03237B88" w14:textId="77777777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finanse publiczne;</w:t>
      </w:r>
    </w:p>
    <w:p w14:paraId="70FBD195" w14:textId="77777777" w:rsidR="00DC789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prawo autorskie i prawo własności przemysłowej;</w:t>
      </w:r>
    </w:p>
    <w:p w14:paraId="4A5D233A" w14:textId="6696C65F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przepisy z zakresu systemu i zasad finansowania nau</w:t>
      </w:r>
      <w:r w:rsidR="00DC789E" w:rsidRPr="00CE0D4C">
        <w:rPr>
          <w:rFonts w:ascii="Cambria" w:hAnsi="Cambria" w:cs="Tahoma"/>
          <w:sz w:val="22"/>
          <w:szCs w:val="22"/>
        </w:rPr>
        <w:t xml:space="preserve">ki oraz działalności instytutów </w:t>
      </w:r>
      <w:r w:rsidRPr="00CE0D4C">
        <w:rPr>
          <w:rFonts w:ascii="Cambria" w:hAnsi="Cambria" w:cs="Tahoma"/>
          <w:sz w:val="22"/>
          <w:szCs w:val="22"/>
        </w:rPr>
        <w:t>badawczych;</w:t>
      </w:r>
    </w:p>
    <w:p w14:paraId="721D4A5E" w14:textId="77777777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prawo zamówień publicznych;</w:t>
      </w:r>
    </w:p>
    <w:p w14:paraId="68BAFCB2" w14:textId="77777777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prawo cywilne;</w:t>
      </w:r>
    </w:p>
    <w:p w14:paraId="687D1EF0" w14:textId="77777777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prawo administracyjne;</w:t>
      </w:r>
    </w:p>
    <w:p w14:paraId="2318DB12" w14:textId="77777777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prawo pracy;</w:t>
      </w:r>
    </w:p>
    <w:p w14:paraId="06E261C8" w14:textId="77777777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prawa pacjenta; </w:t>
      </w:r>
    </w:p>
    <w:p w14:paraId="35CDF845" w14:textId="75099638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procedury Zarządzania Jakością oraz inne niezbędne do standardów akredytacyjnych </w:t>
      </w:r>
      <w:r w:rsidR="00DC789E" w:rsidRPr="00CE0D4C">
        <w:rPr>
          <w:rFonts w:ascii="Cambria" w:hAnsi="Cambria" w:cs="Tahoma"/>
          <w:sz w:val="22"/>
          <w:szCs w:val="22"/>
        </w:rPr>
        <w:br/>
      </w:r>
      <w:r w:rsidRPr="00CE0D4C">
        <w:rPr>
          <w:rFonts w:ascii="Cambria" w:hAnsi="Cambria" w:cs="Tahoma"/>
          <w:sz w:val="22"/>
          <w:szCs w:val="22"/>
        </w:rPr>
        <w:t>dla lecznictwa szpitalnego;</w:t>
      </w:r>
    </w:p>
    <w:p w14:paraId="39BA34E6" w14:textId="77777777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pozyskiwanie funduszy europejskich;</w:t>
      </w:r>
    </w:p>
    <w:p w14:paraId="378C407C" w14:textId="3439311B" w:rsidR="00490CFE" w:rsidRPr="00CE0D4C" w:rsidRDefault="00490CFE" w:rsidP="00CD167C">
      <w:pPr>
        <w:numPr>
          <w:ilvl w:val="0"/>
          <w:numId w:val="10"/>
        </w:numPr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współpracę z podmiotami zewnętrznymi, zarów</w:t>
      </w:r>
      <w:r w:rsidR="00DC789E" w:rsidRPr="00CE0D4C">
        <w:rPr>
          <w:rFonts w:ascii="Cambria" w:hAnsi="Cambria" w:cs="Tahoma"/>
          <w:sz w:val="22"/>
          <w:szCs w:val="22"/>
        </w:rPr>
        <w:t>no publicznymi jak i prywatnymi,</w:t>
      </w:r>
    </w:p>
    <w:p w14:paraId="1A92A23A" w14:textId="5AFD25D2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opracowywanie i uzgadnianie projektów aktów prawnych, opiniowanie ich pod względem prawnym</w:t>
      </w:r>
      <w:r w:rsidR="00CD167C" w:rsidRPr="00CE0D4C">
        <w:rPr>
          <w:rFonts w:ascii="Cambria" w:hAnsi="Cambria" w:cs="Tahoma"/>
          <w:sz w:val="22"/>
          <w:szCs w:val="22"/>
        </w:rPr>
        <w:t>;</w:t>
      </w:r>
      <w:r w:rsidRPr="00CE0D4C">
        <w:rPr>
          <w:rFonts w:ascii="Cambria" w:hAnsi="Cambria" w:cs="Tahoma"/>
          <w:sz w:val="22"/>
          <w:szCs w:val="22"/>
        </w:rPr>
        <w:t xml:space="preserve"> </w:t>
      </w:r>
    </w:p>
    <w:p w14:paraId="066641FF" w14:textId="7D792585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wsparcie w opracowywaniu zarządzeń, wewnętrznych regulaminów, instrukcji itp.</w:t>
      </w:r>
      <w:r w:rsidR="00CD167C" w:rsidRPr="00CE0D4C">
        <w:rPr>
          <w:rFonts w:ascii="Cambria" w:hAnsi="Cambria" w:cs="Tahoma"/>
          <w:sz w:val="22"/>
          <w:szCs w:val="22"/>
        </w:rPr>
        <w:t>;</w:t>
      </w:r>
    </w:p>
    <w:p w14:paraId="1BFE8C96" w14:textId="2DF21884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udzielanie wyjaśnień, sporządzanie interpretacji i opinii prawnych</w:t>
      </w:r>
      <w:r w:rsidR="00CD167C" w:rsidRPr="00CE0D4C">
        <w:rPr>
          <w:rFonts w:ascii="Cambria" w:hAnsi="Cambria" w:cs="Tahoma"/>
          <w:sz w:val="22"/>
          <w:szCs w:val="22"/>
        </w:rPr>
        <w:t>;</w:t>
      </w:r>
    </w:p>
    <w:p w14:paraId="0F640BC5" w14:textId="02B329B3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windykacja pozasądowa należności Zamawiającego</w:t>
      </w:r>
      <w:r w:rsidR="00CD167C" w:rsidRPr="00CE0D4C">
        <w:rPr>
          <w:rFonts w:ascii="Cambria" w:hAnsi="Cambria" w:cs="Tahoma"/>
          <w:sz w:val="22"/>
          <w:szCs w:val="22"/>
        </w:rPr>
        <w:t>;</w:t>
      </w:r>
      <w:r w:rsidRPr="00CE0D4C">
        <w:rPr>
          <w:rFonts w:ascii="Cambria" w:hAnsi="Cambria" w:cs="Tahoma"/>
          <w:sz w:val="22"/>
          <w:szCs w:val="22"/>
        </w:rPr>
        <w:t xml:space="preserve"> </w:t>
      </w:r>
    </w:p>
    <w:p w14:paraId="407F054F" w14:textId="532D3012" w:rsidR="004F284A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udział w negocjowaniu warunków umów i porozumień zawieranych przez Zamawiającego</w:t>
      </w:r>
      <w:r w:rsidR="00CD167C" w:rsidRPr="00CE0D4C">
        <w:rPr>
          <w:rFonts w:ascii="Cambria" w:hAnsi="Cambria" w:cs="Tahoma"/>
          <w:sz w:val="22"/>
          <w:szCs w:val="22"/>
        </w:rPr>
        <w:t>;</w:t>
      </w:r>
    </w:p>
    <w:p w14:paraId="0C243DAA" w14:textId="2FF37BB7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opiniowanie projektów</w:t>
      </w:r>
      <w:r w:rsidR="00CD167C" w:rsidRPr="00CE0D4C">
        <w:rPr>
          <w:rFonts w:ascii="Cambria" w:hAnsi="Cambria" w:cs="Tahoma"/>
          <w:sz w:val="22"/>
          <w:szCs w:val="22"/>
        </w:rPr>
        <w:t xml:space="preserve"> </w:t>
      </w:r>
      <w:r w:rsidRPr="00CE0D4C">
        <w:rPr>
          <w:rFonts w:ascii="Cambria" w:hAnsi="Cambria" w:cs="Tahoma"/>
          <w:sz w:val="22"/>
          <w:szCs w:val="22"/>
        </w:rPr>
        <w:t>umów i porozumień, przygotowywanie wzorów umów,</w:t>
      </w:r>
      <w:r w:rsidR="00CD167C" w:rsidRPr="00CE0D4C">
        <w:rPr>
          <w:rFonts w:ascii="Cambria" w:hAnsi="Cambria" w:cs="Tahoma"/>
          <w:sz w:val="22"/>
          <w:szCs w:val="22"/>
        </w:rPr>
        <w:t xml:space="preserve"> </w:t>
      </w:r>
      <w:r w:rsidR="000D7A4B" w:rsidRPr="00CE0D4C">
        <w:rPr>
          <w:rFonts w:ascii="Cambria" w:hAnsi="Cambria" w:cs="Tahoma"/>
          <w:sz w:val="22"/>
          <w:szCs w:val="22"/>
        </w:rPr>
        <w:t>wyjątkowo i</w:t>
      </w:r>
      <w:r w:rsidRPr="00CE0D4C">
        <w:rPr>
          <w:rFonts w:ascii="Cambria" w:hAnsi="Cambria" w:cs="Tahoma"/>
          <w:sz w:val="22"/>
          <w:szCs w:val="22"/>
        </w:rPr>
        <w:t xml:space="preserve"> w miarę potrzeb w języku angielskim;</w:t>
      </w:r>
    </w:p>
    <w:p w14:paraId="655E65F7" w14:textId="7D7A6F44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lastRenderedPageBreak/>
        <w:t xml:space="preserve">udzielanie pomocy prawnej pracownikom Zamawiającego w zakresie wykonywanych </w:t>
      </w:r>
      <w:r w:rsidR="00DC789E" w:rsidRPr="00CE0D4C">
        <w:rPr>
          <w:rFonts w:ascii="Cambria" w:hAnsi="Cambria" w:cs="Tahoma"/>
          <w:sz w:val="22"/>
          <w:szCs w:val="22"/>
        </w:rPr>
        <w:br/>
      </w:r>
      <w:r w:rsidRPr="00CE0D4C">
        <w:rPr>
          <w:rFonts w:ascii="Cambria" w:hAnsi="Cambria" w:cs="Tahoma"/>
          <w:sz w:val="22"/>
          <w:szCs w:val="22"/>
        </w:rPr>
        <w:t>przez nich zadań, zgodnie z zapotrzebowaniem wskazanym przez Zamawiającego;</w:t>
      </w:r>
    </w:p>
    <w:p w14:paraId="717AB24F" w14:textId="11E44871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doradztwo i obsługa prawna w ramach udzielania świadczeń zdrowotnych finansowanych </w:t>
      </w:r>
      <w:r w:rsidR="00DC789E" w:rsidRPr="00CE0D4C">
        <w:rPr>
          <w:rFonts w:ascii="Cambria" w:hAnsi="Cambria" w:cs="Tahoma"/>
          <w:sz w:val="22"/>
          <w:szCs w:val="22"/>
        </w:rPr>
        <w:br/>
      </w:r>
      <w:r w:rsidRPr="00CE0D4C">
        <w:rPr>
          <w:rFonts w:ascii="Cambria" w:hAnsi="Cambria" w:cs="Tahoma"/>
          <w:sz w:val="22"/>
          <w:szCs w:val="22"/>
        </w:rPr>
        <w:t>ze środków publicznych, zwłaszcza w zakresie:</w:t>
      </w:r>
    </w:p>
    <w:p w14:paraId="0B176B07" w14:textId="2A93C17D" w:rsidR="00490CFE" w:rsidRPr="00CE0D4C" w:rsidRDefault="00490CFE" w:rsidP="00CD167C">
      <w:pPr>
        <w:numPr>
          <w:ilvl w:val="0"/>
          <w:numId w:val="11"/>
        </w:numPr>
        <w:tabs>
          <w:tab w:val="clear" w:pos="720"/>
          <w:tab w:val="num" w:pos="1276"/>
        </w:tabs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zawierania </w:t>
      </w:r>
      <w:r w:rsidR="00CD167C" w:rsidRPr="00CE0D4C">
        <w:rPr>
          <w:rFonts w:ascii="Cambria" w:hAnsi="Cambria" w:cs="Tahoma"/>
          <w:sz w:val="22"/>
          <w:szCs w:val="22"/>
        </w:rPr>
        <w:t xml:space="preserve">umów </w:t>
      </w:r>
      <w:r w:rsidRPr="00CE0D4C">
        <w:rPr>
          <w:rFonts w:ascii="Cambria" w:hAnsi="Cambria" w:cs="Tahoma"/>
          <w:sz w:val="22"/>
          <w:szCs w:val="22"/>
        </w:rPr>
        <w:t>z Narodowym Funduszem Zdrowia i innymi dysponentami środków publicznych</w:t>
      </w:r>
      <w:r w:rsidR="00CD167C" w:rsidRPr="00CE0D4C">
        <w:rPr>
          <w:rFonts w:ascii="Cambria" w:hAnsi="Cambria" w:cs="Tahoma"/>
          <w:sz w:val="22"/>
          <w:szCs w:val="22"/>
        </w:rPr>
        <w:t>,</w:t>
      </w:r>
    </w:p>
    <w:p w14:paraId="1C71956E" w14:textId="222D3382" w:rsidR="00490CFE" w:rsidRPr="00CE0D4C" w:rsidRDefault="00490CFE" w:rsidP="00CD167C">
      <w:pPr>
        <w:numPr>
          <w:ilvl w:val="0"/>
          <w:numId w:val="11"/>
        </w:numPr>
        <w:tabs>
          <w:tab w:val="clear" w:pos="720"/>
          <w:tab w:val="num" w:pos="1276"/>
        </w:tabs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rozliczeń przeprowadzanych z Narodowym Funduszem Zdrowia, w tym znajomość uregulowań wewnętrznych wydanych przez Prezesa NFZ oraz </w:t>
      </w:r>
      <w:r w:rsidR="00CD167C" w:rsidRPr="00CE0D4C">
        <w:rPr>
          <w:rFonts w:ascii="Cambria" w:hAnsi="Cambria" w:cs="Tahoma"/>
          <w:sz w:val="22"/>
          <w:szCs w:val="22"/>
        </w:rPr>
        <w:t>dy</w:t>
      </w:r>
      <w:r w:rsidRPr="00CE0D4C">
        <w:rPr>
          <w:rFonts w:ascii="Cambria" w:hAnsi="Cambria" w:cs="Tahoma"/>
          <w:sz w:val="22"/>
          <w:szCs w:val="22"/>
        </w:rPr>
        <w:t xml:space="preserve">rektorów </w:t>
      </w:r>
      <w:r w:rsidR="00CD167C" w:rsidRPr="00CE0D4C">
        <w:rPr>
          <w:rFonts w:ascii="Cambria" w:hAnsi="Cambria" w:cs="Tahoma"/>
          <w:sz w:val="22"/>
          <w:szCs w:val="22"/>
        </w:rPr>
        <w:t>o</w:t>
      </w:r>
      <w:r w:rsidRPr="00CE0D4C">
        <w:rPr>
          <w:rFonts w:ascii="Cambria" w:hAnsi="Cambria" w:cs="Tahoma"/>
          <w:sz w:val="22"/>
          <w:szCs w:val="22"/>
        </w:rPr>
        <w:t>ddziałów</w:t>
      </w:r>
      <w:r w:rsidR="00CD167C" w:rsidRPr="00CE0D4C">
        <w:rPr>
          <w:rFonts w:ascii="Cambria" w:hAnsi="Cambria" w:cs="Tahoma"/>
          <w:sz w:val="22"/>
          <w:szCs w:val="22"/>
        </w:rPr>
        <w:t>,</w:t>
      </w:r>
    </w:p>
    <w:p w14:paraId="4C7E650B" w14:textId="011DA60B" w:rsidR="00490CFE" w:rsidRPr="00CE0D4C" w:rsidRDefault="00490CFE" w:rsidP="00CD167C">
      <w:pPr>
        <w:numPr>
          <w:ilvl w:val="0"/>
          <w:numId w:val="11"/>
        </w:numPr>
        <w:tabs>
          <w:tab w:val="clear" w:pos="720"/>
          <w:tab w:val="num" w:pos="1276"/>
        </w:tabs>
        <w:spacing w:line="360" w:lineRule="auto"/>
        <w:ind w:left="113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przeprowadzania konkursów i realizacji umów na udzielanie świadczeń zdrowotnych przez podmioty lub osoby legitymujące się nabyciem fachowych kwalifikacji do udzielania świadczeń zdrowotnych w określonym zakresie lub</w:t>
      </w:r>
      <w:r w:rsidR="00DC789E" w:rsidRPr="00CE0D4C">
        <w:rPr>
          <w:rFonts w:ascii="Cambria" w:hAnsi="Cambria" w:cs="Tahoma"/>
          <w:sz w:val="22"/>
          <w:szCs w:val="22"/>
        </w:rPr>
        <w:t xml:space="preserve"> określonej dziedzinie medycyny</w:t>
      </w:r>
      <w:r w:rsidR="00CD167C" w:rsidRPr="00CE0D4C">
        <w:rPr>
          <w:rFonts w:ascii="Cambria" w:hAnsi="Cambria" w:cs="Tahoma"/>
          <w:sz w:val="22"/>
          <w:szCs w:val="22"/>
        </w:rPr>
        <w:t>;</w:t>
      </w:r>
    </w:p>
    <w:p w14:paraId="27F726CC" w14:textId="7DBBD5FD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obsługa prawna w zakresie przygotowywania dokumentacji medycznej w związku </w:t>
      </w:r>
      <w:r w:rsidR="00DC789E" w:rsidRPr="00CE0D4C">
        <w:rPr>
          <w:rFonts w:ascii="Cambria" w:hAnsi="Cambria" w:cs="Tahoma"/>
          <w:sz w:val="22"/>
          <w:szCs w:val="22"/>
        </w:rPr>
        <w:br/>
      </w:r>
      <w:r w:rsidRPr="00CE0D4C">
        <w:rPr>
          <w:rFonts w:ascii="Cambria" w:hAnsi="Cambria" w:cs="Tahoma"/>
          <w:sz w:val="22"/>
          <w:szCs w:val="22"/>
        </w:rPr>
        <w:t>z wezwaniami upoważnionych organów, instytucji i osób fizycznych;</w:t>
      </w:r>
    </w:p>
    <w:p w14:paraId="4F9824BE" w14:textId="30B683BB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doradztwo prawne z zakresu ustawy Prawo zamówień publicznych oraz aktów wykonawczych do ww</w:t>
      </w:r>
      <w:r w:rsidR="00CD167C" w:rsidRPr="00CE0D4C">
        <w:rPr>
          <w:rFonts w:ascii="Cambria" w:hAnsi="Cambria" w:cs="Tahoma"/>
          <w:sz w:val="22"/>
          <w:szCs w:val="22"/>
        </w:rPr>
        <w:t>.</w:t>
      </w:r>
      <w:r w:rsidRPr="00CE0D4C">
        <w:rPr>
          <w:rFonts w:ascii="Cambria" w:hAnsi="Cambria" w:cs="Tahoma"/>
          <w:sz w:val="22"/>
          <w:szCs w:val="22"/>
        </w:rPr>
        <w:t xml:space="preserve"> ustawy, w szczególności:</w:t>
      </w:r>
    </w:p>
    <w:p w14:paraId="1AC6758D" w14:textId="44CDFF5A" w:rsidR="00490CFE" w:rsidRPr="00CE0D4C" w:rsidRDefault="00490CFE" w:rsidP="00CD167C">
      <w:pPr>
        <w:numPr>
          <w:ilvl w:val="0"/>
          <w:numId w:val="1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sporządzanie wzorów umów</w:t>
      </w:r>
      <w:r w:rsidR="00CD167C" w:rsidRPr="00CE0D4C">
        <w:rPr>
          <w:rFonts w:ascii="Cambria" w:hAnsi="Cambria" w:cs="Tahoma"/>
          <w:sz w:val="22"/>
          <w:szCs w:val="22"/>
        </w:rPr>
        <w:t>,</w:t>
      </w:r>
    </w:p>
    <w:p w14:paraId="4A98649C" w14:textId="576B806B" w:rsidR="00490CFE" w:rsidRPr="00CE0D4C" w:rsidRDefault="00BB110C" w:rsidP="00CD167C">
      <w:pPr>
        <w:numPr>
          <w:ilvl w:val="0"/>
          <w:numId w:val="1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opiniowanie </w:t>
      </w:r>
      <w:r w:rsidR="00490CFE" w:rsidRPr="00CE0D4C">
        <w:rPr>
          <w:rFonts w:ascii="Cambria" w:hAnsi="Cambria" w:cs="Tahoma"/>
          <w:sz w:val="22"/>
          <w:szCs w:val="22"/>
        </w:rPr>
        <w:t xml:space="preserve">odpowiedzi na pytania Wykonawców dotyczących </w:t>
      </w:r>
      <w:r w:rsidR="00CD167C" w:rsidRPr="00CE0D4C">
        <w:rPr>
          <w:rFonts w:ascii="Cambria" w:hAnsi="Cambria" w:cs="Tahoma"/>
          <w:sz w:val="22"/>
          <w:szCs w:val="22"/>
        </w:rPr>
        <w:t>postanowień</w:t>
      </w:r>
      <w:r w:rsidR="00490CFE" w:rsidRPr="00CE0D4C">
        <w:rPr>
          <w:rFonts w:ascii="Cambria" w:hAnsi="Cambria" w:cs="Tahoma"/>
          <w:sz w:val="22"/>
          <w:szCs w:val="22"/>
        </w:rPr>
        <w:t xml:space="preserve"> umów</w:t>
      </w:r>
      <w:r w:rsidR="00CD167C" w:rsidRPr="00CE0D4C">
        <w:rPr>
          <w:rFonts w:ascii="Cambria" w:hAnsi="Cambria" w:cs="Tahoma"/>
          <w:sz w:val="22"/>
          <w:szCs w:val="22"/>
        </w:rPr>
        <w:t>,</w:t>
      </w:r>
    </w:p>
    <w:p w14:paraId="623BFF28" w14:textId="1C0AC28F" w:rsidR="002A49C0" w:rsidRPr="00CE0D4C" w:rsidRDefault="002A49C0" w:rsidP="00CD167C">
      <w:pPr>
        <w:numPr>
          <w:ilvl w:val="0"/>
          <w:numId w:val="1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opiniowanie dokumentów zamówienia, w szczególności specyfikacji warunków zamówieni</w:t>
      </w:r>
      <w:r w:rsidR="00CD167C" w:rsidRPr="00CE0D4C">
        <w:rPr>
          <w:rFonts w:ascii="Cambria" w:hAnsi="Cambria" w:cs="Tahoma"/>
          <w:sz w:val="22"/>
          <w:szCs w:val="22"/>
        </w:rPr>
        <w:t>a,</w:t>
      </w:r>
      <w:r w:rsidRPr="00CE0D4C">
        <w:rPr>
          <w:rFonts w:ascii="Cambria" w:hAnsi="Cambria" w:cs="Tahoma"/>
          <w:sz w:val="22"/>
          <w:szCs w:val="22"/>
        </w:rPr>
        <w:t xml:space="preserve"> </w:t>
      </w:r>
    </w:p>
    <w:p w14:paraId="53588BF6" w14:textId="3D659BA1" w:rsidR="00490CFE" w:rsidRPr="00CE0D4C" w:rsidRDefault="00490CFE" w:rsidP="00CD167C">
      <w:pPr>
        <w:numPr>
          <w:ilvl w:val="0"/>
          <w:numId w:val="1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udział w procesie udzielania zamówień publicznych</w:t>
      </w:r>
      <w:r w:rsidR="00CD167C" w:rsidRPr="00CE0D4C">
        <w:rPr>
          <w:rFonts w:ascii="Cambria" w:hAnsi="Cambria" w:cs="Tahoma"/>
          <w:sz w:val="22"/>
          <w:szCs w:val="22"/>
        </w:rPr>
        <w:t>,</w:t>
      </w:r>
    </w:p>
    <w:p w14:paraId="06FE4DAA" w14:textId="510AF680" w:rsidR="00490CFE" w:rsidRPr="00CE0D4C" w:rsidRDefault="00490CFE" w:rsidP="00CD167C">
      <w:pPr>
        <w:numPr>
          <w:ilvl w:val="0"/>
          <w:numId w:val="1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udział w opracowywaniu odpowiedzi na odwołania</w:t>
      </w:r>
      <w:r w:rsidR="00CD167C" w:rsidRPr="00CE0D4C">
        <w:rPr>
          <w:rFonts w:ascii="Cambria" w:hAnsi="Cambria" w:cs="Tahoma"/>
          <w:sz w:val="22"/>
          <w:szCs w:val="22"/>
        </w:rPr>
        <w:t>,</w:t>
      </w:r>
      <w:r w:rsidRPr="00CE0D4C">
        <w:rPr>
          <w:rFonts w:ascii="Cambria" w:hAnsi="Cambria" w:cs="Tahoma"/>
          <w:sz w:val="22"/>
          <w:szCs w:val="22"/>
        </w:rPr>
        <w:t xml:space="preserve"> </w:t>
      </w:r>
    </w:p>
    <w:p w14:paraId="64F61872" w14:textId="78937B61" w:rsidR="00490CFE" w:rsidRPr="00CE0D4C" w:rsidRDefault="00490CFE" w:rsidP="00CD167C">
      <w:pPr>
        <w:numPr>
          <w:ilvl w:val="0"/>
          <w:numId w:val="1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reprezentowanie Zamawiającego w postepowaniach </w:t>
      </w:r>
      <w:r w:rsidR="00BB110C" w:rsidRPr="00CE0D4C">
        <w:rPr>
          <w:rFonts w:ascii="Cambria" w:hAnsi="Cambria" w:cs="Tahoma"/>
          <w:sz w:val="22"/>
          <w:szCs w:val="22"/>
        </w:rPr>
        <w:t>odwoławczych przed Krajową Izbą Odwoławczą i</w:t>
      </w:r>
      <w:r w:rsidRPr="00CE0D4C">
        <w:rPr>
          <w:rFonts w:ascii="Cambria" w:hAnsi="Cambria" w:cs="Tahoma"/>
          <w:sz w:val="22"/>
          <w:szCs w:val="22"/>
        </w:rPr>
        <w:t xml:space="preserve"> sądem </w:t>
      </w:r>
      <w:r w:rsidR="00BB110C" w:rsidRPr="00CE0D4C">
        <w:rPr>
          <w:rFonts w:ascii="Cambria" w:hAnsi="Cambria" w:cs="Tahoma"/>
          <w:sz w:val="22"/>
          <w:szCs w:val="22"/>
        </w:rPr>
        <w:t>zamówień publicznych</w:t>
      </w:r>
      <w:r w:rsidR="00CD167C" w:rsidRPr="00CE0D4C">
        <w:rPr>
          <w:rFonts w:ascii="Cambria" w:hAnsi="Cambria" w:cs="Tahoma"/>
          <w:sz w:val="22"/>
          <w:szCs w:val="22"/>
        </w:rPr>
        <w:t>,</w:t>
      </w:r>
    </w:p>
    <w:p w14:paraId="5014B544" w14:textId="5D3756FC" w:rsidR="00490CFE" w:rsidRPr="00CE0D4C" w:rsidRDefault="00490CFE" w:rsidP="00CD167C">
      <w:pPr>
        <w:numPr>
          <w:ilvl w:val="0"/>
          <w:numId w:val="1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wykonywanie innych czynności, niezbędnych przy udzielaniu zamówień publicznych</w:t>
      </w:r>
      <w:r w:rsidR="00CD167C" w:rsidRPr="00CE0D4C">
        <w:rPr>
          <w:rFonts w:ascii="Cambria" w:hAnsi="Cambria" w:cs="Tahoma"/>
          <w:sz w:val="22"/>
          <w:szCs w:val="22"/>
        </w:rPr>
        <w:t>;</w:t>
      </w:r>
    </w:p>
    <w:p w14:paraId="080F0E9B" w14:textId="58554A0D" w:rsidR="002A49C0" w:rsidRPr="00CE0D4C" w:rsidRDefault="002A49C0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doradztwo prawne w zakresie zamówień publicznych </w:t>
      </w:r>
      <w:r w:rsidR="0024411C" w:rsidRPr="00CE0D4C">
        <w:rPr>
          <w:rFonts w:ascii="Cambria" w:hAnsi="Cambria" w:cs="Tahoma"/>
          <w:sz w:val="22"/>
          <w:szCs w:val="22"/>
        </w:rPr>
        <w:t xml:space="preserve">udzielanych </w:t>
      </w:r>
      <w:r w:rsidRPr="00CE0D4C">
        <w:rPr>
          <w:rFonts w:ascii="Cambria" w:hAnsi="Cambria" w:cs="Tahoma"/>
          <w:sz w:val="22"/>
          <w:szCs w:val="22"/>
        </w:rPr>
        <w:t xml:space="preserve">z wyłączeniem stosowania </w:t>
      </w:r>
      <w:r w:rsidR="0098329A" w:rsidRPr="00CE0D4C">
        <w:rPr>
          <w:rFonts w:ascii="Cambria" w:hAnsi="Cambria" w:cs="Tahoma"/>
          <w:sz w:val="22"/>
          <w:szCs w:val="22"/>
        </w:rPr>
        <w:t xml:space="preserve">przepisów </w:t>
      </w:r>
      <w:r w:rsidRPr="00CE0D4C">
        <w:rPr>
          <w:rFonts w:ascii="Cambria" w:hAnsi="Cambria" w:cs="Tahoma"/>
          <w:sz w:val="22"/>
          <w:szCs w:val="22"/>
        </w:rPr>
        <w:t>ustawy Prawo zamówień publicznych;</w:t>
      </w:r>
    </w:p>
    <w:p w14:paraId="78CEB463" w14:textId="1A70F39D" w:rsidR="00930759" w:rsidRPr="00F52EA8" w:rsidRDefault="00930759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doradztwo prawne oraz sporządzanie umów najmu, dzierżawy, leasingu, użyczenia, </w:t>
      </w:r>
      <w:r w:rsidR="00D54BC6" w:rsidRPr="00F52EA8">
        <w:rPr>
          <w:rFonts w:ascii="Cambria" w:hAnsi="Cambria" w:cs="Tahoma"/>
          <w:sz w:val="22"/>
          <w:szCs w:val="22"/>
        </w:rPr>
        <w:t xml:space="preserve">sprzedaży, </w:t>
      </w:r>
      <w:r w:rsidRPr="00F52EA8">
        <w:rPr>
          <w:rFonts w:ascii="Cambria" w:hAnsi="Cambria" w:cs="Tahoma"/>
          <w:sz w:val="22"/>
          <w:szCs w:val="22"/>
        </w:rPr>
        <w:t>darowizn itp.;</w:t>
      </w:r>
    </w:p>
    <w:p w14:paraId="457AC21A" w14:textId="614498BD" w:rsidR="00490CFE" w:rsidRPr="00F52EA8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F52EA8">
        <w:rPr>
          <w:rFonts w:ascii="Cambria" w:hAnsi="Cambria" w:cs="Tahoma"/>
          <w:sz w:val="22"/>
          <w:szCs w:val="22"/>
        </w:rPr>
        <w:t xml:space="preserve">przeprowadzanie szkoleń dla pracowników Zamawiającego z zakresu obowiązujących przepisów prawa i wprowadzonych zmian legislacyjnych dotyczących funkcjonowania </w:t>
      </w:r>
      <w:r w:rsidR="00053C2E" w:rsidRPr="00F52EA8">
        <w:rPr>
          <w:rFonts w:ascii="Cambria" w:hAnsi="Cambria" w:cs="Tahoma"/>
          <w:sz w:val="22"/>
          <w:szCs w:val="22"/>
        </w:rPr>
        <w:t>NIGRiR</w:t>
      </w:r>
      <w:r w:rsidRPr="00F52EA8">
        <w:rPr>
          <w:rFonts w:ascii="Cambria" w:hAnsi="Cambria" w:cs="Tahoma"/>
          <w:sz w:val="22"/>
          <w:szCs w:val="22"/>
        </w:rPr>
        <w:t>, głównie w obszarze zmian dot. obszaru nauki, działalności leczniczej, w tym dokumentacji medycznej, prawa zamówień publicznych, prawa pracy – maksymalnie 4 szkolenia rocznie (w miarę potrzeb),</w:t>
      </w:r>
    </w:p>
    <w:p w14:paraId="11753577" w14:textId="624CC032" w:rsidR="00490CFE" w:rsidRPr="00F52EA8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F52EA8">
        <w:rPr>
          <w:rFonts w:ascii="Cambria" w:hAnsi="Cambria" w:cs="Tahoma"/>
          <w:sz w:val="22"/>
          <w:szCs w:val="22"/>
        </w:rPr>
        <w:lastRenderedPageBreak/>
        <w:t xml:space="preserve">monitorowanie zmian w obowiązujących przepisach prawnych regulujących działalność Zamawiającego i informowanie Zamawiającego o tych zmianach (w tym orzecznictwo) </w:t>
      </w:r>
      <w:r w:rsidR="00BB110C" w:rsidRPr="00F52EA8">
        <w:rPr>
          <w:rFonts w:ascii="Cambria" w:hAnsi="Cambria" w:cs="Tahoma"/>
          <w:sz w:val="22"/>
          <w:szCs w:val="22"/>
        </w:rPr>
        <w:br/>
      </w:r>
      <w:r w:rsidRPr="00F52EA8">
        <w:rPr>
          <w:rFonts w:ascii="Cambria" w:hAnsi="Cambria" w:cs="Tahoma"/>
          <w:sz w:val="22"/>
          <w:szCs w:val="22"/>
        </w:rPr>
        <w:t>w formie pisemnej lub mailowej na bieżąco przed wprowadzeniem zmian. Dodatkowo przesyłanie podsumowania  niezbędnych zmian w ostatni dzień każdego miesiąca, w formie tabeli:</w:t>
      </w:r>
    </w:p>
    <w:p w14:paraId="5890DDC9" w14:textId="77777777" w:rsidR="00490CFE" w:rsidRPr="00CE0D4C" w:rsidRDefault="00490CFE" w:rsidP="00CD167C">
      <w:pPr>
        <w:tabs>
          <w:tab w:val="num" w:pos="127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655"/>
        <w:gridCol w:w="2143"/>
        <w:gridCol w:w="2308"/>
        <w:gridCol w:w="2250"/>
      </w:tblGrid>
      <w:tr w:rsidR="00490CFE" w:rsidRPr="00CE0D4C" w14:paraId="089BA880" w14:textId="77777777" w:rsidTr="00C6043C">
        <w:trPr>
          <w:trHeight w:val="460"/>
        </w:trPr>
        <w:tc>
          <w:tcPr>
            <w:tcW w:w="2410" w:type="dxa"/>
            <w:shd w:val="clear" w:color="auto" w:fill="BDD6EE" w:themeFill="accent5" w:themeFillTint="66"/>
          </w:tcPr>
          <w:p w14:paraId="489953C4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E0D4C">
              <w:rPr>
                <w:rFonts w:ascii="Cambria" w:hAnsi="Cambria"/>
                <w:b/>
                <w:sz w:val="22"/>
                <w:szCs w:val="22"/>
              </w:rPr>
              <w:t>Ustawa/rozporządzenie</w:t>
            </w:r>
          </w:p>
        </w:tc>
        <w:tc>
          <w:tcPr>
            <w:tcW w:w="2410" w:type="dxa"/>
            <w:shd w:val="clear" w:color="auto" w:fill="BDD6EE" w:themeFill="accent5" w:themeFillTint="66"/>
          </w:tcPr>
          <w:p w14:paraId="3D2F67AF" w14:textId="090682AA" w:rsidR="00490CFE" w:rsidRPr="00CE0D4C" w:rsidRDefault="00490CFE" w:rsidP="00CD167C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E0D4C">
              <w:rPr>
                <w:rFonts w:ascii="Cambria" w:hAnsi="Cambria"/>
                <w:b/>
                <w:sz w:val="22"/>
                <w:szCs w:val="22"/>
              </w:rPr>
              <w:t>Nowy zakres/ zakres istotnych zmian</w:t>
            </w:r>
          </w:p>
        </w:tc>
        <w:tc>
          <w:tcPr>
            <w:tcW w:w="2551" w:type="dxa"/>
            <w:shd w:val="clear" w:color="auto" w:fill="BDD6EE" w:themeFill="accent5" w:themeFillTint="66"/>
          </w:tcPr>
          <w:p w14:paraId="5EA98A7A" w14:textId="4CEE722C" w:rsidR="00490CFE" w:rsidRPr="00CE0D4C" w:rsidRDefault="00490CFE" w:rsidP="00CD167C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E0D4C">
              <w:rPr>
                <w:rFonts w:ascii="Cambria" w:hAnsi="Cambria"/>
                <w:b/>
                <w:sz w:val="22"/>
                <w:szCs w:val="22"/>
              </w:rPr>
              <w:t xml:space="preserve">Potencjalny wpływ na działalność </w:t>
            </w:r>
            <w:r w:rsidR="00CD167C" w:rsidRPr="00CE0D4C">
              <w:rPr>
                <w:rFonts w:ascii="Cambria" w:hAnsi="Cambria"/>
                <w:b/>
                <w:sz w:val="22"/>
                <w:szCs w:val="22"/>
              </w:rPr>
              <w:t>N</w:t>
            </w:r>
            <w:r w:rsidRPr="00CE0D4C">
              <w:rPr>
                <w:rFonts w:ascii="Cambria" w:hAnsi="Cambria"/>
                <w:b/>
                <w:sz w:val="22"/>
                <w:szCs w:val="22"/>
              </w:rPr>
              <w:t>I</w:t>
            </w:r>
            <w:r w:rsidR="00CD167C" w:rsidRPr="00CE0D4C">
              <w:rPr>
                <w:rFonts w:ascii="Cambria" w:hAnsi="Cambria"/>
                <w:b/>
                <w:sz w:val="22"/>
                <w:szCs w:val="22"/>
              </w:rPr>
              <w:t>GRiR</w:t>
            </w:r>
            <w:r w:rsidRPr="00CE0D4C">
              <w:rPr>
                <w:rFonts w:ascii="Cambria" w:hAnsi="Cambria"/>
                <w:b/>
                <w:sz w:val="22"/>
                <w:szCs w:val="22"/>
              </w:rPr>
              <w:t xml:space="preserve"> – obszar</w:t>
            </w:r>
          </w:p>
        </w:tc>
        <w:tc>
          <w:tcPr>
            <w:tcW w:w="1985" w:type="dxa"/>
            <w:shd w:val="clear" w:color="auto" w:fill="BDD6EE" w:themeFill="accent5" w:themeFillTint="66"/>
          </w:tcPr>
          <w:p w14:paraId="2932455C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E0D4C">
              <w:rPr>
                <w:rFonts w:ascii="Cambria" w:hAnsi="Cambria"/>
                <w:b/>
                <w:sz w:val="22"/>
                <w:szCs w:val="22"/>
              </w:rPr>
              <w:t>Proponowany zakres zmiany wewnętrznych regulacji/zarządzeń itp.</w:t>
            </w:r>
          </w:p>
        </w:tc>
      </w:tr>
      <w:tr w:rsidR="00490CFE" w:rsidRPr="00CE0D4C" w14:paraId="4FB602B8" w14:textId="77777777" w:rsidTr="00C6043C">
        <w:trPr>
          <w:trHeight w:val="363"/>
        </w:trPr>
        <w:tc>
          <w:tcPr>
            <w:tcW w:w="2410" w:type="dxa"/>
          </w:tcPr>
          <w:p w14:paraId="569BF451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7F89BA5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777E913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E355977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490CFE" w:rsidRPr="00CE0D4C" w14:paraId="12EBFD19" w14:textId="77777777" w:rsidTr="00C6043C">
        <w:trPr>
          <w:trHeight w:val="350"/>
        </w:trPr>
        <w:tc>
          <w:tcPr>
            <w:tcW w:w="2410" w:type="dxa"/>
          </w:tcPr>
          <w:p w14:paraId="14933A8B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F3996F9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F61BC4E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381BAE7" w14:textId="77777777" w:rsidR="00490CFE" w:rsidRPr="00CE0D4C" w:rsidRDefault="00490CFE" w:rsidP="00CD167C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02595F02" w14:textId="77777777" w:rsidR="00490CFE" w:rsidRPr="00CE0D4C" w:rsidRDefault="00490CFE" w:rsidP="00CD167C">
      <w:pPr>
        <w:spacing w:line="360" w:lineRule="auto"/>
        <w:ind w:left="644"/>
        <w:jc w:val="both"/>
        <w:rPr>
          <w:rFonts w:ascii="Cambria" w:hAnsi="Cambria" w:cs="Tahoma"/>
          <w:sz w:val="22"/>
          <w:szCs w:val="22"/>
        </w:rPr>
      </w:pPr>
    </w:p>
    <w:p w14:paraId="729C04DE" w14:textId="77777777" w:rsidR="00C42D94" w:rsidRPr="00CE0D4C" w:rsidRDefault="00C42D94" w:rsidP="00C42D94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Obsługa prawna badań klinicznych:</w:t>
      </w:r>
    </w:p>
    <w:p w14:paraId="66739BC7" w14:textId="2410FEF5" w:rsidR="00C42D94" w:rsidRPr="00CE0D4C" w:rsidRDefault="00C42D94" w:rsidP="00C42D94">
      <w:pPr>
        <w:numPr>
          <w:ilvl w:val="1"/>
          <w:numId w:val="15"/>
        </w:numPr>
        <w:spacing w:line="360" w:lineRule="auto"/>
        <w:ind w:left="993" w:hanging="28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przygotowywanie, opiniowanie i negocjowanie umów dotyczących prowadzenia badań klinicznych, w tym umów pomiędzy sponsorami a ośrodkami badawczymi oraz umów</w:t>
      </w:r>
      <w:r w:rsidRPr="00CE0D4C">
        <w:rPr>
          <w:rFonts w:ascii="Cambria" w:hAnsi="Cambria" w:cs="Tahoma"/>
          <w:sz w:val="22"/>
          <w:szCs w:val="22"/>
        </w:rPr>
        <w:br/>
        <w:t>z badaczami,</w:t>
      </w:r>
    </w:p>
    <w:p w14:paraId="7C2C071E" w14:textId="318F4624" w:rsidR="00C42D94" w:rsidRPr="00CE0D4C" w:rsidRDefault="00C42D94" w:rsidP="00C42D94">
      <w:pPr>
        <w:numPr>
          <w:ilvl w:val="1"/>
          <w:numId w:val="15"/>
        </w:numPr>
        <w:spacing w:line="360" w:lineRule="auto"/>
        <w:ind w:left="993" w:hanging="28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doradztwo w zakresie zgodności badań klinicznych z obowiązującymi przepisami, w tym z ustawą o badaniach klinicznych produktów leczniczych stosowanych u ludzi,</w:t>
      </w:r>
    </w:p>
    <w:p w14:paraId="401A0455" w14:textId="7D99B897" w:rsidR="00C42D94" w:rsidRPr="00CE0D4C" w:rsidRDefault="00C42D94" w:rsidP="00C42D94">
      <w:pPr>
        <w:numPr>
          <w:ilvl w:val="1"/>
          <w:numId w:val="15"/>
        </w:numPr>
        <w:spacing w:line="360" w:lineRule="auto"/>
        <w:ind w:left="993" w:hanging="28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wsparcie prawne w procesie uzyskiwania zgód od komisji bioetycznych i właściwych organów regulacyjnych,</w:t>
      </w:r>
    </w:p>
    <w:p w14:paraId="4125033A" w14:textId="107F507D" w:rsidR="00C42D94" w:rsidRPr="00CE0D4C" w:rsidRDefault="00C42D94" w:rsidP="00C42D94">
      <w:pPr>
        <w:numPr>
          <w:ilvl w:val="1"/>
          <w:numId w:val="15"/>
        </w:numPr>
        <w:spacing w:line="360" w:lineRule="auto"/>
        <w:ind w:left="993" w:hanging="28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obsługa prawna w zakresie ochrony danych osobowych uczestników badań klinicznych,</w:t>
      </w:r>
    </w:p>
    <w:p w14:paraId="43F99373" w14:textId="6BEA8229" w:rsidR="00C42D94" w:rsidRPr="00CE0D4C" w:rsidRDefault="00C42D94" w:rsidP="00C42D94">
      <w:pPr>
        <w:numPr>
          <w:ilvl w:val="1"/>
          <w:numId w:val="15"/>
        </w:numPr>
        <w:spacing w:line="360" w:lineRule="auto"/>
        <w:ind w:left="993" w:hanging="284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doradztwo przy rozwiązywaniu sporów związanych z prowadzeniem badań klinicznych oraz reprezentacja Zamawiającego w tych sprawach;</w:t>
      </w:r>
    </w:p>
    <w:p w14:paraId="399E88AC" w14:textId="3491AE75" w:rsidR="00490CFE" w:rsidRPr="00CE0D4C" w:rsidRDefault="00490CFE" w:rsidP="00CD167C">
      <w:pPr>
        <w:numPr>
          <w:ilvl w:val="1"/>
          <w:numId w:val="1"/>
        </w:numPr>
        <w:tabs>
          <w:tab w:val="num" w:pos="720"/>
        </w:tabs>
        <w:spacing w:line="360" w:lineRule="auto"/>
        <w:ind w:left="720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wykonywanie innych czynności z zakresu obsługi prawnej, wynikających </w:t>
      </w:r>
      <w:r w:rsidRPr="00CE0D4C">
        <w:rPr>
          <w:rFonts w:ascii="Cambria" w:hAnsi="Cambria" w:cs="Tahoma"/>
          <w:sz w:val="22"/>
          <w:szCs w:val="22"/>
        </w:rPr>
        <w:br/>
        <w:t>z bieżącej obsługi prawnej</w:t>
      </w:r>
      <w:r w:rsidR="00BB110C" w:rsidRPr="00CE0D4C">
        <w:rPr>
          <w:rFonts w:ascii="Cambria" w:hAnsi="Cambria" w:cs="Tahoma"/>
          <w:sz w:val="22"/>
          <w:szCs w:val="22"/>
        </w:rPr>
        <w:t xml:space="preserve"> i potrzeb Zamawiającego</w:t>
      </w:r>
      <w:r w:rsidRPr="00CE0D4C">
        <w:rPr>
          <w:rFonts w:ascii="Cambria" w:hAnsi="Cambria" w:cs="Tahoma"/>
          <w:sz w:val="22"/>
          <w:szCs w:val="22"/>
        </w:rPr>
        <w:t>.</w:t>
      </w:r>
    </w:p>
    <w:p w14:paraId="11EE0A21" w14:textId="77777777" w:rsidR="00490CFE" w:rsidRPr="00CE0D4C" w:rsidRDefault="00490CFE" w:rsidP="00CD167C">
      <w:pPr>
        <w:spacing w:line="360" w:lineRule="auto"/>
        <w:rPr>
          <w:rFonts w:ascii="Cambria" w:hAnsi="Cambria" w:cs="Tahoma"/>
          <w:sz w:val="22"/>
          <w:szCs w:val="22"/>
        </w:rPr>
      </w:pPr>
    </w:p>
    <w:p w14:paraId="74073DB8" w14:textId="77777777" w:rsidR="00490CFE" w:rsidRPr="00CE0D4C" w:rsidRDefault="00490CFE" w:rsidP="00CD167C">
      <w:pPr>
        <w:spacing w:line="360" w:lineRule="auto"/>
        <w:rPr>
          <w:rFonts w:ascii="Cambria" w:hAnsi="Cambria" w:cs="Tahoma"/>
          <w:b/>
          <w:sz w:val="22"/>
          <w:szCs w:val="22"/>
        </w:rPr>
      </w:pPr>
      <w:r w:rsidRPr="00CE0D4C">
        <w:rPr>
          <w:rFonts w:ascii="Cambria" w:hAnsi="Cambria" w:cs="Tahoma"/>
          <w:b/>
          <w:sz w:val="22"/>
          <w:szCs w:val="22"/>
        </w:rPr>
        <w:t>Rozdział II - Warunki wykonywania usługi</w:t>
      </w:r>
    </w:p>
    <w:p w14:paraId="292025BB" w14:textId="0A64F7C0" w:rsidR="00833B4A" w:rsidRPr="00CE0D4C" w:rsidRDefault="00833B4A" w:rsidP="00CD167C">
      <w:pPr>
        <w:numPr>
          <w:ilvl w:val="0"/>
          <w:numId w:val="6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bookmarkStart w:id="0" w:name="_Hlk158234979"/>
      <w:r w:rsidRPr="00CE0D4C">
        <w:rPr>
          <w:rFonts w:ascii="Cambria" w:hAnsi="Cambria" w:cs="Tahoma"/>
          <w:sz w:val="22"/>
          <w:szCs w:val="22"/>
        </w:rPr>
        <w:t xml:space="preserve">Szacowany nakład pracy w związku z realizacją przedmiotu zamówienia wyniesie </w:t>
      </w:r>
      <w:r w:rsidR="00CD167C" w:rsidRPr="00CE0D4C">
        <w:rPr>
          <w:rFonts w:ascii="Cambria" w:hAnsi="Cambria" w:cs="Tahoma"/>
          <w:sz w:val="22"/>
          <w:szCs w:val="22"/>
        </w:rPr>
        <w:t>2</w:t>
      </w:r>
      <w:r w:rsidR="00C42D94" w:rsidRPr="00CE0D4C">
        <w:rPr>
          <w:rFonts w:ascii="Cambria" w:hAnsi="Cambria" w:cs="Tahoma"/>
          <w:sz w:val="22"/>
          <w:szCs w:val="22"/>
        </w:rPr>
        <w:t>4</w:t>
      </w:r>
      <w:r w:rsidR="00CD167C" w:rsidRPr="00CE0D4C">
        <w:rPr>
          <w:rFonts w:ascii="Cambria" w:hAnsi="Cambria" w:cs="Tahoma"/>
          <w:sz w:val="22"/>
          <w:szCs w:val="22"/>
        </w:rPr>
        <w:t>0</w:t>
      </w:r>
      <w:r w:rsidRPr="00CE0D4C">
        <w:rPr>
          <w:rFonts w:ascii="Cambria" w:hAnsi="Cambria" w:cs="Tahoma"/>
          <w:sz w:val="22"/>
          <w:szCs w:val="22"/>
        </w:rPr>
        <w:t xml:space="preserve"> godzin pracy miesięcznie i obejmuje w szczególności:</w:t>
      </w:r>
    </w:p>
    <w:p w14:paraId="51544FB9" w14:textId="0792B7CA" w:rsidR="00833B4A" w:rsidRPr="00F52EA8" w:rsidRDefault="00C42D94" w:rsidP="00CD167C">
      <w:pPr>
        <w:numPr>
          <w:ilvl w:val="0"/>
          <w:numId w:val="7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2EA8">
        <w:rPr>
          <w:rFonts w:ascii="Cambria" w:hAnsi="Cambria" w:cs="Tahoma"/>
          <w:sz w:val="22"/>
          <w:szCs w:val="22"/>
        </w:rPr>
        <w:t>35</w:t>
      </w:r>
      <w:r w:rsidR="00833B4A" w:rsidRPr="00F52EA8">
        <w:rPr>
          <w:rFonts w:ascii="Cambria" w:hAnsi="Cambria" w:cs="Tahoma"/>
          <w:sz w:val="22"/>
          <w:szCs w:val="22"/>
        </w:rPr>
        <w:t xml:space="preserve"> godzin pracy w tygodniu – </w:t>
      </w:r>
      <w:r w:rsidR="00D25038" w:rsidRPr="00F52EA8">
        <w:rPr>
          <w:rFonts w:ascii="Cambria" w:hAnsi="Cambria" w:cs="Tahoma"/>
          <w:sz w:val="22"/>
          <w:szCs w:val="22"/>
        </w:rPr>
        <w:t>4</w:t>
      </w:r>
      <w:r w:rsidR="00833B4A" w:rsidRPr="00F52EA8">
        <w:rPr>
          <w:rFonts w:ascii="Cambria" w:hAnsi="Cambria" w:cs="Tahoma"/>
          <w:sz w:val="22"/>
          <w:szCs w:val="22"/>
        </w:rPr>
        <w:t xml:space="preserve"> razy</w:t>
      </w:r>
      <w:r w:rsidR="00B817BB" w:rsidRPr="00F52EA8">
        <w:rPr>
          <w:rFonts w:ascii="Cambria" w:hAnsi="Cambria" w:cs="Tahoma"/>
          <w:sz w:val="22"/>
          <w:szCs w:val="22"/>
        </w:rPr>
        <w:t xml:space="preserve"> w tygodniu </w:t>
      </w:r>
      <w:r w:rsidR="00833B4A" w:rsidRPr="00F52EA8">
        <w:rPr>
          <w:rFonts w:ascii="Cambria" w:hAnsi="Cambria" w:cs="Tahoma"/>
          <w:sz w:val="22"/>
          <w:szCs w:val="22"/>
        </w:rPr>
        <w:t xml:space="preserve"> (</w:t>
      </w:r>
      <w:r w:rsidRPr="00F52EA8">
        <w:rPr>
          <w:rFonts w:ascii="Cambria" w:hAnsi="Cambria" w:cs="Tahoma"/>
          <w:sz w:val="22"/>
          <w:szCs w:val="22"/>
        </w:rPr>
        <w:t xml:space="preserve">140 </w:t>
      </w:r>
      <w:r w:rsidR="00833B4A" w:rsidRPr="00F52EA8">
        <w:rPr>
          <w:rFonts w:ascii="Cambria" w:hAnsi="Cambria" w:cs="Tahoma"/>
          <w:sz w:val="22"/>
          <w:szCs w:val="22"/>
        </w:rPr>
        <w:t>godzin</w:t>
      </w:r>
      <w:r w:rsidRPr="00F52EA8">
        <w:rPr>
          <w:rFonts w:ascii="Cambria" w:hAnsi="Cambria" w:cs="Tahoma"/>
          <w:sz w:val="22"/>
          <w:szCs w:val="22"/>
        </w:rPr>
        <w:t xml:space="preserve"> </w:t>
      </w:r>
      <w:r w:rsidR="00833B4A" w:rsidRPr="00F52EA8">
        <w:rPr>
          <w:rFonts w:ascii="Cambria" w:hAnsi="Cambria" w:cs="Tahoma"/>
          <w:sz w:val="22"/>
          <w:szCs w:val="22"/>
        </w:rPr>
        <w:t>miesięcznie) podczas dyżurów stacjonarnych w siedzibie Zamawiającego</w:t>
      </w:r>
      <w:r w:rsidR="00023AFB" w:rsidRPr="00F52EA8">
        <w:rPr>
          <w:rFonts w:ascii="Cambria" w:hAnsi="Cambria" w:cs="Tahoma"/>
          <w:sz w:val="22"/>
          <w:szCs w:val="22"/>
        </w:rPr>
        <w:t xml:space="preserve"> </w:t>
      </w:r>
      <w:r w:rsidR="00B817BB" w:rsidRPr="00F52EA8">
        <w:rPr>
          <w:rFonts w:ascii="Cambria" w:hAnsi="Cambria" w:cs="Tahoma"/>
          <w:sz w:val="22"/>
          <w:szCs w:val="22"/>
        </w:rPr>
        <w:t xml:space="preserve">pełnionych przez co najmniej jednego prawnika </w:t>
      </w:r>
      <w:r w:rsidR="00023AFB" w:rsidRPr="00F52EA8">
        <w:rPr>
          <w:rFonts w:ascii="Cambria" w:hAnsi="Cambria" w:cs="Tahoma"/>
          <w:sz w:val="22"/>
          <w:szCs w:val="22"/>
        </w:rPr>
        <w:t>oraz</w:t>
      </w:r>
      <w:r w:rsidR="00833B4A" w:rsidRPr="00F52EA8">
        <w:rPr>
          <w:rFonts w:ascii="Cambria" w:hAnsi="Cambria" w:cs="Tahoma"/>
          <w:sz w:val="22"/>
          <w:szCs w:val="22"/>
        </w:rPr>
        <w:t xml:space="preserve"> </w:t>
      </w:r>
    </w:p>
    <w:p w14:paraId="6893AF07" w14:textId="6BD38CF8" w:rsidR="00833B4A" w:rsidRPr="00F52EA8" w:rsidRDefault="00C42D94" w:rsidP="00CD167C">
      <w:pPr>
        <w:numPr>
          <w:ilvl w:val="0"/>
          <w:numId w:val="7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2EA8">
        <w:rPr>
          <w:rFonts w:ascii="Cambria" w:hAnsi="Cambria" w:cs="Tahoma"/>
          <w:sz w:val="22"/>
          <w:szCs w:val="22"/>
        </w:rPr>
        <w:lastRenderedPageBreak/>
        <w:t xml:space="preserve">25 </w:t>
      </w:r>
      <w:r w:rsidR="00833B4A" w:rsidRPr="00F52EA8">
        <w:rPr>
          <w:rFonts w:ascii="Cambria" w:hAnsi="Cambria" w:cs="Tahoma"/>
          <w:sz w:val="22"/>
          <w:szCs w:val="22"/>
        </w:rPr>
        <w:t xml:space="preserve">godzin pracy w tygodniu – </w:t>
      </w:r>
      <w:r w:rsidRPr="00F52EA8">
        <w:rPr>
          <w:rFonts w:ascii="Cambria" w:hAnsi="Cambria" w:cs="Tahoma"/>
          <w:sz w:val="22"/>
          <w:szCs w:val="22"/>
        </w:rPr>
        <w:t xml:space="preserve"> </w:t>
      </w:r>
      <w:r w:rsidR="00833B4A" w:rsidRPr="00F52EA8">
        <w:rPr>
          <w:rFonts w:ascii="Cambria" w:hAnsi="Cambria" w:cs="Tahoma"/>
          <w:sz w:val="22"/>
          <w:szCs w:val="22"/>
        </w:rPr>
        <w:t>(</w:t>
      </w:r>
      <w:r w:rsidRPr="00F52EA8">
        <w:rPr>
          <w:rFonts w:ascii="Cambria" w:hAnsi="Cambria" w:cs="Tahoma"/>
          <w:sz w:val="22"/>
          <w:szCs w:val="22"/>
        </w:rPr>
        <w:t xml:space="preserve">100 </w:t>
      </w:r>
      <w:r w:rsidR="00833B4A" w:rsidRPr="00F52EA8">
        <w:rPr>
          <w:rFonts w:ascii="Cambria" w:hAnsi="Cambria" w:cs="Tahoma"/>
          <w:sz w:val="22"/>
          <w:szCs w:val="22"/>
        </w:rPr>
        <w:t xml:space="preserve">godzin miesięcznie) </w:t>
      </w:r>
      <w:r w:rsidR="00C17322" w:rsidRPr="00F52EA8">
        <w:rPr>
          <w:rFonts w:ascii="Cambria" w:hAnsi="Cambria" w:cs="Tahoma"/>
          <w:sz w:val="22"/>
          <w:szCs w:val="22"/>
        </w:rPr>
        <w:t xml:space="preserve">praca tego samego </w:t>
      </w:r>
      <w:r w:rsidR="00023AFB" w:rsidRPr="00F52EA8">
        <w:rPr>
          <w:rFonts w:ascii="Cambria" w:hAnsi="Cambria" w:cs="Tahoma"/>
          <w:sz w:val="22"/>
          <w:szCs w:val="22"/>
        </w:rPr>
        <w:t xml:space="preserve">prawnika poza dyżurami stacjonarnymi w siedzibie Zamawiającego </w:t>
      </w:r>
      <w:r w:rsidR="00C17322" w:rsidRPr="00F52EA8">
        <w:rPr>
          <w:rFonts w:ascii="Cambria" w:hAnsi="Cambria" w:cs="Tahoma"/>
          <w:sz w:val="22"/>
          <w:szCs w:val="22"/>
        </w:rPr>
        <w:t xml:space="preserve">lub </w:t>
      </w:r>
      <w:r w:rsidR="005E0FF9" w:rsidRPr="00F52EA8">
        <w:rPr>
          <w:rFonts w:ascii="Cambria" w:hAnsi="Cambria" w:cs="Tahoma"/>
          <w:sz w:val="22"/>
          <w:szCs w:val="22"/>
        </w:rPr>
        <w:t xml:space="preserve">drugiego </w:t>
      </w:r>
      <w:r w:rsidR="00C17322" w:rsidRPr="00F52EA8">
        <w:rPr>
          <w:rFonts w:ascii="Cambria" w:hAnsi="Cambria" w:cs="Tahoma"/>
          <w:sz w:val="22"/>
          <w:szCs w:val="22"/>
        </w:rPr>
        <w:t xml:space="preserve">prawnika </w:t>
      </w:r>
      <w:r w:rsidR="00023AFB" w:rsidRPr="00F52EA8">
        <w:rPr>
          <w:rFonts w:ascii="Cambria" w:hAnsi="Cambria" w:cs="Tahoma"/>
          <w:sz w:val="22"/>
          <w:szCs w:val="22"/>
        </w:rPr>
        <w:t xml:space="preserve">w </w:t>
      </w:r>
      <w:r w:rsidR="00833B4A" w:rsidRPr="00F52EA8">
        <w:rPr>
          <w:rFonts w:ascii="Cambria" w:hAnsi="Cambria" w:cs="Tahoma"/>
          <w:sz w:val="22"/>
          <w:szCs w:val="22"/>
        </w:rPr>
        <w:t>siedzib</w:t>
      </w:r>
      <w:r w:rsidRPr="00F52EA8">
        <w:rPr>
          <w:rFonts w:ascii="Cambria" w:hAnsi="Cambria" w:cs="Tahoma"/>
          <w:sz w:val="22"/>
          <w:szCs w:val="22"/>
        </w:rPr>
        <w:t xml:space="preserve">ie </w:t>
      </w:r>
      <w:r w:rsidR="00833B4A" w:rsidRPr="00F52EA8">
        <w:rPr>
          <w:rFonts w:ascii="Cambria" w:hAnsi="Cambria" w:cs="Tahoma"/>
          <w:sz w:val="22"/>
          <w:szCs w:val="22"/>
        </w:rPr>
        <w:t>Zamawiającego</w:t>
      </w:r>
      <w:r w:rsidRPr="00F52EA8">
        <w:rPr>
          <w:rFonts w:ascii="Cambria" w:hAnsi="Cambria" w:cs="Tahoma"/>
          <w:sz w:val="22"/>
          <w:szCs w:val="22"/>
        </w:rPr>
        <w:t>.</w:t>
      </w:r>
    </w:p>
    <w:bookmarkEnd w:id="0"/>
    <w:p w14:paraId="0D472922" w14:textId="18C6AE2A" w:rsidR="000D7A4B" w:rsidRPr="00F52EA8" w:rsidRDefault="00490CFE" w:rsidP="00CD167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2EA8">
        <w:rPr>
          <w:rFonts w:ascii="Cambria" w:hAnsi="Cambria" w:cs="Tahoma"/>
          <w:sz w:val="22"/>
          <w:szCs w:val="22"/>
        </w:rPr>
        <w:t>Wymaga się, aby w celu wypełniania obowiązków, o których mowa w rozdziale I, Wykonawca zapewnił w trakcie trwania umowy dyspozycyjność</w:t>
      </w:r>
      <w:r w:rsidR="004F284A" w:rsidRPr="00F52EA8">
        <w:rPr>
          <w:rFonts w:ascii="Cambria" w:hAnsi="Cambria" w:cs="Tahoma"/>
          <w:sz w:val="22"/>
          <w:szCs w:val="22"/>
        </w:rPr>
        <w:t xml:space="preserve"> </w:t>
      </w:r>
      <w:r w:rsidRPr="00F52EA8">
        <w:rPr>
          <w:rFonts w:ascii="Cambria" w:hAnsi="Cambria" w:cs="Tahoma"/>
          <w:sz w:val="22"/>
          <w:szCs w:val="22"/>
        </w:rPr>
        <w:t xml:space="preserve">co najmniej </w:t>
      </w:r>
      <w:r w:rsidR="00C17322" w:rsidRPr="00F52EA8">
        <w:rPr>
          <w:rFonts w:ascii="Cambria" w:hAnsi="Cambria" w:cs="Tahoma"/>
          <w:sz w:val="22"/>
          <w:szCs w:val="22"/>
        </w:rPr>
        <w:t xml:space="preserve">dwóch </w:t>
      </w:r>
      <w:r w:rsidRPr="00F52EA8">
        <w:rPr>
          <w:rFonts w:ascii="Cambria" w:hAnsi="Cambria" w:cs="Tahoma"/>
          <w:sz w:val="22"/>
          <w:szCs w:val="22"/>
        </w:rPr>
        <w:t>wskazan</w:t>
      </w:r>
      <w:r w:rsidR="00C17322" w:rsidRPr="00F52EA8">
        <w:rPr>
          <w:rFonts w:ascii="Cambria" w:hAnsi="Cambria" w:cs="Tahoma"/>
          <w:sz w:val="22"/>
          <w:szCs w:val="22"/>
        </w:rPr>
        <w:t xml:space="preserve">ych </w:t>
      </w:r>
      <w:r w:rsidRPr="00F52EA8">
        <w:rPr>
          <w:rFonts w:ascii="Cambria" w:hAnsi="Cambria" w:cs="Tahoma"/>
          <w:sz w:val="22"/>
          <w:szCs w:val="22"/>
        </w:rPr>
        <w:t>przez Wykonawcę</w:t>
      </w:r>
      <w:r w:rsidR="00004F4B" w:rsidRPr="00F52EA8">
        <w:rPr>
          <w:rFonts w:ascii="Cambria" w:hAnsi="Cambria" w:cs="Tahoma"/>
          <w:sz w:val="22"/>
          <w:szCs w:val="22"/>
        </w:rPr>
        <w:t xml:space="preserve"> profesjona</w:t>
      </w:r>
      <w:r w:rsidR="00381F7C" w:rsidRPr="00F52EA8">
        <w:rPr>
          <w:rFonts w:ascii="Cambria" w:hAnsi="Cambria" w:cs="Tahoma"/>
          <w:sz w:val="22"/>
          <w:szCs w:val="22"/>
        </w:rPr>
        <w:t>ln</w:t>
      </w:r>
      <w:r w:rsidR="00C17322" w:rsidRPr="00F52EA8">
        <w:rPr>
          <w:rFonts w:ascii="Cambria" w:hAnsi="Cambria" w:cs="Tahoma"/>
          <w:sz w:val="22"/>
          <w:szCs w:val="22"/>
        </w:rPr>
        <w:t>ych</w:t>
      </w:r>
      <w:r w:rsidR="00004F4B" w:rsidRPr="00F52EA8">
        <w:rPr>
          <w:rFonts w:ascii="Cambria" w:hAnsi="Cambria" w:cs="Tahoma"/>
          <w:sz w:val="22"/>
          <w:szCs w:val="22"/>
        </w:rPr>
        <w:t xml:space="preserve"> prawni</w:t>
      </w:r>
      <w:r w:rsidR="00381F7C" w:rsidRPr="00F52EA8">
        <w:rPr>
          <w:rFonts w:ascii="Cambria" w:hAnsi="Cambria" w:cs="Tahoma"/>
          <w:sz w:val="22"/>
          <w:szCs w:val="22"/>
        </w:rPr>
        <w:t>k</w:t>
      </w:r>
      <w:r w:rsidR="00C17322" w:rsidRPr="00F52EA8">
        <w:rPr>
          <w:rFonts w:ascii="Cambria" w:hAnsi="Cambria" w:cs="Tahoma"/>
          <w:sz w:val="22"/>
          <w:szCs w:val="22"/>
        </w:rPr>
        <w:t>ów</w:t>
      </w:r>
      <w:r w:rsidR="00004F4B" w:rsidRPr="00F52EA8">
        <w:rPr>
          <w:rFonts w:ascii="Cambria" w:hAnsi="Cambria" w:cs="Tahoma"/>
          <w:sz w:val="22"/>
          <w:szCs w:val="22"/>
        </w:rPr>
        <w:t xml:space="preserve"> </w:t>
      </w:r>
      <w:r w:rsidR="00381F7C" w:rsidRPr="00F52EA8">
        <w:rPr>
          <w:rFonts w:ascii="Cambria" w:hAnsi="Cambria" w:cs="Tahoma"/>
          <w:sz w:val="22"/>
          <w:szCs w:val="22"/>
        </w:rPr>
        <w:t>posiadając</w:t>
      </w:r>
      <w:r w:rsidR="00C17322" w:rsidRPr="00F52EA8">
        <w:rPr>
          <w:rFonts w:ascii="Cambria" w:hAnsi="Cambria" w:cs="Tahoma"/>
          <w:sz w:val="22"/>
          <w:szCs w:val="22"/>
        </w:rPr>
        <w:t>ych</w:t>
      </w:r>
      <w:r w:rsidR="00004F4B" w:rsidRPr="00F52EA8">
        <w:rPr>
          <w:rFonts w:ascii="Cambria" w:hAnsi="Cambria" w:cs="Tahoma"/>
          <w:sz w:val="22"/>
          <w:szCs w:val="22"/>
        </w:rPr>
        <w:t xml:space="preserve"> tytuł zawodowy radcy</w:t>
      </w:r>
      <w:r w:rsidRPr="00F52EA8">
        <w:rPr>
          <w:rFonts w:ascii="Cambria" w:hAnsi="Cambria" w:cs="Tahoma"/>
          <w:sz w:val="22"/>
          <w:szCs w:val="22"/>
        </w:rPr>
        <w:t xml:space="preserve"> </w:t>
      </w:r>
      <w:r w:rsidR="00004F4B" w:rsidRPr="00F52EA8">
        <w:rPr>
          <w:rFonts w:ascii="Cambria" w:hAnsi="Cambria" w:cs="Tahoma"/>
          <w:sz w:val="22"/>
          <w:szCs w:val="22"/>
        </w:rPr>
        <w:t>prawnego</w:t>
      </w:r>
      <w:r w:rsidRPr="00F52EA8">
        <w:rPr>
          <w:rFonts w:ascii="Cambria" w:hAnsi="Cambria" w:cs="Tahoma"/>
          <w:sz w:val="22"/>
          <w:szCs w:val="22"/>
        </w:rPr>
        <w:t xml:space="preserve"> lub adwokat</w:t>
      </w:r>
      <w:r w:rsidR="00004F4B" w:rsidRPr="00F52EA8">
        <w:rPr>
          <w:rFonts w:ascii="Cambria" w:hAnsi="Cambria" w:cs="Tahoma"/>
          <w:sz w:val="22"/>
          <w:szCs w:val="22"/>
        </w:rPr>
        <w:t>a oraz wpisane</w:t>
      </w:r>
      <w:r w:rsidR="00381F7C" w:rsidRPr="00F52EA8">
        <w:rPr>
          <w:rFonts w:ascii="Cambria" w:hAnsi="Cambria" w:cs="Tahoma"/>
          <w:sz w:val="22"/>
          <w:szCs w:val="22"/>
        </w:rPr>
        <w:t>go</w:t>
      </w:r>
      <w:r w:rsidR="00004F4B" w:rsidRPr="00F52EA8">
        <w:rPr>
          <w:rFonts w:ascii="Cambria" w:hAnsi="Cambria" w:cs="Tahoma"/>
          <w:sz w:val="22"/>
          <w:szCs w:val="22"/>
        </w:rPr>
        <w:t xml:space="preserve"> na właściwą listę samorządu zawodowego lub posiada</w:t>
      </w:r>
      <w:r w:rsidR="004F284A" w:rsidRPr="00F52EA8">
        <w:rPr>
          <w:rFonts w:ascii="Cambria" w:hAnsi="Cambria" w:cs="Tahoma"/>
          <w:sz w:val="22"/>
          <w:szCs w:val="22"/>
        </w:rPr>
        <w:t>jącego</w:t>
      </w:r>
      <w:r w:rsidR="00004F4B" w:rsidRPr="00F52EA8">
        <w:rPr>
          <w:rFonts w:ascii="Cambria" w:hAnsi="Cambria" w:cs="Tahoma"/>
          <w:sz w:val="22"/>
          <w:szCs w:val="22"/>
        </w:rPr>
        <w:t xml:space="preserve"> tytuł prawnika zagranicznego w rozumieniu ustawy z dnia 5 lipca 2002 r. o świadczeniu przez prawników zagranicznych pomocy prawnej w Rzeczypospolitej Polskiej  oraz wpisan</w:t>
      </w:r>
      <w:r w:rsidR="004F284A" w:rsidRPr="00F52EA8">
        <w:rPr>
          <w:rFonts w:ascii="Cambria" w:hAnsi="Cambria" w:cs="Tahoma"/>
          <w:sz w:val="22"/>
          <w:szCs w:val="22"/>
        </w:rPr>
        <w:t>ego</w:t>
      </w:r>
      <w:r w:rsidR="00004F4B" w:rsidRPr="00F52EA8">
        <w:rPr>
          <w:rFonts w:ascii="Cambria" w:hAnsi="Cambria" w:cs="Tahoma"/>
          <w:sz w:val="22"/>
          <w:szCs w:val="22"/>
        </w:rPr>
        <w:t xml:space="preserve"> na listę prawników zagranicznych prowadzoną przez właściwą okręgową radę adwokacką lub radę okręgowej izby radców prawnych</w:t>
      </w:r>
      <w:r w:rsidRPr="00F52EA8">
        <w:rPr>
          <w:rFonts w:ascii="Cambria" w:hAnsi="Cambria" w:cs="Tahoma"/>
          <w:sz w:val="22"/>
          <w:szCs w:val="22"/>
        </w:rPr>
        <w:t xml:space="preserve"> (w zależności od osoby pełniącej dyżur) w siedzibie Zamawiającego, </w:t>
      </w:r>
      <w:r w:rsidR="00381F7C" w:rsidRPr="00F52EA8">
        <w:rPr>
          <w:rFonts w:ascii="Cambria" w:hAnsi="Cambria" w:cs="Tahoma"/>
          <w:sz w:val="22"/>
          <w:szCs w:val="22"/>
        </w:rPr>
        <w:t>(</w:t>
      </w:r>
      <w:r w:rsidR="00C17322" w:rsidRPr="00F52EA8">
        <w:rPr>
          <w:rFonts w:ascii="Cambria" w:hAnsi="Cambria" w:cs="Tahoma"/>
          <w:sz w:val="22"/>
          <w:szCs w:val="22"/>
        </w:rPr>
        <w:t>5</w:t>
      </w:r>
      <w:r w:rsidR="00381F7C" w:rsidRPr="00F52EA8">
        <w:rPr>
          <w:rFonts w:ascii="Cambria" w:hAnsi="Cambria" w:cs="Tahoma"/>
          <w:sz w:val="22"/>
          <w:szCs w:val="22"/>
        </w:rPr>
        <w:t xml:space="preserve">) </w:t>
      </w:r>
      <w:r w:rsidR="00C17322" w:rsidRPr="00F52EA8">
        <w:rPr>
          <w:rFonts w:ascii="Cambria" w:hAnsi="Cambria" w:cs="Tahoma"/>
          <w:sz w:val="22"/>
          <w:szCs w:val="22"/>
        </w:rPr>
        <w:t xml:space="preserve">pięć </w:t>
      </w:r>
      <w:r w:rsidRPr="00F52EA8">
        <w:rPr>
          <w:rFonts w:ascii="Cambria" w:hAnsi="Cambria" w:cs="Tahoma"/>
          <w:sz w:val="22"/>
          <w:szCs w:val="22"/>
        </w:rPr>
        <w:t>dni w tygodniu</w:t>
      </w:r>
      <w:r w:rsidR="000D7A4B" w:rsidRPr="00F52EA8">
        <w:rPr>
          <w:rFonts w:ascii="Cambria" w:hAnsi="Cambria" w:cs="Tahoma"/>
          <w:sz w:val="22"/>
          <w:szCs w:val="22"/>
        </w:rPr>
        <w:t xml:space="preserve"> (od poniedziałku do piątku)</w:t>
      </w:r>
      <w:r w:rsidRPr="00F52EA8">
        <w:rPr>
          <w:rFonts w:ascii="Cambria" w:hAnsi="Cambria" w:cs="Tahoma"/>
          <w:sz w:val="22"/>
          <w:szCs w:val="22"/>
        </w:rPr>
        <w:t xml:space="preserve">, w wymiarze po </w:t>
      </w:r>
      <w:r w:rsidR="00C42D94" w:rsidRPr="00F52EA8">
        <w:rPr>
          <w:rFonts w:ascii="Cambria" w:hAnsi="Cambria" w:cs="Tahoma"/>
          <w:sz w:val="22"/>
          <w:szCs w:val="22"/>
        </w:rPr>
        <w:t>7</w:t>
      </w:r>
      <w:r w:rsidR="00833B4A" w:rsidRPr="00F52EA8">
        <w:rPr>
          <w:rFonts w:ascii="Cambria" w:hAnsi="Cambria" w:cs="Tahoma"/>
          <w:sz w:val="22"/>
          <w:szCs w:val="22"/>
        </w:rPr>
        <w:t xml:space="preserve"> </w:t>
      </w:r>
      <w:r w:rsidRPr="00F52EA8">
        <w:rPr>
          <w:rFonts w:ascii="Cambria" w:hAnsi="Cambria" w:cs="Tahoma"/>
          <w:sz w:val="22"/>
          <w:szCs w:val="22"/>
        </w:rPr>
        <w:t>godzin, w godzinach ustalonych uprzednio z Zamawiającym (tzw. dyżur)</w:t>
      </w:r>
      <w:r w:rsidR="002332B6" w:rsidRPr="00F52EA8">
        <w:rPr>
          <w:rFonts w:ascii="Cambria" w:hAnsi="Cambria" w:cs="Tahoma"/>
          <w:sz w:val="22"/>
          <w:szCs w:val="22"/>
        </w:rPr>
        <w:t>.</w:t>
      </w:r>
      <w:r w:rsidR="003E66D5" w:rsidRPr="00F52EA8">
        <w:rPr>
          <w:rFonts w:ascii="Cambria" w:hAnsi="Cambria" w:cs="Tahoma"/>
          <w:sz w:val="22"/>
          <w:szCs w:val="22"/>
        </w:rPr>
        <w:t xml:space="preserve"> Dyżury pełnić powinn</w:t>
      </w:r>
      <w:r w:rsidR="00C17322" w:rsidRPr="00F52EA8">
        <w:rPr>
          <w:rFonts w:ascii="Cambria" w:hAnsi="Cambria" w:cs="Tahoma"/>
          <w:sz w:val="22"/>
          <w:szCs w:val="22"/>
        </w:rPr>
        <w:t xml:space="preserve">y maksymalnie dwie osoby </w:t>
      </w:r>
      <w:r w:rsidR="003E66D5" w:rsidRPr="00F52EA8">
        <w:rPr>
          <w:rFonts w:ascii="Cambria" w:hAnsi="Cambria" w:cs="Tahoma"/>
          <w:sz w:val="22"/>
          <w:szCs w:val="22"/>
        </w:rPr>
        <w:t>przez cały okres realizacji usługi, z wyłączeniem sytuacji nagłych, urlopów</w:t>
      </w:r>
      <w:r w:rsidR="00C17322" w:rsidRPr="00F52EA8">
        <w:rPr>
          <w:rFonts w:ascii="Cambria" w:hAnsi="Cambria" w:cs="Tahoma"/>
          <w:sz w:val="22"/>
          <w:szCs w:val="22"/>
        </w:rPr>
        <w:t xml:space="preserve"> </w:t>
      </w:r>
      <w:r w:rsidR="003E66D5" w:rsidRPr="00F52EA8">
        <w:rPr>
          <w:rFonts w:ascii="Cambria" w:hAnsi="Cambria" w:cs="Tahoma"/>
          <w:sz w:val="22"/>
          <w:szCs w:val="22"/>
        </w:rPr>
        <w:t xml:space="preserve"> i zwolnień lekarskich, w przypadku których dopuszczalna jest czasowa zmiana osoby pełniącej dyżury </w:t>
      </w:r>
      <w:r w:rsidR="00C6043C" w:rsidRPr="00F52EA8">
        <w:rPr>
          <w:rFonts w:ascii="Cambria" w:hAnsi="Cambria" w:cs="Tahoma"/>
          <w:sz w:val="22"/>
          <w:szCs w:val="22"/>
        </w:rPr>
        <w:t xml:space="preserve"> </w:t>
      </w:r>
      <w:r w:rsidR="003E66D5" w:rsidRPr="00F52EA8">
        <w:rPr>
          <w:rFonts w:ascii="Cambria" w:hAnsi="Cambria" w:cs="Tahoma"/>
          <w:sz w:val="22"/>
          <w:szCs w:val="22"/>
        </w:rPr>
        <w:t>(z zastosowaniem postanowień pkt 5 i 6)</w:t>
      </w:r>
      <w:r w:rsidR="000D7A4B" w:rsidRPr="00F52EA8">
        <w:rPr>
          <w:rFonts w:ascii="Cambria" w:hAnsi="Cambria" w:cs="Tahoma"/>
          <w:sz w:val="22"/>
          <w:szCs w:val="22"/>
        </w:rPr>
        <w:t>;</w:t>
      </w:r>
    </w:p>
    <w:p w14:paraId="3B6FF292" w14:textId="27A89621" w:rsidR="00490CFE" w:rsidRPr="00CE0D4C" w:rsidRDefault="00490CFE" w:rsidP="00CD167C">
      <w:pPr>
        <w:numPr>
          <w:ilvl w:val="0"/>
          <w:numId w:val="6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52EA8">
        <w:rPr>
          <w:rFonts w:ascii="Cambria" w:hAnsi="Cambria" w:cs="Tahoma"/>
          <w:sz w:val="22"/>
          <w:szCs w:val="22"/>
        </w:rPr>
        <w:t xml:space="preserve">Przed zawarciem umowy strony uzgodnią osobowy grafik dni, w których Wykonawca będzie wykonywał </w:t>
      </w:r>
      <w:r w:rsidR="00381F7C" w:rsidRPr="00F52EA8">
        <w:rPr>
          <w:rFonts w:ascii="Cambria" w:hAnsi="Cambria" w:cs="Tahoma"/>
          <w:sz w:val="22"/>
          <w:szCs w:val="22"/>
        </w:rPr>
        <w:t>dyżur</w:t>
      </w:r>
      <w:r w:rsidRPr="00F52EA8">
        <w:rPr>
          <w:rFonts w:ascii="Cambria" w:hAnsi="Cambria" w:cs="Tahoma"/>
          <w:sz w:val="22"/>
          <w:szCs w:val="22"/>
        </w:rPr>
        <w:t xml:space="preserve"> w siedzibie</w:t>
      </w:r>
      <w:r w:rsidRPr="00CE0D4C">
        <w:rPr>
          <w:rFonts w:ascii="Cambria" w:hAnsi="Cambria" w:cs="Tahoma"/>
          <w:sz w:val="22"/>
          <w:szCs w:val="22"/>
        </w:rPr>
        <w:t xml:space="preserve"> Zamawiającego</w:t>
      </w:r>
      <w:r w:rsidR="00F64412" w:rsidRPr="00CE0D4C">
        <w:rPr>
          <w:rFonts w:ascii="Cambria" w:hAnsi="Cambria" w:cs="Tahoma"/>
          <w:sz w:val="22"/>
          <w:szCs w:val="22"/>
        </w:rPr>
        <w:t xml:space="preserve"> (zgodny z potrzebami Zamawiającego</w:t>
      </w:r>
      <w:r w:rsidR="003E66D5" w:rsidRPr="00CE0D4C">
        <w:rPr>
          <w:rFonts w:ascii="Cambria" w:hAnsi="Cambria" w:cs="Tahoma"/>
          <w:sz w:val="22"/>
          <w:szCs w:val="22"/>
        </w:rPr>
        <w:t xml:space="preserve"> </w:t>
      </w:r>
      <w:r w:rsidR="00C6043C" w:rsidRPr="00CE0D4C">
        <w:rPr>
          <w:rFonts w:ascii="Cambria" w:hAnsi="Cambria" w:cs="Tahoma"/>
          <w:sz w:val="22"/>
          <w:szCs w:val="22"/>
        </w:rPr>
        <w:t xml:space="preserve">                              </w:t>
      </w:r>
      <w:r w:rsidR="003E66D5" w:rsidRPr="00CE0D4C">
        <w:rPr>
          <w:rFonts w:ascii="Cambria" w:hAnsi="Cambria" w:cs="Tahoma"/>
          <w:sz w:val="22"/>
          <w:szCs w:val="22"/>
        </w:rPr>
        <w:t>i postanowieniami pkt 2).</w:t>
      </w:r>
    </w:p>
    <w:p w14:paraId="50B99392" w14:textId="487E2F9B" w:rsidR="00490CFE" w:rsidRPr="00CE0D4C" w:rsidRDefault="00490CFE" w:rsidP="00CD167C">
      <w:pPr>
        <w:numPr>
          <w:ilvl w:val="0"/>
          <w:numId w:val="6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 xml:space="preserve">Ewentualna zmiana grafiku w zakresie zmiany dni lub osób, świadczących usługę wymaga </w:t>
      </w:r>
      <w:r w:rsidRPr="00CE0D4C">
        <w:rPr>
          <w:rFonts w:ascii="Cambria" w:hAnsi="Cambria" w:cs="Tahoma"/>
          <w:sz w:val="22"/>
          <w:szCs w:val="22"/>
        </w:rPr>
        <w:br/>
      </w:r>
      <w:r w:rsidR="00381F7C" w:rsidRPr="00CE0D4C">
        <w:rPr>
          <w:rFonts w:ascii="Cambria" w:hAnsi="Cambria" w:cs="Tahoma"/>
          <w:sz w:val="22"/>
          <w:szCs w:val="22"/>
        </w:rPr>
        <w:t>uprzedniej</w:t>
      </w:r>
      <w:r w:rsidRPr="00CE0D4C">
        <w:rPr>
          <w:rFonts w:ascii="Cambria" w:hAnsi="Cambria" w:cs="Tahoma"/>
          <w:sz w:val="22"/>
          <w:szCs w:val="22"/>
        </w:rPr>
        <w:t xml:space="preserve"> zgody Zamawiającego. O takich okolicznościach Zamawiający powinien zostać odpowiednio wcześnie powiadomiony, nie później jednak niż na 24 </w:t>
      </w:r>
      <w:r w:rsidR="004F284A" w:rsidRPr="00CE0D4C">
        <w:rPr>
          <w:rFonts w:ascii="Cambria" w:hAnsi="Cambria" w:cs="Tahoma"/>
          <w:sz w:val="22"/>
          <w:szCs w:val="22"/>
        </w:rPr>
        <w:t>godziny</w:t>
      </w:r>
      <w:r w:rsidRPr="00CE0D4C">
        <w:rPr>
          <w:rFonts w:ascii="Cambria" w:hAnsi="Cambria" w:cs="Tahoma"/>
          <w:sz w:val="22"/>
          <w:szCs w:val="22"/>
        </w:rPr>
        <w:t xml:space="preserve"> przed planowaną nieobecnością.</w:t>
      </w:r>
    </w:p>
    <w:p w14:paraId="7A5F1B48" w14:textId="0A9642EC" w:rsidR="00490CFE" w:rsidRPr="00CE0D4C" w:rsidRDefault="00490CFE" w:rsidP="00CD167C">
      <w:pPr>
        <w:numPr>
          <w:ilvl w:val="0"/>
          <w:numId w:val="6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W czasie usprawiedliwionej nieobecności, w celu zapewnienia bieżącej obsługi prawnej Zamawiającego, wymaga się wyznaczenia zastępcy</w:t>
      </w:r>
      <w:r w:rsidR="002332B6" w:rsidRPr="00CE0D4C">
        <w:rPr>
          <w:rFonts w:ascii="Cambria" w:hAnsi="Cambria" w:cs="Tahoma"/>
          <w:sz w:val="22"/>
          <w:szCs w:val="22"/>
        </w:rPr>
        <w:t>, którym może być</w:t>
      </w:r>
      <w:r w:rsidR="008A61A3" w:rsidRPr="00CE0D4C">
        <w:rPr>
          <w:rFonts w:ascii="Cambria" w:hAnsi="Cambria" w:cs="Tahoma"/>
          <w:sz w:val="22"/>
          <w:szCs w:val="22"/>
        </w:rPr>
        <w:t xml:space="preserve"> co najmniej osoba posiadająca status</w:t>
      </w:r>
      <w:r w:rsidR="002332B6" w:rsidRPr="00CE0D4C">
        <w:rPr>
          <w:rFonts w:ascii="Cambria" w:hAnsi="Cambria" w:cs="Tahoma"/>
          <w:sz w:val="22"/>
          <w:szCs w:val="22"/>
        </w:rPr>
        <w:t xml:space="preserve"> </w:t>
      </w:r>
      <w:r w:rsidR="00DD6324" w:rsidRPr="00CE0D4C">
        <w:rPr>
          <w:rFonts w:ascii="Cambria" w:hAnsi="Cambria" w:cs="Tahoma"/>
          <w:sz w:val="22"/>
          <w:szCs w:val="22"/>
        </w:rPr>
        <w:t>radcy prawnego lub adwokata oraz wpisanej na właściwą listę samorządu zawodowego lub posiadającej tytuł prawnika zagranicznego w rozumieniu ustawy z dnia 5 lipca 2002 r. o świadczeniu przez prawników zagranicznych pomocy prawnej w Rzeczypospolitej Polskiej oraz wpisanej na listę prawników zagranicznych prowadzoną przez właściwą okręgową radę adwokacką lub radę okręgowej izby radców prawnych</w:t>
      </w:r>
      <w:r w:rsidR="002332B6" w:rsidRPr="00CE0D4C">
        <w:rPr>
          <w:rFonts w:ascii="Cambria" w:hAnsi="Cambria" w:cs="Tahoma"/>
          <w:sz w:val="22"/>
          <w:szCs w:val="22"/>
        </w:rPr>
        <w:t>.</w:t>
      </w:r>
      <w:r w:rsidRPr="00CE0D4C">
        <w:rPr>
          <w:rFonts w:ascii="Cambria" w:hAnsi="Cambria" w:cs="Tahoma"/>
          <w:sz w:val="22"/>
          <w:szCs w:val="22"/>
        </w:rPr>
        <w:t xml:space="preserve"> </w:t>
      </w:r>
    </w:p>
    <w:p w14:paraId="6A33DD4E" w14:textId="77777777" w:rsidR="00490CFE" w:rsidRPr="00CE0D4C" w:rsidRDefault="00490CFE" w:rsidP="00CD167C">
      <w:pPr>
        <w:numPr>
          <w:ilvl w:val="0"/>
          <w:numId w:val="6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W celu porozumiewania się na odległość strony przed zawarciem umowy przekażą sobie stosowne adresy e-mailowe, nr telefonów.</w:t>
      </w:r>
    </w:p>
    <w:p w14:paraId="62BDDAE4" w14:textId="41921E51" w:rsidR="00490CFE" w:rsidRPr="00CE0D4C" w:rsidRDefault="00490CFE" w:rsidP="00CD167C">
      <w:pPr>
        <w:numPr>
          <w:ilvl w:val="0"/>
          <w:numId w:val="6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Zamawiający zastrzega sobie, aby osoby pełniące dyżury siedzibie</w:t>
      </w:r>
      <w:r w:rsidR="008A61A3" w:rsidRPr="00CE0D4C">
        <w:rPr>
          <w:rFonts w:ascii="Cambria" w:hAnsi="Cambria" w:cs="Tahoma"/>
          <w:sz w:val="22"/>
          <w:szCs w:val="22"/>
        </w:rPr>
        <w:t xml:space="preserve"> </w:t>
      </w:r>
      <w:r w:rsidR="00DD6324" w:rsidRPr="00CE0D4C">
        <w:rPr>
          <w:rFonts w:ascii="Cambria" w:hAnsi="Cambria" w:cs="Tahoma"/>
          <w:sz w:val="22"/>
          <w:szCs w:val="22"/>
        </w:rPr>
        <w:t>Zamawiającego</w:t>
      </w:r>
      <w:r w:rsidRPr="00CE0D4C">
        <w:rPr>
          <w:rFonts w:ascii="Cambria" w:hAnsi="Cambria" w:cs="Tahoma"/>
          <w:sz w:val="22"/>
          <w:szCs w:val="22"/>
        </w:rPr>
        <w:t xml:space="preserve"> oraz zdalnie posiadały kwalifikowane podpisy elektroniczne.</w:t>
      </w:r>
    </w:p>
    <w:p w14:paraId="288349B3" w14:textId="0E9A4A47" w:rsidR="00490CFE" w:rsidRPr="00CE0D4C" w:rsidRDefault="00490CFE" w:rsidP="00CD167C">
      <w:pPr>
        <w:numPr>
          <w:ilvl w:val="0"/>
          <w:numId w:val="6"/>
        </w:numPr>
        <w:spacing w:line="360" w:lineRule="auto"/>
        <w:ind w:left="357" w:hanging="357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Wykonawca zapewni obsługę prawną w języku polskim</w:t>
      </w:r>
      <w:r w:rsidR="004F284A" w:rsidRPr="00CE0D4C">
        <w:rPr>
          <w:rFonts w:ascii="Cambria" w:hAnsi="Cambria" w:cs="Tahoma"/>
          <w:sz w:val="22"/>
          <w:szCs w:val="22"/>
        </w:rPr>
        <w:t>, z zastrzeżeniem rozdziału I ust. 2 pkt 7</w:t>
      </w:r>
      <w:r w:rsidRPr="00CE0D4C">
        <w:rPr>
          <w:rFonts w:ascii="Cambria" w:hAnsi="Cambria" w:cs="Tahoma"/>
          <w:sz w:val="22"/>
          <w:szCs w:val="22"/>
        </w:rPr>
        <w:t>.</w:t>
      </w:r>
    </w:p>
    <w:p w14:paraId="4FAF2EF2" w14:textId="1594B50E" w:rsidR="00490CFE" w:rsidRPr="00CE0D4C" w:rsidRDefault="00490CFE" w:rsidP="00CD167C">
      <w:pPr>
        <w:numPr>
          <w:ilvl w:val="0"/>
          <w:numId w:val="6"/>
        </w:numPr>
        <w:spacing w:line="360" w:lineRule="auto"/>
        <w:ind w:left="357" w:hanging="357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lastRenderedPageBreak/>
        <w:t xml:space="preserve">Wykonawca będzie posiadał dostęp do wewnętrznej strony </w:t>
      </w:r>
      <w:r w:rsidR="00CD167C" w:rsidRPr="00CE0D4C">
        <w:rPr>
          <w:rFonts w:ascii="Cambria" w:hAnsi="Cambria" w:cs="Tahoma"/>
          <w:sz w:val="22"/>
          <w:szCs w:val="22"/>
        </w:rPr>
        <w:t>NIGRiR</w:t>
      </w:r>
      <w:r w:rsidRPr="00CE0D4C">
        <w:rPr>
          <w:rFonts w:ascii="Cambria" w:hAnsi="Cambria" w:cs="Tahoma"/>
          <w:sz w:val="22"/>
          <w:szCs w:val="22"/>
        </w:rPr>
        <w:t>.</w:t>
      </w:r>
    </w:p>
    <w:p w14:paraId="0EA8C85E" w14:textId="77777777" w:rsidR="00490CFE" w:rsidRPr="00CE0D4C" w:rsidRDefault="00490CFE" w:rsidP="00CD167C">
      <w:pPr>
        <w:numPr>
          <w:ilvl w:val="0"/>
          <w:numId w:val="6"/>
        </w:numPr>
        <w:spacing w:line="360" w:lineRule="auto"/>
        <w:ind w:left="357" w:hanging="357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Terminy załatwienia spraw takich jak: odpowiedzi na zapytania prawne Zamawiającego, pytania Wykonawców w postępowaniach publicznych, przygotowanie opinii prawnych, sporządzenie wzorów umów:</w:t>
      </w:r>
    </w:p>
    <w:p w14:paraId="7C1B7870" w14:textId="495997ED" w:rsidR="00490CFE" w:rsidRPr="00CE0D4C" w:rsidRDefault="00490CFE" w:rsidP="00C42D94">
      <w:pPr>
        <w:numPr>
          <w:ilvl w:val="0"/>
          <w:numId w:val="8"/>
        </w:numPr>
        <w:tabs>
          <w:tab w:val="clear" w:pos="1068"/>
          <w:tab w:val="num" w:pos="709"/>
        </w:tabs>
        <w:spacing w:line="360" w:lineRule="auto"/>
        <w:ind w:left="709" w:hanging="283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sprawy bieżące, sprawy pilne</w:t>
      </w:r>
      <w:r w:rsidR="00C94F6D">
        <w:rPr>
          <w:rFonts w:ascii="Cambria" w:hAnsi="Cambria" w:cs="Tahoma"/>
          <w:sz w:val="22"/>
          <w:szCs w:val="22"/>
        </w:rPr>
        <w:t xml:space="preserve"> </w:t>
      </w:r>
      <w:r w:rsidRPr="00CE0D4C">
        <w:rPr>
          <w:rFonts w:ascii="Cambria" w:hAnsi="Cambria" w:cs="Tahoma"/>
          <w:sz w:val="22"/>
          <w:szCs w:val="22"/>
        </w:rPr>
        <w:t>– w tym samym dniu, pod warunkiem ich otrzymania na początku dyżuru, po tym czasie w dniu następnym,</w:t>
      </w:r>
      <w:r w:rsidR="00C6043C" w:rsidRPr="00CE0D4C">
        <w:rPr>
          <w:rFonts w:ascii="Cambria" w:hAnsi="Cambria" w:cs="Tahoma"/>
          <w:sz w:val="22"/>
          <w:szCs w:val="22"/>
        </w:rPr>
        <w:t xml:space="preserve">  </w:t>
      </w:r>
      <w:r w:rsidRPr="00CE0D4C">
        <w:rPr>
          <w:rFonts w:ascii="Cambria" w:hAnsi="Cambria" w:cs="Tahoma"/>
          <w:sz w:val="22"/>
          <w:szCs w:val="22"/>
        </w:rPr>
        <w:t>za wyjątkiem spraw, które wymagają natychmiastowej interwencji;</w:t>
      </w:r>
    </w:p>
    <w:p w14:paraId="44E86D07" w14:textId="18C40CC4" w:rsidR="00490CFE" w:rsidRPr="00CE0D4C" w:rsidRDefault="00490CFE" w:rsidP="00C42D94">
      <w:pPr>
        <w:numPr>
          <w:ilvl w:val="0"/>
          <w:numId w:val="8"/>
        </w:numPr>
        <w:tabs>
          <w:tab w:val="clear" w:pos="1068"/>
          <w:tab w:val="num" w:pos="709"/>
        </w:tabs>
        <w:spacing w:line="360" w:lineRule="auto"/>
        <w:ind w:left="709" w:hanging="283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sprawy skomplikowane – wymagające konsultacji lub analizy przepisów praw – do 5 dni kalen</w:t>
      </w:r>
      <w:r w:rsidR="00744D17" w:rsidRPr="00CE0D4C">
        <w:rPr>
          <w:rFonts w:ascii="Cambria" w:hAnsi="Cambria" w:cs="Tahoma"/>
          <w:sz w:val="22"/>
          <w:szCs w:val="22"/>
        </w:rPr>
        <w:t>darzowych, z zastrzeżeniem pkt 3</w:t>
      </w:r>
      <w:r w:rsidRPr="00CE0D4C">
        <w:rPr>
          <w:rFonts w:ascii="Cambria" w:hAnsi="Cambria" w:cs="Tahoma"/>
          <w:sz w:val="22"/>
          <w:szCs w:val="22"/>
        </w:rPr>
        <w:t xml:space="preserve">;  </w:t>
      </w:r>
    </w:p>
    <w:p w14:paraId="1FB2C243" w14:textId="1DA1E750" w:rsidR="00490CFE" w:rsidRPr="00CE0D4C" w:rsidRDefault="00490CFE" w:rsidP="00C42D94">
      <w:pPr>
        <w:numPr>
          <w:ilvl w:val="0"/>
          <w:numId w:val="8"/>
        </w:numPr>
        <w:tabs>
          <w:tab w:val="clear" w:pos="1068"/>
          <w:tab w:val="num" w:pos="709"/>
        </w:tabs>
        <w:spacing w:line="360" w:lineRule="auto"/>
        <w:ind w:left="709" w:hanging="283"/>
        <w:jc w:val="both"/>
        <w:rPr>
          <w:rFonts w:ascii="Cambria" w:hAnsi="Cambria" w:cs="Tahoma"/>
          <w:sz w:val="22"/>
          <w:szCs w:val="22"/>
        </w:rPr>
      </w:pPr>
      <w:r w:rsidRPr="00CE0D4C">
        <w:rPr>
          <w:rFonts w:ascii="Cambria" w:hAnsi="Cambria" w:cs="Tahoma"/>
          <w:sz w:val="22"/>
          <w:szCs w:val="22"/>
        </w:rPr>
        <w:t>sprawy szczególnie skomplikowane, wymagające dodatkowej dokumentacji od podmiotów zewnętrznych wymagane jest określenie terminu realizacji nie dłuższego jednak niż 14 dni kalendarzowych i niezwłoczne poinformowanie na piśmie o tym Zamawiającego</w:t>
      </w:r>
      <w:r w:rsidR="008A61A3" w:rsidRPr="00CE0D4C">
        <w:rPr>
          <w:rFonts w:ascii="Cambria" w:hAnsi="Cambria" w:cs="Tahoma"/>
          <w:sz w:val="22"/>
          <w:szCs w:val="22"/>
        </w:rPr>
        <w:t>.</w:t>
      </w:r>
    </w:p>
    <w:p w14:paraId="7C6B7C73" w14:textId="77777777" w:rsidR="00D707F0" w:rsidRPr="00CE0D4C" w:rsidRDefault="00D707F0" w:rsidP="00CD167C">
      <w:pPr>
        <w:spacing w:line="360" w:lineRule="auto"/>
        <w:rPr>
          <w:rFonts w:ascii="Cambria" w:hAnsi="Cambria"/>
          <w:sz w:val="22"/>
          <w:szCs w:val="22"/>
        </w:rPr>
      </w:pPr>
    </w:p>
    <w:sectPr w:rsidR="00D707F0" w:rsidRPr="00CE0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4440"/>
    <w:multiLevelType w:val="hybridMultilevel"/>
    <w:tmpl w:val="10B8C1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1AD8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D3B1B"/>
    <w:multiLevelType w:val="hybridMultilevel"/>
    <w:tmpl w:val="81AC3B2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F8E35AE">
      <w:start w:val="1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DC4B5B"/>
    <w:multiLevelType w:val="hybridMultilevel"/>
    <w:tmpl w:val="DAA6A83A"/>
    <w:lvl w:ilvl="0" w:tplc="4E28C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91AD83A">
      <w:start w:val="1"/>
      <w:numFmt w:val="decimal"/>
      <w:lvlText w:val="%2)"/>
      <w:lvlJc w:val="left"/>
      <w:pPr>
        <w:tabs>
          <w:tab w:val="num" w:pos="1270"/>
        </w:tabs>
        <w:ind w:left="127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" w15:restartNumberingAfterBreak="0">
    <w:nsid w:val="20D25D94"/>
    <w:multiLevelType w:val="hybridMultilevel"/>
    <w:tmpl w:val="9EB65A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27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4" w15:restartNumberingAfterBreak="0">
    <w:nsid w:val="27B573FD"/>
    <w:multiLevelType w:val="hybridMultilevel"/>
    <w:tmpl w:val="14E87E9C"/>
    <w:lvl w:ilvl="0" w:tplc="D8EEA47A">
      <w:start w:val="12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814" w:hanging="360"/>
      </w:pPr>
    </w:lvl>
    <w:lvl w:ilvl="2" w:tplc="0415001B">
      <w:start w:val="1"/>
      <w:numFmt w:val="lowerRoman"/>
      <w:lvlText w:val="%3."/>
      <w:lvlJc w:val="right"/>
      <w:pPr>
        <w:ind w:left="1534" w:hanging="180"/>
      </w:pPr>
    </w:lvl>
    <w:lvl w:ilvl="3" w:tplc="0415000F">
      <w:start w:val="1"/>
      <w:numFmt w:val="decimal"/>
      <w:lvlText w:val="%4."/>
      <w:lvlJc w:val="left"/>
      <w:pPr>
        <w:ind w:left="2254" w:hanging="360"/>
      </w:pPr>
    </w:lvl>
    <w:lvl w:ilvl="4" w:tplc="04150019">
      <w:start w:val="1"/>
      <w:numFmt w:val="lowerLetter"/>
      <w:lvlText w:val="%5."/>
      <w:lvlJc w:val="left"/>
      <w:pPr>
        <w:ind w:left="2974" w:hanging="360"/>
      </w:pPr>
    </w:lvl>
    <w:lvl w:ilvl="5" w:tplc="0415001B">
      <w:start w:val="1"/>
      <w:numFmt w:val="lowerRoman"/>
      <w:lvlText w:val="%6."/>
      <w:lvlJc w:val="right"/>
      <w:pPr>
        <w:ind w:left="3694" w:hanging="180"/>
      </w:pPr>
    </w:lvl>
    <w:lvl w:ilvl="6" w:tplc="0415000F">
      <w:start w:val="1"/>
      <w:numFmt w:val="decimal"/>
      <w:lvlText w:val="%7."/>
      <w:lvlJc w:val="left"/>
      <w:pPr>
        <w:ind w:left="4414" w:hanging="360"/>
      </w:pPr>
    </w:lvl>
    <w:lvl w:ilvl="7" w:tplc="04150019">
      <w:start w:val="1"/>
      <w:numFmt w:val="lowerLetter"/>
      <w:lvlText w:val="%8."/>
      <w:lvlJc w:val="left"/>
      <w:pPr>
        <w:ind w:left="5134" w:hanging="360"/>
      </w:pPr>
    </w:lvl>
    <w:lvl w:ilvl="8" w:tplc="0415001B">
      <w:start w:val="1"/>
      <w:numFmt w:val="lowerRoman"/>
      <w:lvlText w:val="%9."/>
      <w:lvlJc w:val="right"/>
      <w:pPr>
        <w:ind w:left="5854" w:hanging="180"/>
      </w:pPr>
    </w:lvl>
  </w:abstractNum>
  <w:abstractNum w:abstractNumId="5" w15:restartNumberingAfterBreak="0">
    <w:nsid w:val="384741A2"/>
    <w:multiLevelType w:val="hybridMultilevel"/>
    <w:tmpl w:val="64EE6452"/>
    <w:lvl w:ilvl="0" w:tplc="F452B3A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849163F"/>
    <w:multiLevelType w:val="hybridMultilevel"/>
    <w:tmpl w:val="33A80B8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B252F7C"/>
    <w:multiLevelType w:val="hybridMultilevel"/>
    <w:tmpl w:val="0DCEE4A4"/>
    <w:lvl w:ilvl="0" w:tplc="09D474D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8" w15:restartNumberingAfterBreak="0">
    <w:nsid w:val="40D30E38"/>
    <w:multiLevelType w:val="hybridMultilevel"/>
    <w:tmpl w:val="879CE02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F8E35AE">
      <w:start w:val="1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7B0BFF"/>
    <w:multiLevelType w:val="hybridMultilevel"/>
    <w:tmpl w:val="8C8EB1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7C428CC"/>
    <w:multiLevelType w:val="multilevel"/>
    <w:tmpl w:val="92228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AF343D"/>
    <w:multiLevelType w:val="hybridMultilevel"/>
    <w:tmpl w:val="B79E9B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AD8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C59B2"/>
    <w:multiLevelType w:val="hybridMultilevel"/>
    <w:tmpl w:val="A01E4BBA"/>
    <w:lvl w:ilvl="0" w:tplc="2CB46C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ahoma" w:hAnsi="Tahom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>
      <w:start w:val="1"/>
      <w:numFmt w:val="lowerLetter"/>
      <w:lvlText w:val="%5."/>
      <w:lvlJc w:val="left"/>
      <w:pPr>
        <w:ind w:left="3873" w:hanging="360"/>
      </w:pPr>
    </w:lvl>
    <w:lvl w:ilvl="5" w:tplc="0415001B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>
      <w:start w:val="1"/>
      <w:numFmt w:val="lowerLetter"/>
      <w:lvlText w:val="%8."/>
      <w:lvlJc w:val="left"/>
      <w:pPr>
        <w:ind w:left="6033" w:hanging="360"/>
      </w:pPr>
    </w:lvl>
    <w:lvl w:ilvl="8" w:tplc="0415001B">
      <w:start w:val="1"/>
      <w:numFmt w:val="lowerRoman"/>
      <w:lvlText w:val="%9."/>
      <w:lvlJc w:val="right"/>
      <w:pPr>
        <w:ind w:left="6753" w:hanging="180"/>
      </w:pPr>
    </w:lvl>
  </w:abstractNum>
  <w:num w:numId="1" w16cid:durableId="13864895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8857729">
    <w:abstractNumId w:val="6"/>
  </w:num>
  <w:num w:numId="3" w16cid:durableId="115730892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432971426">
    <w:abstractNumId w:val="8"/>
    <w:lvlOverride w:ilvl="0"/>
    <w:lvlOverride w:ilvl="1">
      <w:startOverride w:val="13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673875425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63213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11314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90017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6741371">
    <w:abstractNumId w:val="2"/>
  </w:num>
  <w:num w:numId="10" w16cid:durableId="849873686">
    <w:abstractNumId w:val="5"/>
  </w:num>
  <w:num w:numId="11" w16cid:durableId="1250654065">
    <w:abstractNumId w:val="0"/>
  </w:num>
  <w:num w:numId="12" w16cid:durableId="512762647">
    <w:abstractNumId w:val="1"/>
  </w:num>
  <w:num w:numId="13" w16cid:durableId="1994798667">
    <w:abstractNumId w:val="10"/>
  </w:num>
  <w:num w:numId="14" w16cid:durableId="1344893284">
    <w:abstractNumId w:val="1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5" w16cid:durableId="1167675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FE"/>
    <w:rsid w:val="00004F4B"/>
    <w:rsid w:val="00023AFB"/>
    <w:rsid w:val="00053C2E"/>
    <w:rsid w:val="000D7A4B"/>
    <w:rsid w:val="002332B6"/>
    <w:rsid w:val="0024411C"/>
    <w:rsid w:val="00296CF9"/>
    <w:rsid w:val="002A49C0"/>
    <w:rsid w:val="00360DCF"/>
    <w:rsid w:val="00381F7C"/>
    <w:rsid w:val="003A5036"/>
    <w:rsid w:val="003D0D2A"/>
    <w:rsid w:val="003E66D5"/>
    <w:rsid w:val="00423920"/>
    <w:rsid w:val="0042441B"/>
    <w:rsid w:val="00472A1B"/>
    <w:rsid w:val="004826AC"/>
    <w:rsid w:val="00490CFE"/>
    <w:rsid w:val="004D1CF0"/>
    <w:rsid w:val="004F284A"/>
    <w:rsid w:val="004F509F"/>
    <w:rsid w:val="00524E15"/>
    <w:rsid w:val="0053282B"/>
    <w:rsid w:val="005424E0"/>
    <w:rsid w:val="0055167F"/>
    <w:rsid w:val="005E0FF9"/>
    <w:rsid w:val="00653E4F"/>
    <w:rsid w:val="0067019F"/>
    <w:rsid w:val="00744D17"/>
    <w:rsid w:val="007A504B"/>
    <w:rsid w:val="00833B4A"/>
    <w:rsid w:val="0084203E"/>
    <w:rsid w:val="008A61A3"/>
    <w:rsid w:val="008D47F2"/>
    <w:rsid w:val="00921F2B"/>
    <w:rsid w:val="00930759"/>
    <w:rsid w:val="00964621"/>
    <w:rsid w:val="0098329A"/>
    <w:rsid w:val="00B817BB"/>
    <w:rsid w:val="00BB110C"/>
    <w:rsid w:val="00C17322"/>
    <w:rsid w:val="00C42D94"/>
    <w:rsid w:val="00C6043C"/>
    <w:rsid w:val="00C92F80"/>
    <w:rsid w:val="00C94F6D"/>
    <w:rsid w:val="00CD167C"/>
    <w:rsid w:val="00CE0D4C"/>
    <w:rsid w:val="00CE156E"/>
    <w:rsid w:val="00D138F1"/>
    <w:rsid w:val="00D25038"/>
    <w:rsid w:val="00D54BC6"/>
    <w:rsid w:val="00D615A6"/>
    <w:rsid w:val="00D65CF9"/>
    <w:rsid w:val="00D707F0"/>
    <w:rsid w:val="00DC789E"/>
    <w:rsid w:val="00DD2B06"/>
    <w:rsid w:val="00DD6324"/>
    <w:rsid w:val="00DF4DC1"/>
    <w:rsid w:val="00E46804"/>
    <w:rsid w:val="00E74DD4"/>
    <w:rsid w:val="00E8650E"/>
    <w:rsid w:val="00F25700"/>
    <w:rsid w:val="00F52EA8"/>
    <w:rsid w:val="00F64412"/>
    <w:rsid w:val="00F8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AE09"/>
  <w15:docId w15:val="{A14DC60F-0231-4441-B3B2-17F119EF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C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Tytu"/>
    <w:next w:val="Nagwek2"/>
    <w:link w:val="Nagwek1Znak"/>
    <w:qFormat/>
    <w:rsid w:val="00CE0D4C"/>
    <w:pPr>
      <w:widowControl w:val="0"/>
      <w:suppressAutoHyphens/>
      <w:contextualSpacing w:val="0"/>
      <w:outlineLvl w:val="0"/>
    </w:pPr>
    <w:rPr>
      <w:rFonts w:ascii="Cambria" w:eastAsia="Lucida Sans Unicode" w:hAnsi="Cambria" w:cs="Times New Roman"/>
      <w:b/>
      <w:spacing w:val="0"/>
      <w:kern w:val="0"/>
      <w:sz w:val="22"/>
      <w:szCs w:val="2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0D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0CF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0C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0C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0CF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90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C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C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C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CF0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DD2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E0D4C"/>
    <w:rPr>
      <w:rFonts w:ascii="Cambria" w:eastAsia="Lucida Sans Unicode" w:hAnsi="Cambria" w:cs="Times New Roman"/>
      <w:b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CE0D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0D4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0D4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36906-65AA-44FB-860F-77EB228F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1279</Words>
  <Characters>7675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Julia Sadurska</cp:lastModifiedBy>
  <cp:revision>2</cp:revision>
  <cp:lastPrinted>2022-02-18T08:55:00Z</cp:lastPrinted>
  <dcterms:created xsi:type="dcterms:W3CDTF">2024-12-19T10:25:00Z</dcterms:created>
  <dcterms:modified xsi:type="dcterms:W3CDTF">2024-12-20T11:26:00Z</dcterms:modified>
</cp:coreProperties>
</file>