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25B2" w14:textId="77777777" w:rsidR="00E2486C" w:rsidRPr="00395B8F" w:rsidRDefault="00E2486C" w:rsidP="00E2486C">
      <w:pPr>
        <w:pStyle w:val="western"/>
        <w:spacing w:before="0" w:beforeAutospacing="0" w:after="0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395B8F">
        <w:rPr>
          <w:rFonts w:ascii="Verdana" w:hAnsi="Verdana"/>
          <w:b/>
          <w:bCs/>
          <w:sz w:val="20"/>
          <w:szCs w:val="20"/>
          <w:shd w:val="clear" w:color="auto" w:fill="FFFFFF"/>
        </w:rPr>
        <w:t>Klauzula informacyjna RODO</w:t>
      </w:r>
    </w:p>
    <w:p w14:paraId="5BCFDDCD" w14:textId="77777777" w:rsidR="00E2486C" w:rsidRPr="00395B8F" w:rsidRDefault="00E2486C" w:rsidP="00E2486C">
      <w:pPr>
        <w:spacing w:after="0"/>
        <w:ind w:left="144"/>
        <w:contextualSpacing/>
        <w:jc w:val="both"/>
        <w:rPr>
          <w:rFonts w:ascii="Verdana" w:hAnsi="Verdana" w:cs="Arial"/>
          <w:sz w:val="20"/>
          <w:szCs w:val="20"/>
        </w:rPr>
      </w:pPr>
      <w:r w:rsidRPr="00395B8F">
        <w:rPr>
          <w:rFonts w:ascii="Verdana" w:hAnsi="Verdana" w:cs="Arial"/>
          <w:sz w:val="20"/>
          <w:szCs w:val="20"/>
        </w:rPr>
        <w:t>Oferent oświadcza, że przyjmuje do wiadomości, iż:</w:t>
      </w:r>
    </w:p>
    <w:p w14:paraId="507CEDE5" w14:textId="77777777" w:rsidR="00E2486C" w:rsidRPr="00395B8F" w:rsidRDefault="00E2486C" w:rsidP="00E2486C">
      <w:pPr>
        <w:spacing w:after="0"/>
        <w:ind w:left="144"/>
        <w:contextualSpacing/>
        <w:jc w:val="both"/>
        <w:rPr>
          <w:rFonts w:ascii="Verdana" w:hAnsi="Verdana" w:cs="Arial"/>
          <w:sz w:val="20"/>
          <w:szCs w:val="20"/>
        </w:rPr>
      </w:pPr>
    </w:p>
    <w:p w14:paraId="63BF3DA9" w14:textId="77777777" w:rsidR="00E2486C" w:rsidRPr="00395B8F" w:rsidRDefault="00E2486C" w:rsidP="00E2486C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Administratorem danych osobowych jest:</w:t>
      </w:r>
    </w:p>
    <w:p w14:paraId="3AAD6392" w14:textId="77777777" w:rsidR="00E2486C" w:rsidRPr="00395B8F" w:rsidRDefault="00E2486C" w:rsidP="00E2486C">
      <w:pPr>
        <w:widowControl w:val="0"/>
        <w:numPr>
          <w:ilvl w:val="1"/>
          <w:numId w:val="1"/>
        </w:numPr>
        <w:suppressAutoHyphens/>
        <w:spacing w:after="0"/>
        <w:ind w:left="709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Zarząd Województwa Mazowieckiego dla zbioru Regionalny Program Operacyjny Województwa Mazowieckiego na lata 2014-2020, będący Instytucją Zarządzającą dla Regionalnego Programu Operacyjnego Województwa Mazowieckiego na lata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2014-2020, z siedzibą w Warszawie, przy ul. Jagiellońskiej 26, 03-719 Warszawa; </w:t>
      </w:r>
    </w:p>
    <w:p w14:paraId="28D1B673" w14:textId="77777777" w:rsidR="00E2486C" w:rsidRPr="00395B8F" w:rsidRDefault="00E2486C" w:rsidP="00E2486C">
      <w:pPr>
        <w:widowControl w:val="0"/>
        <w:numPr>
          <w:ilvl w:val="1"/>
          <w:numId w:val="1"/>
        </w:numPr>
        <w:suppressAutoHyphens/>
        <w:spacing w:after="0"/>
        <w:ind w:left="709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Minister właściwy do spraw rozwoju regionalnego dla zbioru Centralny system teleinformatyczny wspierający realizację programów operacyjnych, z siedzibą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w Warszawie, przy ul. Wspólnej 2/4, 00-507 Warszawa.</w:t>
      </w:r>
    </w:p>
    <w:p w14:paraId="10512E86" w14:textId="77777777" w:rsidR="00E2486C" w:rsidRPr="00395B8F" w:rsidRDefault="00E2486C" w:rsidP="00E2486C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Podstawę prawną przetwarzania danych osobowych stanowi art. 6 ust. 1 lit. c oraz art. 9 ust. 2 lit. g rozporządzenia Parlamentu Europejskiego i Rady (UE) 2016/679 z dnia 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04.05.2016, </w:t>
      </w:r>
      <w:r w:rsidRPr="00395B8F">
        <w:rPr>
          <w:rFonts w:ascii="Verdana" w:eastAsia="Times New Roman" w:hAnsi="Verdana" w:cs="Arial"/>
          <w:sz w:val="20"/>
          <w:szCs w:val="20"/>
          <w:lang w:eastAsia="ar-SA"/>
        </w:rPr>
        <w:t>str. 1, z późn. zm.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) – dane osobowe są niezbędne dla realizacji Regionalnego Programu Operacyjnego Województwa Mazowieckiego na lata 2014-2020 na podstawie: </w:t>
      </w:r>
    </w:p>
    <w:p w14:paraId="15728EDE" w14:textId="77777777" w:rsidR="00E2486C" w:rsidRPr="00395B8F" w:rsidRDefault="00E2486C" w:rsidP="00E2486C">
      <w:pPr>
        <w:widowControl w:val="0"/>
        <w:numPr>
          <w:ilvl w:val="1"/>
          <w:numId w:val="1"/>
        </w:numPr>
        <w:suppressAutoHyphens/>
        <w:spacing w:after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w odniesieniu do zbioru Regionalny Program Operacyjny Województwa Mazowieckiego na lata 2014-2020:</w:t>
      </w:r>
    </w:p>
    <w:p w14:paraId="66DF995D" w14:textId="471DC35F" w:rsidR="00E2486C" w:rsidRPr="00395B8F" w:rsidRDefault="00E2486C" w:rsidP="00E2486C">
      <w:pPr>
        <w:widowControl w:val="0"/>
        <w:numPr>
          <w:ilvl w:val="2"/>
          <w:numId w:val="1"/>
        </w:numPr>
        <w:tabs>
          <w:tab w:val="num" w:pos="993"/>
        </w:tabs>
        <w:suppressAutoHyphens/>
        <w:spacing w:after="0"/>
        <w:ind w:left="993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rozporządzenia Parlamentu Europejskiego i Rady (UE) Nr 1303/2013 z dnia 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i Europejskiego Funduszu Morskiego i Rybackiego oraz uchylające rozporządzenie Rady (WE) nr 1083/2006;</w:t>
      </w:r>
    </w:p>
    <w:p w14:paraId="2B0B5FE6" w14:textId="77777777" w:rsidR="00E2486C" w:rsidRPr="00395B8F" w:rsidRDefault="00E2486C" w:rsidP="00E2486C">
      <w:pPr>
        <w:widowControl w:val="0"/>
        <w:numPr>
          <w:ilvl w:val="2"/>
          <w:numId w:val="1"/>
        </w:numPr>
        <w:tabs>
          <w:tab w:val="num" w:pos="993"/>
        </w:tabs>
        <w:suppressAutoHyphens/>
        <w:spacing w:after="0"/>
        <w:ind w:left="993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rozporządzenia Parlamentu Europejskiego i Rady (UE) Nr 1304/2013 z dnia 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br/>
        <w:t>17 grudnia 2013 r. w sprawie Europejskiego Funduszu Społecznego i uchylające rozporządzenie Rady (WE) nr 1081/2006;</w:t>
      </w:r>
    </w:p>
    <w:p w14:paraId="6E6ACF99" w14:textId="3A0E1C17" w:rsidR="00E2486C" w:rsidRPr="00395B8F" w:rsidRDefault="00E2486C" w:rsidP="00E2486C">
      <w:pPr>
        <w:widowControl w:val="0"/>
        <w:numPr>
          <w:ilvl w:val="2"/>
          <w:numId w:val="1"/>
        </w:numPr>
        <w:tabs>
          <w:tab w:val="num" w:pos="993"/>
        </w:tabs>
        <w:suppressAutoHyphens/>
        <w:spacing w:after="0"/>
        <w:ind w:left="993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ustawy z dnia 11 lipca 2014 r. o zasadach realizacji programów w zakresie polityki spójności finansowanych w perspektywie finansowej 2014–2020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(Dz. U. z 2020 r. poz. 818</w:t>
      </w:r>
      <w:r w:rsidR="00F00388">
        <w:rPr>
          <w:rFonts w:ascii="Verdana" w:eastAsia="Times New Roman" w:hAnsi="Verdana" w:cs="Arial"/>
          <w:sz w:val="20"/>
          <w:szCs w:val="20"/>
          <w:lang w:eastAsia="pl-PL"/>
        </w:rPr>
        <w:t xml:space="preserve"> ze zm.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);</w:t>
      </w:r>
    </w:p>
    <w:p w14:paraId="12AB00A5" w14:textId="77777777" w:rsidR="00E2486C" w:rsidRPr="00395B8F" w:rsidRDefault="00E2486C" w:rsidP="00E2486C">
      <w:pPr>
        <w:widowControl w:val="0"/>
        <w:numPr>
          <w:ilvl w:val="1"/>
          <w:numId w:val="1"/>
        </w:numPr>
        <w:suppressAutoHyphens/>
        <w:spacing w:after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w odniesieniu do zbioru Centralny system teleinformatyczny wspierający realizację programów operacyjnych: </w:t>
      </w:r>
    </w:p>
    <w:p w14:paraId="45446852" w14:textId="2403D861" w:rsidR="00E2486C" w:rsidRPr="00395B8F" w:rsidRDefault="00E2486C" w:rsidP="00E2486C">
      <w:pPr>
        <w:numPr>
          <w:ilvl w:val="2"/>
          <w:numId w:val="1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rozporządzenia Parlamentu Europejskiego i Rady (UE) Nr 1303/2013 z dnia </w:t>
      </w:r>
      <w:r w:rsidRPr="00395B8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</w:r>
      <w:r w:rsidRPr="00395B8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i Europejskiego Funduszu Morskiego i Rybackiego oraz uchylające rozporządzenie Rady (WE) nr 1083/2006;</w:t>
      </w:r>
    </w:p>
    <w:p w14:paraId="6C62FC56" w14:textId="77777777" w:rsidR="00E2486C" w:rsidRPr="00395B8F" w:rsidRDefault="00E2486C" w:rsidP="00E2486C">
      <w:pPr>
        <w:numPr>
          <w:ilvl w:val="2"/>
          <w:numId w:val="1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lastRenderedPageBreak/>
        <w:t xml:space="preserve">rozporządzenia Parlamentu Europejskiego i Rady (UE) Nr 1304/2013 z dnia </w:t>
      </w:r>
      <w:r w:rsidRPr="00395B8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>17 grudnia 2013 r. w sprawie Europejskiego Funduszu Społecznego i uchylające rozporządzenie Rady (WE) nr 1081/2006;</w:t>
      </w:r>
    </w:p>
    <w:p w14:paraId="2C775452" w14:textId="77777777" w:rsidR="00E2486C" w:rsidRPr="00395B8F" w:rsidRDefault="00E2486C" w:rsidP="00E2486C">
      <w:pPr>
        <w:numPr>
          <w:ilvl w:val="2"/>
          <w:numId w:val="1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ustawy z dnia 11 lipca 2014 r. o zasadach realizacji programów w zakresie polityki spójności finansowanych w perspektywie finansowej 2014–2020;</w:t>
      </w:r>
    </w:p>
    <w:p w14:paraId="78EAA8F9" w14:textId="77777777" w:rsidR="00E2486C" w:rsidRPr="00395B8F" w:rsidRDefault="00E2486C" w:rsidP="00E2486C">
      <w:pPr>
        <w:numPr>
          <w:ilvl w:val="2"/>
          <w:numId w:val="1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5D615AD5" w14:textId="5B76EF24" w:rsidR="00E2486C" w:rsidRPr="00395B8F" w:rsidRDefault="00E2486C" w:rsidP="00E2486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Dane osobowe będą przetwarzane wyłącznie w celu realizacji Projektu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pn. „</w:t>
      </w:r>
      <w:r w:rsidR="00056CAC">
        <w:rPr>
          <w:rFonts w:ascii="Verdana" w:eastAsia="Times New Roman" w:hAnsi="Verdana" w:cs="Arial"/>
          <w:sz w:val="20"/>
          <w:szCs w:val="20"/>
          <w:lang w:eastAsia="pl-PL"/>
        </w:rPr>
        <w:t>Profesjonaliści w zawodzie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”</w:t>
      </w:r>
      <w:r w:rsidRPr="00395B8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w szczególności potwierdzenia kwalifikowalności wydatków, udzielenia wsparcia, monitoringu, ewaluacji, kontroli, audytu i sprawozdawczości oraz działań informacyjno-promocyjnych w ramach Regionalnego Programu Operacyjnego Województwa Mazowieckiego na lata 2014-2020;</w:t>
      </w:r>
    </w:p>
    <w:p w14:paraId="7AE67950" w14:textId="05491735" w:rsidR="00E2486C" w:rsidRPr="00395B8F" w:rsidRDefault="00E2486C" w:rsidP="00E2486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Dane osobowe zostały powierzone do przetwarzania Instytucji Pośredniczącej - Mazowieckiej Jednostce Wdrażania Programów Unijnych, ul. </w:t>
      </w:r>
      <w:r w:rsidR="00056CAC">
        <w:rPr>
          <w:rFonts w:ascii="Verdana" w:eastAsia="Times New Roman" w:hAnsi="Verdana" w:cs="Arial"/>
          <w:sz w:val="20"/>
          <w:szCs w:val="20"/>
          <w:lang w:eastAsia="pl-PL"/>
        </w:rPr>
        <w:t>Inflancka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4, 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br/>
        <w:t>0</w:t>
      </w:r>
      <w:r w:rsidR="00056CAC">
        <w:rPr>
          <w:rFonts w:ascii="Verdana" w:eastAsia="Times New Roman" w:hAnsi="Verdana" w:cs="Arial"/>
          <w:sz w:val="20"/>
          <w:szCs w:val="20"/>
          <w:lang w:eastAsia="pl-PL"/>
        </w:rPr>
        <w:t>0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-</w:t>
      </w:r>
      <w:r w:rsidR="00056CAC">
        <w:rPr>
          <w:rFonts w:ascii="Verdana" w:eastAsia="Times New Roman" w:hAnsi="Verdana" w:cs="Arial"/>
          <w:sz w:val="20"/>
          <w:szCs w:val="20"/>
          <w:lang w:eastAsia="pl-PL"/>
        </w:rPr>
        <w:t>189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 Warszawa, Beneficjentowi realizującemu projekt - Gminie - Miast</w:t>
      </w:r>
      <w:r w:rsidR="00C907B2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 Płock, Stary Rynek 1, 09-400 Płock </w:t>
      </w:r>
      <w:r w:rsidRPr="00395B8F">
        <w:rPr>
          <w:rFonts w:ascii="Verdana" w:eastAsia="Times New Roman" w:hAnsi="Verdana" w:cs="Arial"/>
          <w:strike/>
          <w:sz w:val="20"/>
          <w:szCs w:val="20"/>
          <w:lang w:eastAsia="pl-PL"/>
        </w:rPr>
        <w:t>oraz podmiotom, które na zlecenie Beneficjenta uczestniczą w realizacji Projektu - …………………………………………………………………………… ………………………………………………. (nazwa i adres ww. podmiotów)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. Dane osobowe mogą zostać przekazane podmiotom realizującym badania ewaluacyjne na zlecenie Instytucji Zarządzającej, Instytucji Pośredniczącej lub Beneficjenta.  Dane osobowe mogą zostać również powierzone</w:t>
      </w:r>
      <w:r w:rsidRPr="00395B8F" w:rsidDel="00C15DC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specjalistycznym firmom, realizującym na zlecenie Instytucji Zarządzającej, Instytucji Pośredniczącej oraz Beneficjenta kontrole i audyt w ramach Regionalnego Programu Operacyjnego Województwa Mazowieckiego na lata 2014-2020;</w:t>
      </w:r>
    </w:p>
    <w:p w14:paraId="76C8ED64" w14:textId="2366CC64" w:rsidR="00E2486C" w:rsidRPr="005A276F" w:rsidRDefault="005A276F" w:rsidP="005A276F">
      <w:pPr>
        <w:numPr>
          <w:ilvl w:val="0"/>
          <w:numId w:val="1"/>
        </w:numPr>
        <w:autoSpaceDE w:val="0"/>
        <w:spacing w:after="0"/>
        <w:jc w:val="both"/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Podanie danych jest warunkiem koniecznym do podpisania umowy, a odmowa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  <w:t>ich podania jest równoznaczna z brakiem możliwości realizacji niniejszego zamówienia</w:t>
      </w:r>
      <w:r w:rsidR="00E2486C" w:rsidRPr="005A276F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154814EF" w14:textId="77777777" w:rsidR="00E2486C" w:rsidRPr="00395B8F" w:rsidRDefault="00E2486C" w:rsidP="00E2486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Dane osobowe nie będą przekazywane do państwa trzeciego lub organizacji międzynarodowej.</w:t>
      </w:r>
    </w:p>
    <w:p w14:paraId="0957D531" w14:textId="77777777" w:rsidR="00E2486C" w:rsidRPr="00395B8F" w:rsidRDefault="00E2486C" w:rsidP="00E2486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D</w:t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 xml:space="preserve">ane osobowe nie będą poddawane zautomatyzowanemu podejmowaniu decyzji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w sprawie indywidualnej.</w:t>
      </w:r>
    </w:p>
    <w:p w14:paraId="099A6D67" w14:textId="77777777" w:rsidR="00E2486C" w:rsidRPr="00395B8F" w:rsidRDefault="00E2486C" w:rsidP="00E2486C">
      <w:pPr>
        <w:numPr>
          <w:ilvl w:val="0"/>
          <w:numId w:val="1"/>
        </w:numPr>
        <w:suppressAutoHyphens/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95B8F">
        <w:rPr>
          <w:rFonts w:ascii="Verdana" w:eastAsia="Times New Roman" w:hAnsi="Verdana" w:cs="Arial"/>
          <w:sz w:val="20"/>
          <w:szCs w:val="20"/>
          <w:lang w:eastAsia="pl-PL"/>
        </w:rPr>
        <w:t>Dane osobowe będą przechowywane do czasu rozliczenia Regionalnego Programu Operacyjnego Województwa Mazowieckiego na lata 2014-2020 oraz zakończenia archiwizowania dokumentacji.</w:t>
      </w:r>
    </w:p>
    <w:p w14:paraId="0463CF87" w14:textId="6A770C65" w:rsidR="00E2486C" w:rsidRPr="00395B8F" w:rsidRDefault="000650A9" w:rsidP="00E2486C">
      <w:pPr>
        <w:numPr>
          <w:ilvl w:val="0"/>
          <w:numId w:val="1"/>
        </w:numPr>
        <w:suppressAutoHyphens/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Oferent</w:t>
      </w:r>
      <w:r w:rsidR="005A276F">
        <w:rPr>
          <w:rFonts w:ascii="Verdana" w:eastAsia="Times New Roman" w:hAnsi="Verdana" w:cs="Arial"/>
          <w:sz w:val="20"/>
          <w:szCs w:val="20"/>
          <w:lang w:eastAsia="pl-PL"/>
        </w:rPr>
        <w:t xml:space="preserve"> m</w:t>
      </w:r>
      <w:r w:rsidR="00E2486C" w:rsidRPr="00395B8F">
        <w:rPr>
          <w:rFonts w:ascii="Verdana" w:eastAsia="Times New Roman" w:hAnsi="Verdana" w:cs="Arial"/>
          <w:sz w:val="20"/>
          <w:szCs w:val="20"/>
          <w:lang w:eastAsia="pl-PL"/>
        </w:rPr>
        <w:t>oże skontaktować się z Inspektorem Ochrony Danych wysyłając wiadomość na adres poczty elektronicznej: iod@mazovia.pl.</w:t>
      </w:r>
    </w:p>
    <w:p w14:paraId="041D2FFC" w14:textId="676D8975" w:rsidR="00E2486C" w:rsidRPr="00395B8F" w:rsidRDefault="005A276F" w:rsidP="00E2486C">
      <w:pPr>
        <w:numPr>
          <w:ilvl w:val="0"/>
          <w:numId w:val="1"/>
        </w:numPr>
        <w:suppressAutoHyphens/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0650A9">
        <w:rPr>
          <w:rFonts w:ascii="Verdana" w:eastAsia="Times New Roman" w:hAnsi="Verdana" w:cs="Arial"/>
          <w:sz w:val="20"/>
          <w:szCs w:val="20"/>
          <w:lang w:eastAsia="pl-PL"/>
        </w:rPr>
        <w:t>Oferent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m</w:t>
      </w:r>
      <w:r w:rsidR="00E2486C" w:rsidRPr="00395B8F">
        <w:rPr>
          <w:rFonts w:ascii="Verdana" w:eastAsia="Times New Roman" w:hAnsi="Verdana" w:cs="Arial"/>
          <w:sz w:val="20"/>
          <w:szCs w:val="20"/>
          <w:lang w:eastAsia="pl-PL"/>
        </w:rPr>
        <w:t>a prawo do wniesienia skargi do organu nadzorczego, którym jest Prezes Urzędu  Ochrony Danych Osobowych.</w:t>
      </w:r>
    </w:p>
    <w:p w14:paraId="6EC68407" w14:textId="2E7286AC" w:rsidR="00E2486C" w:rsidRPr="00395B8F" w:rsidRDefault="005A276F" w:rsidP="00E248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0650A9">
        <w:rPr>
          <w:rFonts w:ascii="Verdana" w:eastAsia="Times New Roman" w:hAnsi="Verdana" w:cs="Arial"/>
          <w:sz w:val="20"/>
          <w:szCs w:val="20"/>
          <w:lang w:eastAsia="pl-PL"/>
        </w:rPr>
        <w:t>Oferent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m</w:t>
      </w:r>
      <w:r w:rsidR="00E2486C" w:rsidRPr="00395B8F">
        <w:rPr>
          <w:rFonts w:ascii="Verdana" w:eastAsia="Times New Roman" w:hAnsi="Verdana" w:cs="Arial"/>
          <w:sz w:val="20"/>
          <w:szCs w:val="20"/>
          <w:lang w:eastAsia="pl-PL"/>
        </w:rPr>
        <w:t>a prawo żądać dostępu do treści swoich danych, ich sprostowania, ograniczenia przetwarzania oraz usunięcia.</w:t>
      </w:r>
    </w:p>
    <w:p w14:paraId="50C3E432" w14:textId="77777777" w:rsidR="00E2486C" w:rsidRPr="00395B8F" w:rsidRDefault="00E2486C" w:rsidP="00E2486C">
      <w:pPr>
        <w:spacing w:after="0"/>
        <w:ind w:left="1080"/>
        <w:contextualSpacing/>
        <w:jc w:val="both"/>
        <w:rPr>
          <w:rFonts w:ascii="Verdana" w:hAnsi="Verdana" w:cs="Calibri"/>
          <w:noProof/>
          <w:sz w:val="20"/>
          <w:szCs w:val="20"/>
        </w:rPr>
      </w:pPr>
    </w:p>
    <w:p w14:paraId="0616427C" w14:textId="77777777" w:rsidR="00E2486C" w:rsidRPr="00942B4E" w:rsidRDefault="00E2486C" w:rsidP="00E2486C">
      <w:pPr>
        <w:spacing w:after="0"/>
        <w:contextualSpacing/>
        <w:jc w:val="both"/>
        <w:rPr>
          <w:rFonts w:ascii="Verdana" w:hAnsi="Verdana" w:cs="Arial"/>
          <w:noProof/>
          <w:sz w:val="20"/>
          <w:szCs w:val="20"/>
        </w:rPr>
      </w:pPr>
    </w:p>
    <w:p w14:paraId="1F014D3D" w14:textId="77777777" w:rsidR="00E2486C" w:rsidRPr="00942B4E" w:rsidRDefault="00E2486C" w:rsidP="00E2486C">
      <w:pPr>
        <w:spacing w:after="0"/>
        <w:ind w:left="720"/>
        <w:contextualSpacing/>
        <w:jc w:val="both"/>
        <w:rPr>
          <w:rFonts w:ascii="Verdana" w:hAnsi="Verdana" w:cs="Arial"/>
          <w:noProof/>
          <w:color w:val="FF0000"/>
          <w:sz w:val="20"/>
          <w:szCs w:val="20"/>
        </w:rPr>
      </w:pPr>
    </w:p>
    <w:p w14:paraId="2618800A" w14:textId="77777777" w:rsidR="006E3E70" w:rsidRDefault="006E3E70"/>
    <w:sectPr w:rsidR="006E3E70" w:rsidSect="00E24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9506" w14:textId="77777777" w:rsidR="00745930" w:rsidRDefault="00745930" w:rsidP="00E2486C">
      <w:pPr>
        <w:spacing w:after="0" w:line="240" w:lineRule="auto"/>
      </w:pPr>
      <w:r>
        <w:separator/>
      </w:r>
    </w:p>
  </w:endnote>
  <w:endnote w:type="continuationSeparator" w:id="0">
    <w:p w14:paraId="4B1B812F" w14:textId="77777777" w:rsidR="00745930" w:rsidRDefault="00745930" w:rsidP="00E2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FE87" w14:textId="77777777" w:rsidR="00022A11" w:rsidRDefault="00022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2870" w14:textId="77777777" w:rsidR="00E2486C" w:rsidRDefault="00E248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1B0C" w14:textId="77777777" w:rsidR="00022A11" w:rsidRDefault="00022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5419" w14:textId="77777777" w:rsidR="00745930" w:rsidRDefault="00745930" w:rsidP="00E2486C">
      <w:pPr>
        <w:spacing w:after="0" w:line="240" w:lineRule="auto"/>
      </w:pPr>
      <w:r>
        <w:separator/>
      </w:r>
    </w:p>
  </w:footnote>
  <w:footnote w:type="continuationSeparator" w:id="0">
    <w:p w14:paraId="6484EB7F" w14:textId="77777777" w:rsidR="00745930" w:rsidRDefault="00745930" w:rsidP="00E2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DA62" w14:textId="77777777" w:rsidR="00022A11" w:rsidRDefault="00022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2E52" w14:textId="77777777" w:rsidR="00E2486C" w:rsidRPr="00392854" w:rsidRDefault="00E2486C" w:rsidP="00E2486C">
    <w:pPr>
      <w:spacing w:after="0" w:line="240" w:lineRule="auto"/>
      <w:rPr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4"/>
        <w:lang w:eastAsia="pl-PL"/>
      </w:rPr>
      <w:t xml:space="preserve">     </w:t>
    </w:r>
    <w:r w:rsidRPr="00A83E71"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 wp14:anchorId="3973EEFC" wp14:editId="2FA4024E">
          <wp:extent cx="5760720" cy="497840"/>
          <wp:effectExtent l="0" t="0" r="0" b="0"/>
          <wp:docPr id="1" name="Obraz 1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WersjaRPOWM_poziomy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A17C0B" w14:textId="77777777" w:rsidR="00E2486C" w:rsidRDefault="00E24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D7C7" w14:textId="77777777" w:rsidR="00022A11" w:rsidRDefault="00022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hAnsi="Cambria" w:cs="Cambr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34694C60"/>
    <w:multiLevelType w:val="multilevel"/>
    <w:tmpl w:val="F6F82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8203324">
    <w:abstractNumId w:val="1"/>
  </w:num>
  <w:num w:numId="2" w16cid:durableId="190232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56"/>
    <w:rsid w:val="00022A11"/>
    <w:rsid w:val="00056CAC"/>
    <w:rsid w:val="000650A9"/>
    <w:rsid w:val="00231004"/>
    <w:rsid w:val="003B6DAF"/>
    <w:rsid w:val="00495697"/>
    <w:rsid w:val="005A276F"/>
    <w:rsid w:val="006E3E70"/>
    <w:rsid w:val="007325C0"/>
    <w:rsid w:val="00745930"/>
    <w:rsid w:val="008714EB"/>
    <w:rsid w:val="00AA040B"/>
    <w:rsid w:val="00C907B2"/>
    <w:rsid w:val="00CD6EC2"/>
    <w:rsid w:val="00E2486C"/>
    <w:rsid w:val="00E36BD1"/>
    <w:rsid w:val="00F00388"/>
    <w:rsid w:val="00F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3348"/>
  <w15:chartTrackingRefBased/>
  <w15:docId w15:val="{B31AC5CB-4910-4F99-8230-8EBADFC8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8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uiPriority w:val="99"/>
    <w:rsid w:val="00E24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2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Człapska</dc:creator>
  <cp:keywords/>
  <dc:description/>
  <cp:lastModifiedBy>Magdalena Rębelska</cp:lastModifiedBy>
  <cp:revision>2</cp:revision>
  <dcterms:created xsi:type="dcterms:W3CDTF">2023-10-05T13:05:00Z</dcterms:created>
  <dcterms:modified xsi:type="dcterms:W3CDTF">2023-10-05T13:05:00Z</dcterms:modified>
</cp:coreProperties>
</file>