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175"/>
        <w:gridCol w:w="4045"/>
      </w:tblGrid>
      <w:tr w:rsidR="00521FB0" w:rsidRPr="004565ED" w:rsidTr="00521FB0">
        <w:tc>
          <w:tcPr>
            <w:tcW w:w="4175" w:type="dxa"/>
            <w:hideMark/>
          </w:tcPr>
          <w:p w:rsidR="00521FB0" w:rsidRPr="004565ED" w:rsidRDefault="00521FB0" w:rsidP="00BC3F48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 w:rsidRPr="004565ED">
              <w:rPr>
                <w:rFonts w:cs="Calibri"/>
              </w:rPr>
              <w:t xml:space="preserve">Poznań, </w:t>
            </w:r>
            <w:r w:rsidR="00BC3F48">
              <w:rPr>
                <w:rFonts w:cs="Calibri"/>
              </w:rPr>
              <w:t>31</w:t>
            </w:r>
            <w:r w:rsidRPr="004565ED">
              <w:rPr>
                <w:rFonts w:cs="Calibri"/>
              </w:rPr>
              <w:t xml:space="preserve"> </w:t>
            </w:r>
            <w:r w:rsidR="00823537">
              <w:rPr>
                <w:rFonts w:cs="Calibri"/>
              </w:rPr>
              <w:t>października</w:t>
            </w:r>
            <w:r w:rsidRPr="004565ED">
              <w:rPr>
                <w:rFonts w:cs="Calibri"/>
              </w:rPr>
              <w:t xml:space="preserve"> 2023 r.</w:t>
            </w:r>
          </w:p>
        </w:tc>
        <w:tc>
          <w:tcPr>
            <w:tcW w:w="4045" w:type="dxa"/>
            <w:hideMark/>
          </w:tcPr>
          <w:p w:rsidR="00521FB0" w:rsidRPr="004565ED" w:rsidRDefault="00521FB0" w:rsidP="00F47D5A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</w:p>
        </w:tc>
      </w:tr>
    </w:tbl>
    <w:p w:rsidR="00521FB0" w:rsidRPr="00521FB0" w:rsidRDefault="00521FB0" w:rsidP="00F47D5A">
      <w:pPr>
        <w:spacing w:after="0" w:line="240" w:lineRule="auto"/>
        <w:ind w:left="142"/>
        <w:jc w:val="both"/>
        <w:rPr>
          <w:rFonts w:cs="Calibri"/>
          <w:lang w:eastAsia="ar-SA"/>
        </w:rPr>
      </w:pPr>
      <w:r w:rsidRPr="004565ED">
        <w:rPr>
          <w:rFonts w:cs="Calibri"/>
          <w:lang w:eastAsia="ar-SA"/>
        </w:rPr>
        <w:t>K-292-</w:t>
      </w:r>
      <w:r w:rsidR="004676F5">
        <w:rPr>
          <w:rFonts w:cs="Calibri"/>
          <w:lang w:eastAsia="ar-SA"/>
        </w:rPr>
        <w:t>4</w:t>
      </w:r>
      <w:r w:rsidRPr="004565ED">
        <w:rPr>
          <w:rFonts w:cs="Calibri"/>
          <w:lang w:eastAsia="ar-SA"/>
        </w:rPr>
        <w:t>-</w:t>
      </w:r>
      <w:r w:rsidR="004676F5">
        <w:rPr>
          <w:rFonts w:cs="Calibri"/>
          <w:lang w:eastAsia="ar-SA"/>
        </w:rPr>
        <w:t>1217</w:t>
      </w:r>
      <w:r w:rsidRPr="004565ED">
        <w:rPr>
          <w:rFonts w:cs="Calibri"/>
          <w:lang w:eastAsia="ar-SA"/>
        </w:rPr>
        <w:t>/</w:t>
      </w:r>
      <w:r>
        <w:rPr>
          <w:rFonts w:cs="Calibri"/>
          <w:lang w:eastAsia="ar-SA"/>
        </w:rPr>
        <w:t>20</w:t>
      </w:r>
      <w:r w:rsidRPr="004565ED">
        <w:rPr>
          <w:rFonts w:cs="Calibri"/>
          <w:lang w:eastAsia="ar-SA"/>
        </w:rPr>
        <w:t>23</w:t>
      </w:r>
    </w:p>
    <w:p w:rsidR="000F7CC5" w:rsidRDefault="000F7CC5" w:rsidP="00521FB0">
      <w:pPr>
        <w:spacing w:line="276" w:lineRule="auto"/>
        <w:jc w:val="center"/>
        <w:rPr>
          <w:rFonts w:cs="Calibri"/>
          <w:b/>
        </w:rPr>
      </w:pPr>
    </w:p>
    <w:p w:rsidR="000F7CC5" w:rsidRPr="00521FB0" w:rsidRDefault="00521FB0" w:rsidP="000F7CC5">
      <w:pPr>
        <w:spacing w:line="276" w:lineRule="auto"/>
        <w:jc w:val="center"/>
        <w:rPr>
          <w:rFonts w:cs="Calibri"/>
          <w:b/>
        </w:rPr>
      </w:pPr>
      <w:r w:rsidRPr="004565ED">
        <w:rPr>
          <w:rFonts w:cs="Calibri"/>
          <w:b/>
        </w:rPr>
        <w:t>DO WSZYSTKICH WYKONAWCÓW</w:t>
      </w:r>
    </w:p>
    <w:p w:rsidR="00B75A3C" w:rsidRDefault="00B75A3C" w:rsidP="00B75A3C">
      <w:pPr>
        <w:spacing w:line="240" w:lineRule="auto"/>
        <w:ind w:firstLine="708"/>
        <w:jc w:val="both"/>
        <w:rPr>
          <w:rFonts w:cs="Calibri"/>
          <w:color w:val="000000"/>
        </w:rPr>
      </w:pPr>
      <w:r w:rsidRPr="00B75A3C">
        <w:rPr>
          <w:rFonts w:cs="Calibri"/>
          <w:color w:val="000000"/>
        </w:rPr>
        <w:t xml:space="preserve">Uniwersytet Ekonomiczny w Poznaniu informuje, że do postępowania o udzielenie </w:t>
      </w:r>
      <w:r w:rsidRPr="00B75A3C">
        <w:rPr>
          <w:rFonts w:cs="Calibri"/>
          <w:color w:val="000000"/>
        </w:rPr>
        <w:br/>
        <w:t>zamówie</w:t>
      </w:r>
      <w:r w:rsidRPr="00B75A3C">
        <w:rPr>
          <w:rFonts w:cs="Calibri"/>
          <w:color w:val="000000"/>
        </w:rPr>
        <w:softHyphen/>
        <w:t xml:space="preserve">nia publicznego o nr </w:t>
      </w:r>
      <w:r w:rsidRPr="00B75A3C">
        <w:rPr>
          <w:rFonts w:cs="Calibri"/>
          <w:b/>
          <w:color w:val="000000"/>
        </w:rPr>
        <w:t>ZP/05</w:t>
      </w:r>
      <w:r w:rsidR="00BC3F48">
        <w:rPr>
          <w:rFonts w:cs="Calibri"/>
          <w:b/>
          <w:color w:val="000000"/>
        </w:rPr>
        <w:t>5</w:t>
      </w:r>
      <w:r w:rsidRPr="00B75A3C">
        <w:rPr>
          <w:rFonts w:cs="Calibri"/>
          <w:b/>
          <w:color w:val="000000"/>
        </w:rPr>
        <w:t>/23</w:t>
      </w:r>
      <w:r w:rsidRPr="00B75A3C">
        <w:rPr>
          <w:rFonts w:cs="Calibri"/>
          <w:color w:val="000000"/>
        </w:rPr>
        <w:t xml:space="preserve"> na </w:t>
      </w:r>
      <w:r w:rsidR="00BC3F48" w:rsidRPr="00BC3F48">
        <w:rPr>
          <w:rFonts w:cs="Calibri"/>
          <w:b/>
          <w:color w:val="000000"/>
        </w:rPr>
        <w:t>System analizy logów i zdarzeń typu Security Information and Event Management</w:t>
      </w:r>
      <w:r w:rsidR="00B92314">
        <w:rPr>
          <w:rFonts w:cs="Calibri"/>
          <w:b/>
          <w:color w:val="000000"/>
        </w:rPr>
        <w:t xml:space="preserve"> </w:t>
      </w:r>
      <w:r w:rsidRPr="00B75A3C">
        <w:rPr>
          <w:rFonts w:cs="Calibri"/>
          <w:color w:val="000000"/>
        </w:rPr>
        <w:t xml:space="preserve">prowadzonego w trybie podstawowym </w:t>
      </w:r>
      <w:r>
        <w:rPr>
          <w:rFonts w:cs="Calibri"/>
          <w:color w:val="000000"/>
        </w:rPr>
        <w:t>wpłynęło</w:t>
      </w:r>
      <w:r w:rsidRPr="00B75A3C">
        <w:rPr>
          <w:rFonts w:cs="Calibri"/>
          <w:color w:val="000000"/>
        </w:rPr>
        <w:t xml:space="preserve"> pytani</w:t>
      </w:r>
      <w:r>
        <w:rPr>
          <w:rFonts w:cs="Calibri"/>
          <w:color w:val="000000"/>
        </w:rPr>
        <w:t>e</w:t>
      </w:r>
      <w:r w:rsidRPr="00B75A3C">
        <w:rPr>
          <w:rFonts w:cs="Calibri"/>
          <w:color w:val="000000"/>
        </w:rPr>
        <w:t>, na które Zamawiający niniejszym odpowiada.</w:t>
      </w:r>
    </w:p>
    <w:p w:rsid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</w:p>
    <w:p w:rsidR="00BC3F48" w:rsidRPr="000F7CC5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  <w:u w:val="single"/>
        </w:rPr>
      </w:pPr>
      <w:r w:rsidRPr="000F7CC5">
        <w:rPr>
          <w:rFonts w:cs="Calibri"/>
          <w:i/>
          <w:color w:val="000000"/>
          <w:u w:val="single"/>
        </w:rPr>
        <w:t>Pytanie 1: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Zwracamy się z uprzejma prośba o zmianę brzmienia punktu 8.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W obecnej formie punkt narzuca wymaganie dla dostarczanego systemu o możliwość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tworzenia miedzy innymi raportów takich jak: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HIPAA -amerykański standard dotyczący amerykańskich placówek służby zdrowia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przetwarzających dane pacjentów w sposób elektroniczny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SOX - amerykański standard. Objęte są nim przedsiębiorstwa notowane na rynkach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kapitałowych kontrolowanych przez amerykański nadzór giełdowy (Securities and Exchange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proofErr w:type="spellStart"/>
      <w:r w:rsidRPr="00BC3F48">
        <w:rPr>
          <w:rFonts w:cs="Calibri"/>
          <w:i/>
          <w:color w:val="000000"/>
        </w:rPr>
        <w:t>Commission</w:t>
      </w:r>
      <w:proofErr w:type="spellEnd"/>
      <w:r w:rsidRPr="00BC3F48">
        <w:rPr>
          <w:rFonts w:cs="Calibri"/>
          <w:i/>
          <w:color w:val="000000"/>
        </w:rPr>
        <w:t xml:space="preserve"> -SEC).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NERC- amerykański standard dotyczący raportowania niezawodności systemów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elektroenergetycznych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FISMA-raport bezpieczeństwa rządu amerykańskiego dotyczący jednostek federalnych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-GLBA- raport wynikający z amerykańskiego rozporządzenia "</w:t>
      </w:r>
      <w:proofErr w:type="spellStart"/>
      <w:r w:rsidRPr="00BC3F48">
        <w:rPr>
          <w:rFonts w:cs="Calibri"/>
          <w:i/>
          <w:color w:val="000000"/>
        </w:rPr>
        <w:t>Gramm</w:t>
      </w:r>
      <w:proofErr w:type="spellEnd"/>
      <w:r w:rsidRPr="00BC3F48">
        <w:rPr>
          <w:rFonts w:cs="Calibri"/>
          <w:i/>
          <w:color w:val="000000"/>
        </w:rPr>
        <w:t>-Leach-</w:t>
      </w:r>
      <w:proofErr w:type="spellStart"/>
      <w:r w:rsidRPr="00BC3F48">
        <w:rPr>
          <w:rFonts w:cs="Calibri"/>
          <w:i/>
          <w:color w:val="000000"/>
        </w:rPr>
        <w:t>Bliley</w:t>
      </w:r>
      <w:proofErr w:type="spellEnd"/>
      <w:r w:rsidRPr="00BC3F48">
        <w:rPr>
          <w:rFonts w:cs="Calibri"/>
          <w:i/>
          <w:color w:val="000000"/>
        </w:rPr>
        <w:t xml:space="preserve"> </w:t>
      </w:r>
      <w:proofErr w:type="spellStart"/>
      <w:r w:rsidRPr="00BC3F48">
        <w:rPr>
          <w:rFonts w:cs="Calibri"/>
          <w:i/>
          <w:color w:val="000000"/>
        </w:rPr>
        <w:t>Act</w:t>
      </w:r>
      <w:proofErr w:type="spellEnd"/>
      <w:r w:rsidRPr="00BC3F48">
        <w:rPr>
          <w:rFonts w:cs="Calibri"/>
          <w:i/>
          <w:color w:val="000000"/>
        </w:rPr>
        <w:t>'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dotyczący organizacji oferujących klientom końcowym usługi finansowe takie jak pożyczki,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porady finansowe, inwestycyjne lub ubezpieczeniowe.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GPG13 - standard kierowany wyłącznie dla jednostek administracji publicznej Wielkiej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Brytanii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Zwracamy uwagę, iż wymienione raporty:</w:t>
      </w:r>
    </w:p>
    <w:p w:rsidR="00B75A3C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są raportami o charakterze nadmiarowym dla przedmiotowego postępowania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nie dotyczą żadnych ze stosowanych standardów bezpieczeństwa w polskim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prawie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dotyczą jednostek administracji amerykańskiej oraz wielkiej Brytanii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nie dotyczą obszarów na jakich funkcjonuje Zamawiający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Wszystkie wymienione raporty dostarczane są przez jednego producenta systemu SIEM :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https://www.fortinet.com/content/dam/fortinet/assets/data-sheets/FortiSIEM.pdf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Sugerujemy zasadność wprowadzenia wymagania dotyczącego posiadania przez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system SIEM predefiniowanych raportów związanych z GDPR oraz NIST. Są to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standardy posiadające odniesienia w regulacjach prawa obowiązującego w Polsce oraz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UE.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Prosimy o zmianę wymagania na: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Rozwiązanie SIEM musi dostarczać bez dodatkowych opłat następujące rodzaje raportów:</w:t>
      </w:r>
    </w:p>
    <w:p w:rsidR="00BC3F48" w:rsidRP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GDPR</w:t>
      </w:r>
    </w:p>
    <w:p w:rsidR="00BC3F48" w:rsidRDefault="00BC3F48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  <w:r w:rsidRPr="00BC3F48">
        <w:rPr>
          <w:rFonts w:cs="Calibri"/>
          <w:i/>
          <w:color w:val="000000"/>
        </w:rPr>
        <w:t>- NIST</w:t>
      </w:r>
      <w:r w:rsidRPr="00BC3F48">
        <w:rPr>
          <w:rFonts w:cs="Calibri"/>
          <w:i/>
          <w:color w:val="000000"/>
        </w:rPr>
        <w:cr/>
      </w:r>
    </w:p>
    <w:p w:rsidR="000F7CC5" w:rsidRDefault="000F7CC5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</w:p>
    <w:p w:rsidR="000F7CC5" w:rsidRDefault="000F7CC5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</w:p>
    <w:p w:rsidR="000F7CC5" w:rsidRPr="00B75A3C" w:rsidRDefault="000F7CC5" w:rsidP="00BC3F48">
      <w:pPr>
        <w:spacing w:after="0" w:line="240" w:lineRule="auto"/>
        <w:ind w:left="851" w:hanging="851"/>
        <w:jc w:val="both"/>
        <w:rPr>
          <w:rFonts w:cs="Calibri"/>
          <w:i/>
          <w:color w:val="000000"/>
        </w:rPr>
      </w:pPr>
    </w:p>
    <w:p w:rsidR="00BC3F48" w:rsidRPr="000F7CC5" w:rsidRDefault="005D3A1E" w:rsidP="005D3A1E">
      <w:pPr>
        <w:spacing w:after="0" w:line="240" w:lineRule="auto"/>
        <w:ind w:left="1276" w:hanging="1276"/>
        <w:jc w:val="both"/>
        <w:rPr>
          <w:rFonts w:cs="Calibri"/>
          <w:color w:val="000000"/>
          <w:u w:val="single"/>
        </w:rPr>
      </w:pPr>
      <w:r w:rsidRPr="000F7CC5">
        <w:rPr>
          <w:rFonts w:cs="Calibri"/>
          <w:color w:val="000000"/>
          <w:u w:val="single"/>
        </w:rPr>
        <w:t xml:space="preserve">Odpowiedź: 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 xml:space="preserve">W </w:t>
      </w:r>
      <w:r w:rsidR="004676F5">
        <w:rPr>
          <w:rFonts w:cs="Calibri"/>
          <w:color w:val="000000"/>
        </w:rPr>
        <w:t xml:space="preserve">odpowiedzi Zamawiający </w:t>
      </w:r>
      <w:r w:rsidRPr="000F7CC5">
        <w:rPr>
          <w:rFonts w:cs="Calibri"/>
          <w:color w:val="000000"/>
        </w:rPr>
        <w:t>zmienia zapis SWZ i tak:</w:t>
      </w:r>
    </w:p>
    <w:p w:rsidR="0009383B" w:rsidRDefault="000F7CC5" w:rsidP="0009383B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 xml:space="preserve">W FORMULARZ SPECYFIKACJI TECHNICZNO-CENOWEJ ZAMAWIANEGO/OFEROWANEGO </w:t>
      </w:r>
      <w:r>
        <w:rPr>
          <w:rFonts w:cs="Calibri"/>
          <w:color w:val="000000"/>
        </w:rPr>
        <w:t>SYSTEMU</w:t>
      </w:r>
      <w:r w:rsidRPr="000F7CC5">
        <w:rPr>
          <w:rFonts w:cs="Calibri"/>
          <w:color w:val="000000"/>
        </w:rPr>
        <w:t xml:space="preserve">  w kolumnie 3 „Wymagania minimalne(charakterystyka)” pozycja 8</w:t>
      </w:r>
      <w:r>
        <w:rPr>
          <w:rFonts w:cs="Calibri"/>
          <w:color w:val="000000"/>
        </w:rPr>
        <w:t xml:space="preserve"> „Raporty”</w:t>
      </w:r>
      <w:r w:rsidR="0009383B">
        <w:rPr>
          <w:rFonts w:cs="Calibri"/>
          <w:color w:val="000000"/>
        </w:rPr>
        <w:t xml:space="preserve"> </w:t>
      </w:r>
    </w:p>
    <w:p w:rsidR="0009383B" w:rsidRDefault="0009383B" w:rsidP="0009383B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pkt 2 </w:t>
      </w:r>
      <w:r w:rsidR="000F7CC5" w:rsidRPr="000F7CC5">
        <w:rPr>
          <w:rFonts w:cs="Calibri"/>
          <w:color w:val="000000"/>
        </w:rPr>
        <w:t xml:space="preserve"> zapis: </w:t>
      </w:r>
    </w:p>
    <w:p w:rsidR="0009383B" w:rsidRPr="0009383B" w:rsidRDefault="000F7CC5" w:rsidP="0009383B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”</w:t>
      </w:r>
      <w:r w:rsidR="0009383B" w:rsidRPr="0009383B">
        <w:t xml:space="preserve"> </w:t>
      </w:r>
      <w:r w:rsidR="0009383B" w:rsidRPr="0009383B">
        <w:rPr>
          <w:rFonts w:cs="Calibri"/>
          <w:color w:val="000000"/>
        </w:rPr>
        <w:t>2.Rozwiązanie SIEM musi dostarczać bez dodatkowych opłat następujące rodzaje raportów:</w:t>
      </w:r>
    </w:p>
    <w:p w:rsidR="0009383B" w:rsidRPr="0009383B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PCI-DSS</w:t>
      </w:r>
    </w:p>
    <w:p w:rsidR="0009383B" w:rsidRPr="0009383B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HIPAA</w:t>
      </w:r>
    </w:p>
    <w:p w:rsidR="0009383B" w:rsidRPr="0009383B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SOX</w:t>
      </w:r>
    </w:p>
    <w:p w:rsidR="0009383B" w:rsidRPr="0009383B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NERC</w:t>
      </w:r>
    </w:p>
    <w:p w:rsidR="0009383B" w:rsidRPr="0009383B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FISMA</w:t>
      </w:r>
    </w:p>
    <w:p w:rsidR="0009383B" w:rsidRPr="0009383B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ISO</w:t>
      </w:r>
    </w:p>
    <w:p w:rsidR="0009383B" w:rsidRPr="0009383B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GLBA</w:t>
      </w:r>
    </w:p>
    <w:p w:rsidR="0009383B" w:rsidRPr="0009383B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GPG13</w:t>
      </w:r>
    </w:p>
    <w:p w:rsidR="000F7CC5" w:rsidRDefault="0009383B" w:rsidP="0009383B">
      <w:pPr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09383B">
        <w:rPr>
          <w:rFonts w:cs="Calibri"/>
          <w:color w:val="000000"/>
        </w:rPr>
        <w:t>-</w:t>
      </w:r>
      <w:r w:rsidRPr="0009383B">
        <w:rPr>
          <w:rFonts w:cs="Calibri"/>
          <w:color w:val="000000"/>
        </w:rPr>
        <w:tab/>
        <w:t>SANS Critical Controls</w:t>
      </w:r>
      <w:r w:rsidR="000F7CC5" w:rsidRPr="000F7CC5">
        <w:rPr>
          <w:rFonts w:cs="Calibri"/>
          <w:color w:val="000000"/>
        </w:rPr>
        <w:t>” otrzymuje brzmienie „b</w:t>
      </w:r>
      <w:r>
        <w:rPr>
          <w:rFonts w:cs="Calibri"/>
          <w:color w:val="000000"/>
        </w:rPr>
        <w:t>ateria o pojemności min 595mAh.”</w:t>
      </w:r>
    </w:p>
    <w:p w:rsidR="000F7CC5" w:rsidRDefault="0009383B" w:rsidP="00BC3F4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Otrzymuje brzmienie:</w:t>
      </w:r>
    </w:p>
    <w:p w:rsidR="0009383B" w:rsidRDefault="0009383B" w:rsidP="00BC3F4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„2. </w:t>
      </w:r>
      <w:r w:rsidRPr="0009383B">
        <w:rPr>
          <w:rFonts w:cs="Calibri"/>
          <w:color w:val="000000"/>
        </w:rPr>
        <w:t>Rozwiązanie SIEM musi dostarczać bez dodatkowych opłat następujące rodzaje raportów: GPDR, PN-EN ISO/IEC 27001, SANS Critical Controls.</w:t>
      </w:r>
      <w:r>
        <w:rPr>
          <w:rFonts w:cs="Calibri"/>
          <w:color w:val="000000"/>
        </w:rPr>
        <w:t>”</w:t>
      </w:r>
    </w:p>
    <w:p w:rsidR="000F7CC5" w:rsidRDefault="000F7CC5" w:rsidP="00BC3F48">
      <w:pPr>
        <w:spacing w:after="0" w:line="240" w:lineRule="auto"/>
        <w:jc w:val="both"/>
        <w:rPr>
          <w:rFonts w:cs="Calibri"/>
          <w:color w:val="000000"/>
        </w:rPr>
      </w:pPr>
    </w:p>
    <w:p w:rsidR="00BC3F48" w:rsidRDefault="00BC3F48" w:rsidP="00BC3F48">
      <w:pPr>
        <w:spacing w:after="0" w:line="240" w:lineRule="auto"/>
        <w:jc w:val="both"/>
        <w:rPr>
          <w:rFonts w:cs="Calibri"/>
          <w:color w:val="000000"/>
        </w:rPr>
      </w:pPr>
    </w:p>
    <w:p w:rsidR="00BC3F48" w:rsidRPr="000F7CC5" w:rsidRDefault="00BC3F48" w:rsidP="00BC3F48">
      <w:pPr>
        <w:spacing w:after="0" w:line="240" w:lineRule="auto"/>
        <w:jc w:val="both"/>
        <w:rPr>
          <w:u w:val="single"/>
        </w:rPr>
      </w:pPr>
      <w:r w:rsidRPr="000F7CC5">
        <w:rPr>
          <w:u w:val="single"/>
        </w:rPr>
        <w:t xml:space="preserve">Pytanie 2: </w:t>
      </w:r>
    </w:p>
    <w:p w:rsidR="00BC3F48" w:rsidRDefault="00BC3F48" w:rsidP="00BC3F48">
      <w:pPr>
        <w:spacing w:after="0" w:line="240" w:lineRule="auto"/>
        <w:jc w:val="both"/>
      </w:pPr>
      <w:r>
        <w:t>Dotyczy: 1. System SIEM musi pozwalać na eksportowanie i importowanie pulpitów administracyjnych (</w:t>
      </w:r>
      <w:proofErr w:type="spellStart"/>
      <w:r>
        <w:t>dashboards</w:t>
      </w:r>
      <w:proofErr w:type="spellEnd"/>
      <w:r>
        <w:t xml:space="preserve">), raportów oraz reguł w formacie XML Zwracamy uwagę, iż wymaganie nie mówi o funkcjonalności, której Zamawiający oczekuje, a narzuca jej rozwiązanie. Narzędzia SIEM dostarczają funkcję eksportowania i importowania wymienionych obiektów za pomocą optymalnych formatów danych. Narzucenie wykorzystania formatu XML jednoznacznie ogranicza konkurencję wskazując na rozwiązanie </w:t>
      </w:r>
      <w:proofErr w:type="spellStart"/>
      <w:r>
        <w:t>Forti</w:t>
      </w:r>
      <w:proofErr w:type="spellEnd"/>
      <w:r>
        <w:t xml:space="preserve"> SIEM i stanowi naruszenie zasad postępowań publicznych. Prosimy o zmianę wymagania. Proponowana nowa treść: System SIEM musi pozwalać na eksportowanie i importowanie pulpitów administracyjnych (</w:t>
      </w:r>
      <w:proofErr w:type="spellStart"/>
      <w:r>
        <w:t>dashboards</w:t>
      </w:r>
      <w:proofErr w:type="spellEnd"/>
      <w:r>
        <w:t>), raportów oraz reguł.</w:t>
      </w:r>
    </w:p>
    <w:p w:rsidR="000F7CC5" w:rsidRDefault="000F7CC5" w:rsidP="00BC3F48">
      <w:pPr>
        <w:spacing w:after="0" w:line="240" w:lineRule="auto"/>
        <w:jc w:val="both"/>
      </w:pPr>
    </w:p>
    <w:p w:rsidR="000F7CC5" w:rsidRPr="000F7CC5" w:rsidRDefault="000F7CC5" w:rsidP="00BC3F48">
      <w:pPr>
        <w:spacing w:after="0" w:line="240" w:lineRule="auto"/>
        <w:jc w:val="both"/>
        <w:rPr>
          <w:u w:val="single"/>
        </w:rPr>
      </w:pPr>
      <w:r w:rsidRPr="000F7CC5">
        <w:rPr>
          <w:u w:val="single"/>
        </w:rPr>
        <w:t>Odpowiedź:</w:t>
      </w:r>
    </w:p>
    <w:p w:rsidR="00BC3F48" w:rsidRDefault="004676F5" w:rsidP="00BC3F4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Według wiedzy Zamawiającego f</w:t>
      </w:r>
      <w:r w:rsidR="000F7CC5" w:rsidRPr="000F7CC5">
        <w:rPr>
          <w:rFonts w:cs="Calibri"/>
          <w:color w:val="000000"/>
        </w:rPr>
        <w:t>ormat plików XML jest standardem otwartym i powszechnie używanym. Możliwość wykorzystywania go do wymiany danych (eksportowania/importowania) jest dostępna także w innych produktach niż tylko wskazany w pytaniu</w:t>
      </w:r>
      <w:r w:rsidR="00B32EC5">
        <w:rPr>
          <w:rFonts w:cs="Calibri"/>
          <w:color w:val="000000"/>
        </w:rPr>
        <w:t xml:space="preserve"> (</w:t>
      </w:r>
      <w:r w:rsidR="00B32EC5" w:rsidRPr="00B32EC5">
        <w:rPr>
          <w:rFonts w:cs="Calibri"/>
          <w:color w:val="000000"/>
        </w:rPr>
        <w:t xml:space="preserve">np. </w:t>
      </w:r>
      <w:proofErr w:type="spellStart"/>
      <w:r w:rsidR="00B32EC5" w:rsidRPr="00B32EC5">
        <w:rPr>
          <w:rFonts w:cs="Calibri"/>
          <w:color w:val="000000"/>
        </w:rPr>
        <w:t>Splunk</w:t>
      </w:r>
      <w:proofErr w:type="spellEnd"/>
      <w:r w:rsidR="00B32EC5" w:rsidRPr="00B32EC5">
        <w:rPr>
          <w:rFonts w:cs="Calibri"/>
          <w:color w:val="000000"/>
        </w:rPr>
        <w:t>)</w:t>
      </w:r>
      <w:r w:rsidR="000F7CC5" w:rsidRPr="000F7CC5">
        <w:rPr>
          <w:rFonts w:cs="Calibri"/>
          <w:color w:val="000000"/>
        </w:rPr>
        <w:t>. Dodatkowo możliwość przetwarzania plików XML w innych narzędziach niż tylko system producenta rozwiązania zwiększa możliwości dostosowywania rozwiązania do potrzeb własnych Zamawiającego.</w:t>
      </w:r>
      <w:r>
        <w:rPr>
          <w:rFonts w:cs="Calibri"/>
          <w:color w:val="000000"/>
        </w:rPr>
        <w:t xml:space="preserve"> </w:t>
      </w:r>
    </w:p>
    <w:p w:rsidR="000F7CC5" w:rsidRDefault="000F7CC5" w:rsidP="00BC3F48">
      <w:pPr>
        <w:spacing w:after="0" w:line="240" w:lineRule="auto"/>
        <w:jc w:val="both"/>
        <w:rPr>
          <w:rFonts w:cs="Calibri"/>
          <w:color w:val="000000"/>
        </w:rPr>
      </w:pPr>
    </w:p>
    <w:p w:rsidR="000F7CC5" w:rsidRPr="000F7CC5" w:rsidRDefault="000F7CC5" w:rsidP="00BC3F48">
      <w:pPr>
        <w:spacing w:after="0" w:line="240" w:lineRule="auto"/>
        <w:jc w:val="both"/>
        <w:rPr>
          <w:u w:val="single"/>
        </w:rPr>
      </w:pPr>
      <w:r w:rsidRPr="000F7CC5">
        <w:rPr>
          <w:u w:val="single"/>
        </w:rPr>
        <w:t>Pytanie 3:</w:t>
      </w:r>
    </w:p>
    <w:p w:rsidR="000F7CC5" w:rsidRDefault="000F7CC5" w:rsidP="000F7CC5">
      <w:pPr>
        <w:spacing w:after="0" w:line="240" w:lineRule="auto"/>
        <w:jc w:val="both"/>
      </w:pPr>
      <w:r>
        <w:t xml:space="preserve">Dotyczy wymagania: 9.4 Dane w ramach pulpitów administracyjnych muszą pozwalać na następujące formy prezentacji: - Bar - Pie - Line - </w:t>
      </w:r>
      <w:proofErr w:type="spellStart"/>
      <w:r>
        <w:t>Table</w:t>
      </w:r>
      <w:proofErr w:type="spellEnd"/>
      <w:r>
        <w:t xml:space="preserve"> - Combination (</w:t>
      </w:r>
      <w:proofErr w:type="spellStart"/>
      <w:r>
        <w:t>line</w:t>
      </w:r>
      <w:proofErr w:type="spellEnd"/>
      <w:r>
        <w:t xml:space="preserve"> and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) - </w:t>
      </w:r>
      <w:proofErr w:type="spellStart"/>
      <w:r>
        <w:t>Treemap</w:t>
      </w:r>
      <w:proofErr w:type="spellEnd"/>
      <w:r>
        <w:t xml:space="preserve"> - </w:t>
      </w:r>
      <w:proofErr w:type="spellStart"/>
      <w:r>
        <w:t>Scatter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- Single </w:t>
      </w:r>
      <w:proofErr w:type="spellStart"/>
      <w:r>
        <w:t>values</w:t>
      </w:r>
      <w:proofErr w:type="spellEnd"/>
      <w:r>
        <w:t xml:space="preserve"> - </w:t>
      </w:r>
      <w:proofErr w:type="spellStart"/>
      <w:r>
        <w:t>Gauges</w:t>
      </w:r>
      <w:proofErr w:type="spellEnd"/>
      <w:r>
        <w:t xml:space="preserve"> - </w:t>
      </w:r>
      <w:proofErr w:type="spellStart"/>
      <w:r>
        <w:t>Geographical</w:t>
      </w:r>
      <w:proofErr w:type="spellEnd"/>
      <w:r>
        <w:t xml:space="preserve"> Map Zwracamy uwagę, iż wymaganie nie mówi o funkcjonalności, której Zamawiający oczekuje, a</w:t>
      </w:r>
    </w:p>
    <w:p w:rsidR="000F7CC5" w:rsidRDefault="000F7CC5" w:rsidP="000F7CC5">
      <w:pPr>
        <w:spacing w:after="0" w:line="240" w:lineRule="auto"/>
        <w:jc w:val="both"/>
      </w:pPr>
      <w:r>
        <w:t>narzuca jej rozwiązanie. Narzędzia SIEM dostarczają funkcję tworzenia wykresów, jednak</w:t>
      </w:r>
    </w:p>
    <w:p w:rsidR="000F7CC5" w:rsidRDefault="000F7CC5" w:rsidP="000F7CC5">
      <w:pPr>
        <w:spacing w:after="0" w:line="240" w:lineRule="auto"/>
        <w:jc w:val="both"/>
      </w:pPr>
      <w:r>
        <w:t>zastosowana przez Zamawiającego terminologia nie wyjaśnia jakiej funkcji oczekuje.</w:t>
      </w:r>
    </w:p>
    <w:p w:rsidR="000F7CC5" w:rsidRDefault="000F7CC5" w:rsidP="000F7CC5">
      <w:pPr>
        <w:spacing w:after="0" w:line="240" w:lineRule="auto"/>
        <w:jc w:val="both"/>
      </w:pPr>
      <w:r>
        <w:lastRenderedPageBreak/>
        <w:t xml:space="preserve">Ponieważ lista stanowi jednoznaczne odniesienie do dokumentacji produktu </w:t>
      </w:r>
      <w:proofErr w:type="spellStart"/>
      <w:r>
        <w:t>FortiSIEM</w:t>
      </w:r>
      <w:proofErr w:type="spellEnd"/>
      <w:r>
        <w:t>,</w:t>
      </w:r>
    </w:p>
    <w:p w:rsidR="000F7CC5" w:rsidRDefault="000F7CC5" w:rsidP="000F7CC5">
      <w:pPr>
        <w:spacing w:after="0" w:line="240" w:lineRule="auto"/>
        <w:jc w:val="both"/>
      </w:pPr>
      <w:r>
        <w:t>wymaganie to stanowi ograniczenie konkurencyjności.</w:t>
      </w:r>
    </w:p>
    <w:p w:rsidR="000F7CC5" w:rsidRDefault="000F7CC5" w:rsidP="000F7CC5">
      <w:pPr>
        <w:spacing w:after="0" w:line="240" w:lineRule="auto"/>
        <w:jc w:val="both"/>
      </w:pPr>
      <w:r>
        <w:t>https://help.fortinet.com/fsiem/5-2-5/OnlineHelp/HTML5_Help/FortiSIEM_charts_and_maps.htm</w:t>
      </w:r>
    </w:p>
    <w:p w:rsidR="000F7CC5" w:rsidRDefault="000F7CC5" w:rsidP="000F7CC5">
      <w:pPr>
        <w:spacing w:after="0" w:line="240" w:lineRule="auto"/>
        <w:jc w:val="both"/>
      </w:pPr>
      <w:r>
        <w:t>Zwracamy się z uprzejmą prośbą o zmianę treści wymagania na:</w:t>
      </w:r>
    </w:p>
    <w:p w:rsidR="000F7CC5" w:rsidRDefault="000F7CC5" w:rsidP="000F7CC5">
      <w:pPr>
        <w:spacing w:after="0" w:line="240" w:lineRule="auto"/>
        <w:jc w:val="both"/>
      </w:pPr>
      <w:r>
        <w:t>Dane w ramach pulpitów administracyjnych muszą pozwalać na następujące formy prezentacji:</w:t>
      </w:r>
    </w:p>
    <w:p w:rsidR="000F7CC5" w:rsidRDefault="000F7CC5" w:rsidP="000F7CC5">
      <w:pPr>
        <w:spacing w:after="0" w:line="240" w:lineRule="auto"/>
        <w:jc w:val="both"/>
      </w:pPr>
      <w:r>
        <w:t>- Wykres kołowy</w:t>
      </w:r>
    </w:p>
    <w:p w:rsidR="000F7CC5" w:rsidRDefault="000F7CC5" w:rsidP="000F7CC5">
      <w:pPr>
        <w:spacing w:after="0" w:line="240" w:lineRule="auto"/>
        <w:jc w:val="both"/>
      </w:pPr>
      <w:r>
        <w:t>- Wykres liniowy</w:t>
      </w:r>
    </w:p>
    <w:p w:rsidR="000F7CC5" w:rsidRDefault="000F7CC5" w:rsidP="000F7CC5">
      <w:pPr>
        <w:spacing w:after="0" w:line="240" w:lineRule="auto"/>
        <w:jc w:val="both"/>
      </w:pPr>
      <w:r>
        <w:t>- Mapa</w:t>
      </w:r>
    </w:p>
    <w:p w:rsidR="000F7CC5" w:rsidRDefault="000F7CC5" w:rsidP="00BC3F48">
      <w:pPr>
        <w:spacing w:after="0" w:line="240" w:lineRule="auto"/>
        <w:jc w:val="both"/>
      </w:pPr>
      <w:r>
        <w:t>- Inne</w:t>
      </w:r>
      <w:r>
        <w:cr/>
      </w:r>
    </w:p>
    <w:p w:rsidR="000F7CC5" w:rsidRPr="000F7CC5" w:rsidRDefault="000F7CC5" w:rsidP="00BC3F48">
      <w:pPr>
        <w:spacing w:after="0" w:line="240" w:lineRule="auto"/>
        <w:jc w:val="both"/>
        <w:rPr>
          <w:u w:val="single"/>
        </w:rPr>
      </w:pPr>
      <w:r w:rsidRPr="000F7CC5">
        <w:rPr>
          <w:u w:val="single"/>
        </w:rPr>
        <w:t>Odpowiedź:</w:t>
      </w:r>
    </w:p>
    <w:p w:rsidR="00B32EC5" w:rsidRDefault="00B32EC5" w:rsidP="00BC3F48">
      <w:pPr>
        <w:spacing w:after="0" w:line="240" w:lineRule="auto"/>
        <w:jc w:val="both"/>
        <w:rPr>
          <w:rFonts w:cs="Calibri"/>
          <w:color w:val="000000"/>
        </w:rPr>
      </w:pPr>
      <w:r w:rsidRPr="00B32EC5">
        <w:rPr>
          <w:rFonts w:cs="Calibri"/>
          <w:color w:val="000000"/>
        </w:rPr>
        <w:t xml:space="preserve">3.       Zamawiającemu zależy na jak największej elastyczności systemu i możliwości prezentacji danych w różnych formatach. Podane typy wykresów są dostępne także w innych produktach niż wskazany w pytaniu (np. </w:t>
      </w:r>
      <w:proofErr w:type="spellStart"/>
      <w:r w:rsidRPr="00B32EC5">
        <w:rPr>
          <w:rFonts w:cs="Calibri"/>
          <w:color w:val="000000"/>
        </w:rPr>
        <w:t>Splunk</w:t>
      </w:r>
      <w:proofErr w:type="spellEnd"/>
      <w:r w:rsidRPr="00B32EC5">
        <w:rPr>
          <w:rFonts w:cs="Calibri"/>
          <w:color w:val="000000"/>
        </w:rPr>
        <w:t>).</w:t>
      </w:r>
    </w:p>
    <w:p w:rsid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</w:p>
    <w:p w:rsidR="000F7CC5" w:rsidRPr="000F7CC5" w:rsidRDefault="000F7CC5" w:rsidP="000F7CC5">
      <w:pPr>
        <w:spacing w:after="0" w:line="240" w:lineRule="auto"/>
        <w:jc w:val="both"/>
        <w:rPr>
          <w:u w:val="single"/>
        </w:rPr>
      </w:pPr>
      <w:r w:rsidRPr="000F7CC5">
        <w:rPr>
          <w:u w:val="single"/>
        </w:rPr>
        <w:t>Pytanie 4:</w:t>
      </w:r>
    </w:p>
    <w:p w:rsid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>
        <w:t>Dotyczy wymagania: 1. 11.1 System SIEM musi mieć możliwość: - wyszukiwania zdarzeń (</w:t>
      </w:r>
      <w:proofErr w:type="spellStart"/>
      <w:r>
        <w:t>events</w:t>
      </w:r>
      <w:proofErr w:type="spellEnd"/>
      <w:r>
        <w:t xml:space="preserve">) w czasie rzeczywistym bez konieczności indeksowania oraz używania wyrażeń logicznych takich jak AND, OR, NOT czy też cudzysłowów - zagnieżdżania wyników </w:t>
      </w:r>
      <w:proofErr w:type="spellStart"/>
      <w:r>
        <w:t>wyszukiwań</w:t>
      </w:r>
      <w:proofErr w:type="spellEnd"/>
      <w:r>
        <w:t xml:space="preserve"> w oparciu o operatory IN oraz NOT IN - wyszukiwania w oparciu o słowa kluczowe oraz w oparciu o </w:t>
      </w:r>
      <w:proofErr w:type="spellStart"/>
      <w:r>
        <w:t>sparsowane</w:t>
      </w:r>
      <w:proofErr w:type="spellEnd"/>
      <w:r>
        <w:t xml:space="preserve"> atrybuty zdarzeń względem analizowanych danych - wyszukiwania historycznego z zastosowaniem kwerend zagnieżdżonych, ze wsparciem dla filtrowania typu </w:t>
      </w:r>
      <w:proofErr w:type="spellStart"/>
      <w:r>
        <w:t>Boolean</w:t>
      </w:r>
      <w:proofErr w:type="spellEnd"/>
      <w:r>
        <w:t xml:space="preserve">, grupowaniem w oparciu o agregację danych, filtry czasowe, wyrażenia regularne, wyrażenia matematyczne. - wyszukiwania w oparciu o zapytania wstępne uruchamiane zgodnie harmonogramem - wyszukiwania w oparciu o nie mniej niż następujące operatory: </w:t>
      </w:r>
      <w:proofErr w:type="spellStart"/>
      <w:r>
        <w:t>include</w:t>
      </w:r>
      <w:proofErr w:type="spellEnd"/>
      <w:r>
        <w:t xml:space="preserve">, =,!=, , IS NULL, IS NOT NULL, </w:t>
      </w:r>
      <w:proofErr w:type="spellStart"/>
      <w:r>
        <w:t>contains</w:t>
      </w:r>
      <w:proofErr w:type="spellEnd"/>
      <w:r>
        <w:t xml:space="preserve">, not </w:t>
      </w:r>
      <w:proofErr w:type="spellStart"/>
      <w:r>
        <w:t>contains</w:t>
      </w:r>
      <w:proofErr w:type="spellEnd"/>
      <w:r>
        <w:t xml:space="preserve">,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regex</w:t>
      </w:r>
      <w:proofErr w:type="spellEnd"/>
      <w:r>
        <w:t xml:space="preserve">, not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regex</w:t>
      </w:r>
      <w:proofErr w:type="spellEnd"/>
      <w:r>
        <w:t xml:space="preserve"> - podejmowania w czasie rzeczywistym działań w oparciu o złożone wzorce zdarzeń - w przypadku prostych zapytań musi na przykład być możliwe określenie wartości granicznej (</w:t>
      </w:r>
      <w:proofErr w:type="spellStart"/>
      <w:r>
        <w:t>threshold</w:t>
      </w:r>
      <w:proofErr w:type="spellEnd"/>
      <w:r>
        <w:t xml:space="preserve">) ilości zdarzeń X w określonym przedziale czasowym Y z </w:t>
      </w:r>
      <w:proofErr w:type="spellStart"/>
      <w:r>
        <w:t>Z</w:t>
      </w:r>
      <w:proofErr w:type="spellEnd"/>
      <w:r>
        <w:t xml:space="preserve"> wybranych wartości - w przypadku zapytań przekrojowych wspierających filtry typu </w:t>
      </w:r>
      <w:proofErr w:type="spellStart"/>
      <w:r>
        <w:t>Boolean</w:t>
      </w:r>
      <w:proofErr w:type="spellEnd"/>
      <w:r>
        <w:t xml:space="preserve"> musi być możliwe: a) stworzenie wzorców zapytań za określony przedział czasu z wykorzystaniem operatorów takich jak: AND, OR, FOLLOWED BY, AND NOT, and NOT FOLLOWED BY b) każdy z wzorców może być filtrowany i agregowany z wykorzystaniem operatorów takich jak: AVG, MAX, MIN, COUNT and COUNT DISTINCT c) ustalane wartości graniczne (</w:t>
      </w:r>
      <w:proofErr w:type="spellStart"/>
      <w:r>
        <w:t>thresholds</w:t>
      </w:r>
      <w:proofErr w:type="spellEnd"/>
      <w:r>
        <w:t>) mogą być statyczne lub też mogą być otrzymywane jako rezultat analizy statystycznej - analiza statystyczna i alarmowanie w oparciu o zdarzenia musi mieć możliwość działania w oparciu o: a) średnie kroczące (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averages</w:t>
      </w:r>
      <w:proofErr w:type="spellEnd"/>
      <w:r>
        <w:t xml:space="preserve">) b) odchylenia standardowe (standard </w:t>
      </w:r>
      <w:proofErr w:type="spellStart"/>
      <w:r>
        <w:t>deviations</w:t>
      </w:r>
      <w:proofErr w:type="spellEnd"/>
      <w:r>
        <w:t>) - w wypadku przekroczenia statystycznej wartości granicznej (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threshold</w:t>
      </w:r>
      <w:proofErr w:type="spellEnd"/>
      <w:r>
        <w:t xml:space="preserve">) musi zostać wygenerowany alert w czasie zbliżonym do rzeczywistego - wykorzystywania obiektów wykrytych i znajdujących się bazie urządzeń (CMDB), użytkowników i ich tożsamości oraz lokalizacji podczas wyszukiwania i tworzenie reguł - tworzenia harmonogramu raportów i dostarczania ich pocztą elektroniczną - możliwości eksportowania raportów do formatów CSV i PDF - wyszukiwania zdarzeń poprzez pryzmat całej organizacji lub też w ujęciu fizycznego lub logicznego obszaru raportującego - wykorzystania dynamicznych list pozwalających na obserwację źródeł generujących </w:t>
      </w:r>
      <w:r>
        <w:lastRenderedPageBreak/>
        <w:t>zdarzenia krytyczne, wraz z możliwością wykorzystania tychże list w dowolnej regule raportującej - skalowania możliwości analitycznych poprzez dodawanie do systemu SIEM kolejnych maszyn wirtualnych bez konieczności wyłączania całego klastra SIEM - automatycznego korelowania użytkownika z jego lokalizacją i adresem IP: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- musi istnieć możliwość tworzenia raportów i wyszukiwania użytkownika w połączeniu z jego adresem IP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 xml:space="preserve">oraz lokalizacją. Lokalizacja może oznaczać port na </w:t>
      </w:r>
      <w:proofErr w:type="spellStart"/>
      <w:r w:rsidRPr="000F7CC5">
        <w:rPr>
          <w:rFonts w:cs="Calibri"/>
          <w:color w:val="000000"/>
        </w:rPr>
        <w:t>switch'u</w:t>
      </w:r>
      <w:proofErr w:type="spellEnd"/>
      <w:r w:rsidRPr="000F7CC5">
        <w:rPr>
          <w:rFonts w:cs="Calibri"/>
          <w:color w:val="000000"/>
        </w:rPr>
        <w:t>, adres MAC lub połączenie VPN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- musi istnieć możliwość wzbogacania zdarzeń (</w:t>
      </w:r>
      <w:proofErr w:type="spellStart"/>
      <w:r w:rsidRPr="000F7CC5">
        <w:rPr>
          <w:rFonts w:cs="Calibri"/>
          <w:color w:val="000000"/>
        </w:rPr>
        <w:t>events</w:t>
      </w:r>
      <w:proofErr w:type="spellEnd"/>
      <w:r w:rsidRPr="000F7CC5">
        <w:rPr>
          <w:rFonts w:cs="Calibri"/>
          <w:color w:val="000000"/>
        </w:rPr>
        <w:t>) przy których dane użytkownika pozbawione są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informacje o adresie IP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 xml:space="preserve">- wykorzystanie funkcjonalności </w:t>
      </w:r>
      <w:proofErr w:type="spellStart"/>
      <w:r w:rsidRPr="000F7CC5">
        <w:rPr>
          <w:rFonts w:cs="Calibri"/>
          <w:color w:val="000000"/>
        </w:rPr>
        <w:t>Geo</w:t>
      </w:r>
      <w:proofErr w:type="spellEnd"/>
      <w:r w:rsidRPr="000F7CC5">
        <w:rPr>
          <w:rFonts w:cs="Calibri"/>
          <w:color w:val="000000"/>
        </w:rPr>
        <w:t xml:space="preserve"> IP w oparciu o bazę pochodzącą od tego samego producenta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 xml:space="preserve">- możliwość wykrywania zdarzeń IPS </w:t>
      </w:r>
      <w:proofErr w:type="spellStart"/>
      <w:r w:rsidRPr="000F7CC5">
        <w:rPr>
          <w:rFonts w:cs="Calibri"/>
          <w:color w:val="000000"/>
        </w:rPr>
        <w:t>false</w:t>
      </w:r>
      <w:proofErr w:type="spellEnd"/>
      <w:r w:rsidRPr="000F7CC5">
        <w:rPr>
          <w:rFonts w:cs="Calibri"/>
          <w:color w:val="000000"/>
        </w:rPr>
        <w:t xml:space="preserve"> </w:t>
      </w:r>
      <w:proofErr w:type="spellStart"/>
      <w:r w:rsidRPr="000F7CC5">
        <w:rPr>
          <w:rFonts w:cs="Calibri"/>
          <w:color w:val="000000"/>
        </w:rPr>
        <w:t>positive</w:t>
      </w:r>
      <w:proofErr w:type="spellEnd"/>
      <w:r w:rsidRPr="000F7CC5">
        <w:rPr>
          <w:rFonts w:cs="Calibri"/>
          <w:color w:val="000000"/>
        </w:rPr>
        <w:t xml:space="preserve"> w oparciu o integrację z zewnętrznymi skanerami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podatności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 xml:space="preserve">Zwracamy uwagę, iż punkt jednoznacznie wskazuje produkt </w:t>
      </w:r>
      <w:proofErr w:type="spellStart"/>
      <w:r w:rsidRPr="000F7CC5">
        <w:rPr>
          <w:rFonts w:cs="Calibri"/>
          <w:color w:val="000000"/>
        </w:rPr>
        <w:t>FortiSIEM</w:t>
      </w:r>
      <w:proofErr w:type="spellEnd"/>
      <w:r w:rsidRPr="000F7CC5">
        <w:rPr>
          <w:rFonts w:cs="Calibri"/>
          <w:color w:val="000000"/>
        </w:rPr>
        <w:t>.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https://www.fortinetguru.com/2017/06/fortisiem-rules/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Zamawiający wprost cytuje w ogłoszeniu dokumentację tego producenta: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a) „AND, OR, FOLLOWED BY, AND NOT, and NOT FOLLOWED BY”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Zamawiający nie opisuje oczekiwanej funkcji detekcji, a wskazuje konkretną realizację –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 xml:space="preserve">która dostarczana jest przez produkt </w:t>
      </w:r>
      <w:proofErr w:type="spellStart"/>
      <w:r w:rsidRPr="000F7CC5">
        <w:rPr>
          <w:rFonts w:cs="Calibri"/>
          <w:color w:val="000000"/>
        </w:rPr>
        <w:t>FortiSIEM</w:t>
      </w:r>
      <w:proofErr w:type="spellEnd"/>
      <w:r w:rsidRPr="000F7CC5">
        <w:rPr>
          <w:rFonts w:cs="Calibri"/>
          <w:color w:val="000000"/>
        </w:rPr>
        <w:t>. Stanowi to naruszenie zasad</w:t>
      </w:r>
    </w:p>
    <w:p w:rsidR="000F7CC5" w:rsidRP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konkurencyjności.</w:t>
      </w:r>
    </w:p>
    <w:p w:rsid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 w:rsidRPr="000F7CC5">
        <w:rPr>
          <w:rFonts w:cs="Calibri"/>
          <w:color w:val="000000"/>
        </w:rPr>
        <w:t>Wnosimy o usunięcie tego wymagania</w:t>
      </w:r>
    </w:p>
    <w:p w:rsid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</w:p>
    <w:p w:rsidR="004676F5" w:rsidRDefault="004676F5" w:rsidP="000F7CC5">
      <w:pPr>
        <w:spacing w:after="0" w:line="240" w:lineRule="auto"/>
        <w:jc w:val="both"/>
        <w:rPr>
          <w:rFonts w:cs="Calibri"/>
          <w:color w:val="000000"/>
        </w:rPr>
      </w:pPr>
    </w:p>
    <w:p w:rsidR="000F7CC5" w:rsidRDefault="000F7CC5" w:rsidP="000F7CC5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Odpowiedź:</w:t>
      </w:r>
    </w:p>
    <w:p w:rsidR="000F7CC5" w:rsidRDefault="004676F5" w:rsidP="000F7CC5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Według wiedzy Zamawiającego n</w:t>
      </w:r>
      <w:r w:rsidR="000F7CC5" w:rsidRPr="000F7CC5">
        <w:rPr>
          <w:rFonts w:cs="Calibri"/>
          <w:color w:val="000000"/>
        </w:rPr>
        <w:t xml:space="preserve">ierelacyjne bazy danych np. </w:t>
      </w:r>
      <w:proofErr w:type="spellStart"/>
      <w:r w:rsidR="000F7CC5" w:rsidRPr="000F7CC5">
        <w:rPr>
          <w:rFonts w:cs="Calibri"/>
          <w:color w:val="000000"/>
        </w:rPr>
        <w:t>noSQL</w:t>
      </w:r>
      <w:proofErr w:type="spellEnd"/>
      <w:r w:rsidR="000F7CC5" w:rsidRPr="000F7CC5">
        <w:rPr>
          <w:rFonts w:cs="Calibri"/>
          <w:color w:val="000000"/>
        </w:rPr>
        <w:t xml:space="preserve"> wykorzystują te same typy operatorów. Możliwość ich wykorzystania znajduje się u dużej ilości producentów systemów SIEM dostępnych na rynku. W związku z czym literalnie identyczne zapisy można znaleźć w dokumentacji innych producentów niż wskazany w pytaniu, np.: </w:t>
      </w:r>
      <w:hyperlink r:id="rId8" w:history="1">
        <w:r w:rsidR="000F7CC5" w:rsidRPr="008C6E5E">
          <w:rPr>
            <w:rStyle w:val="Hipercze"/>
            <w:rFonts w:cs="Calibri"/>
          </w:rPr>
          <w:t>https://synoptek.com/wp-content/uploads/2020/05/sd-siem-as-a-service.pdf</w:t>
        </w:r>
      </w:hyperlink>
      <w:r w:rsidR="000F7CC5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:rsidR="004676F5" w:rsidRDefault="004676F5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:rsidR="00BC3F48" w:rsidRDefault="00BC3F48" w:rsidP="00031FC9">
      <w:pPr>
        <w:spacing w:after="0" w:line="240" w:lineRule="auto"/>
        <w:ind w:left="1134"/>
        <w:jc w:val="both"/>
        <w:rPr>
          <w:rFonts w:cs="Calibri"/>
          <w:color w:val="000000"/>
        </w:rPr>
      </w:pPr>
    </w:p>
    <w:p w:rsidR="005D3A1E" w:rsidRPr="00823537" w:rsidRDefault="005D3A1E" w:rsidP="001E202E">
      <w:pPr>
        <w:spacing w:after="0" w:line="240" w:lineRule="auto"/>
        <w:jc w:val="both"/>
      </w:pPr>
    </w:p>
    <w:p w:rsidR="00823537" w:rsidRPr="00823537" w:rsidRDefault="00823537" w:rsidP="00823537">
      <w:pPr>
        <w:spacing w:after="0" w:line="240" w:lineRule="auto"/>
        <w:jc w:val="both"/>
      </w:pPr>
      <w:r w:rsidRPr="00823537">
        <w:t xml:space="preserve">                 Jednocześnie Uniwersytet Ekonomiczny w Poznaniu informuje, że zmienia termin składania ofert,  działając na podstawie art 286 ust. 1 ustawy Prawo zamówień publicznych (tj. Dz. U. z 2023 poz. 1605) dokonuje zmiany treści SWZ i tak:</w:t>
      </w:r>
    </w:p>
    <w:p w:rsidR="00823537" w:rsidRPr="00823537" w:rsidRDefault="00B75A3C" w:rsidP="00823537">
      <w:pPr>
        <w:spacing w:after="0" w:line="240" w:lineRule="auto"/>
        <w:ind w:left="567" w:hanging="567"/>
        <w:jc w:val="both"/>
      </w:pPr>
      <w:r>
        <w:t xml:space="preserve">- </w:t>
      </w:r>
      <w:r w:rsidR="00823537" w:rsidRPr="00823537">
        <w:t>pkt. XVIII.1  otrzymuje brzmienie:</w:t>
      </w:r>
    </w:p>
    <w:p w:rsidR="00823537" w:rsidRPr="00823537" w:rsidRDefault="00823537" w:rsidP="00823537">
      <w:pPr>
        <w:spacing w:after="0" w:line="240" w:lineRule="auto"/>
        <w:ind w:left="567" w:hanging="425"/>
        <w:jc w:val="both"/>
      </w:pPr>
      <w:r w:rsidRPr="00823537">
        <w:t>1. „Ofertę wraz z wymaganymi dokumentami należy umieścić na platformazakupowa.pl pod adresem: https://platformazakupowa.pl/pn/uep w myśl Ustawy PZP na stronie internetowej prow</w:t>
      </w:r>
      <w:r w:rsidR="00B75A3C">
        <w:t xml:space="preserve">adzonego postępowania do dnia </w:t>
      </w:r>
      <w:r w:rsidR="00BC3F48">
        <w:t>7</w:t>
      </w:r>
      <w:r w:rsidRPr="00823537">
        <w:t xml:space="preserve"> </w:t>
      </w:r>
      <w:r w:rsidR="00B75A3C">
        <w:t>listopada</w:t>
      </w:r>
      <w:r w:rsidRPr="00823537">
        <w:t xml:space="preserve"> 2023 r. do godzin</w:t>
      </w:r>
      <w:r w:rsidR="00B75A3C">
        <w:t xml:space="preserve">y </w:t>
      </w:r>
      <w:r w:rsidR="00BC3F48">
        <w:t>9</w:t>
      </w:r>
      <w:r w:rsidRPr="00823537">
        <w:t>:</w:t>
      </w:r>
      <w:r w:rsidR="00BC3F48">
        <w:t>3</w:t>
      </w:r>
      <w:r w:rsidRPr="00823537">
        <w:t>0.</w:t>
      </w:r>
    </w:p>
    <w:p w:rsidR="00823537" w:rsidRPr="00823537" w:rsidRDefault="00823537" w:rsidP="00823537">
      <w:pPr>
        <w:spacing w:after="0" w:line="240" w:lineRule="auto"/>
        <w:ind w:left="567" w:hanging="567"/>
        <w:jc w:val="both"/>
      </w:pPr>
      <w:r w:rsidRPr="00823537">
        <w:t>- pkt. XVII.1 otrzymuje brzmienie:</w:t>
      </w:r>
    </w:p>
    <w:p w:rsidR="00B75A3C" w:rsidRDefault="00823537" w:rsidP="00B75A3C">
      <w:pPr>
        <w:spacing w:after="0" w:line="240" w:lineRule="auto"/>
        <w:ind w:left="567" w:hanging="425"/>
        <w:jc w:val="both"/>
      </w:pPr>
      <w:r w:rsidRPr="00823537">
        <w:t>1.</w:t>
      </w:r>
      <w:r w:rsidR="00B75A3C" w:rsidRPr="00B75A3C">
        <w:t xml:space="preserve"> </w:t>
      </w:r>
      <w:r w:rsidR="00B75A3C">
        <w:t>Wykonawca będzie związany ofertą p</w:t>
      </w:r>
      <w:r w:rsidR="00BC3F48">
        <w:t>rzez okres 30 dni, tj. do dnia 6</w:t>
      </w:r>
      <w:r w:rsidR="00B75A3C">
        <w:t xml:space="preserve"> grudnia 2023 r.</w:t>
      </w:r>
    </w:p>
    <w:p w:rsidR="00823537" w:rsidRPr="00823537" w:rsidRDefault="00B75A3C" w:rsidP="00B75A3C">
      <w:pPr>
        <w:spacing w:after="0" w:line="240" w:lineRule="auto"/>
        <w:ind w:left="567" w:hanging="425"/>
        <w:jc w:val="both"/>
      </w:pPr>
      <w:r>
        <w:t>Bieg terminu związania ofertą rozpoczyna się wraz z upływem terminu składania ofert.</w:t>
      </w:r>
      <w:bookmarkStart w:id="0" w:name="_GoBack"/>
      <w:bookmarkEnd w:id="0"/>
    </w:p>
    <w:p w:rsidR="00DB2413" w:rsidRDefault="00DB2413" w:rsidP="00823537">
      <w:pPr>
        <w:jc w:val="both"/>
        <w:rPr>
          <w:rFonts w:cs="Calibri"/>
          <w:color w:val="000000"/>
        </w:rPr>
      </w:pPr>
    </w:p>
    <w:p w:rsidR="000F7CC5" w:rsidRDefault="000F7CC5" w:rsidP="00823537">
      <w:pPr>
        <w:jc w:val="both"/>
        <w:rPr>
          <w:rFonts w:cs="Calibri"/>
          <w:color w:val="000000"/>
        </w:rPr>
      </w:pPr>
    </w:p>
    <w:p w:rsidR="000F7CC5" w:rsidRDefault="000F7CC5" w:rsidP="00823537">
      <w:pPr>
        <w:jc w:val="both"/>
        <w:rPr>
          <w:rFonts w:cs="Calibri"/>
          <w:color w:val="000000"/>
        </w:rPr>
      </w:pPr>
    </w:p>
    <w:p w:rsidR="000F7CC5" w:rsidRDefault="000F7CC5" w:rsidP="00823537">
      <w:pPr>
        <w:jc w:val="both"/>
        <w:rPr>
          <w:rFonts w:cs="Calibri"/>
          <w:color w:val="000000"/>
        </w:rPr>
      </w:pPr>
    </w:p>
    <w:p w:rsidR="000F7CC5" w:rsidRPr="00D92982" w:rsidRDefault="000F7CC5" w:rsidP="00823537">
      <w:pPr>
        <w:jc w:val="both"/>
        <w:rPr>
          <w:rFonts w:cs="Calibri"/>
          <w:color w:val="000000"/>
        </w:rPr>
      </w:pPr>
    </w:p>
    <w:sectPr w:rsidR="000F7CC5" w:rsidRPr="00D92982" w:rsidSect="004740F7">
      <w:headerReference w:type="default" r:id="rId9"/>
      <w:footerReference w:type="default" r:id="rId10"/>
      <w:headerReference w:type="first" r:id="rId11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F5" w:rsidRDefault="004676F5" w:rsidP="0094317C">
      <w:pPr>
        <w:spacing w:after="0" w:line="240" w:lineRule="auto"/>
      </w:pPr>
      <w:r>
        <w:separator/>
      </w:r>
    </w:p>
  </w:endnote>
  <w:endnote w:type="continuationSeparator" w:id="0">
    <w:p w:rsidR="004676F5" w:rsidRDefault="004676F5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Calibri"/>
        <w:sz w:val="20"/>
      </w:rPr>
      <w:id w:val="62476321"/>
      <w:docPartObj>
        <w:docPartGallery w:val="Page Numbers (Bottom of Page)"/>
        <w:docPartUnique/>
      </w:docPartObj>
    </w:sdtPr>
    <w:sdtEndPr>
      <w:rPr>
        <w:rFonts w:eastAsia="Arial"/>
        <w:sz w:val="18"/>
        <w:lang w:eastAsia="pl-PL"/>
      </w:rPr>
    </w:sdtEndPr>
    <w:sdtContent>
      <w:tbl>
        <w:tblPr>
          <w:tblStyle w:val="Tabela-Siatka"/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76"/>
          <w:gridCol w:w="835"/>
          <w:gridCol w:w="2851"/>
          <w:gridCol w:w="567"/>
          <w:gridCol w:w="3402"/>
        </w:tblGrid>
        <w:tr w:rsidR="004676F5" w:rsidRPr="00B75A3C" w:rsidTr="00B75A3C">
          <w:trPr>
            <w:trHeight w:val="1102"/>
          </w:trPr>
          <w:tc>
            <w:tcPr>
              <w:tcW w:w="2376" w:type="dxa"/>
            </w:tcPr>
            <w:p w:rsidR="004676F5" w:rsidRPr="00B75A3C" w:rsidRDefault="004676F5" w:rsidP="00B75A3C">
              <w:pPr>
                <w:spacing w:before="120" w:after="0" w:line="240" w:lineRule="auto"/>
                <w:jc w:val="center"/>
                <w:rPr>
                  <w:rFonts w:cs="Calibri"/>
                  <w:color w:val="000000"/>
                  <w:sz w:val="20"/>
                  <w:szCs w:val="20"/>
                  <w:lang w:eastAsia="pl-PL"/>
                </w:rPr>
              </w:pPr>
              <w:r w:rsidRPr="00B75A3C">
                <w:rPr>
                  <w:rFonts w:cs="Calibri"/>
                  <w:noProof/>
                  <w:color w:val="000000"/>
                  <w:sz w:val="20"/>
                  <w:lang w:eastAsia="pl-PL"/>
                </w:rPr>
                <w:drawing>
                  <wp:inline distT="0" distB="0" distL="0" distR="0" wp14:anchorId="5F12EFC0" wp14:editId="74848E29">
                    <wp:extent cx="1306830" cy="644525"/>
                    <wp:effectExtent l="19050" t="0" r="7620" b="0"/>
                    <wp:docPr id="16" name="Obraz 1" descr="logo_FE_Wiedza_Edukacja_Rozwoj_rgb-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FE_Wiedza_Edukacja_Rozwoj_rgb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6830" cy="644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5" w:type="dxa"/>
            </w:tcPr>
            <w:p w:rsidR="004676F5" w:rsidRPr="00B75A3C" w:rsidRDefault="004676F5" w:rsidP="00B75A3C">
              <w:pPr>
                <w:spacing w:before="120" w:after="0" w:line="240" w:lineRule="auto"/>
                <w:jc w:val="center"/>
                <w:rPr>
                  <w:rFonts w:cs="Calibri"/>
                  <w:color w:val="000000"/>
                  <w:sz w:val="20"/>
                  <w:szCs w:val="20"/>
                  <w:lang w:eastAsia="pl-PL"/>
                </w:rPr>
              </w:pPr>
            </w:p>
          </w:tc>
          <w:tc>
            <w:tcPr>
              <w:tcW w:w="2851" w:type="dxa"/>
            </w:tcPr>
            <w:p w:rsidR="004676F5" w:rsidRPr="00B75A3C" w:rsidRDefault="004676F5" w:rsidP="00B75A3C">
              <w:pPr>
                <w:spacing w:before="120" w:after="0" w:line="240" w:lineRule="auto"/>
                <w:jc w:val="center"/>
                <w:rPr>
                  <w:rFonts w:cs="Calibri"/>
                  <w:color w:val="000000"/>
                  <w:sz w:val="20"/>
                  <w:szCs w:val="20"/>
                  <w:lang w:eastAsia="pl-PL"/>
                </w:rPr>
              </w:pPr>
              <w:r w:rsidRPr="00B75A3C">
                <w:rPr>
                  <w:rFonts w:cs="Calibri"/>
                  <w:noProof/>
                  <w:color w:val="000000"/>
                  <w:sz w:val="20"/>
                  <w:szCs w:val="20"/>
                  <w:lang w:eastAsia="pl-PL"/>
                </w:rPr>
                <w:drawing>
                  <wp:inline distT="0" distB="0" distL="0" distR="0" wp14:anchorId="1C4EACF0" wp14:editId="114D3859">
                    <wp:extent cx="1566545" cy="510540"/>
                    <wp:effectExtent l="19050" t="0" r="0" b="0"/>
                    <wp:docPr id="17" name="Obraz 1" descr="Barwy_RP_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Barwy_RP_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6545" cy="510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7" w:type="dxa"/>
            </w:tcPr>
            <w:p w:rsidR="004676F5" w:rsidRPr="00B75A3C" w:rsidRDefault="004676F5" w:rsidP="00B75A3C">
              <w:pPr>
                <w:spacing w:before="120" w:after="0" w:line="240" w:lineRule="auto"/>
                <w:jc w:val="center"/>
                <w:rPr>
                  <w:rFonts w:cs="Calibri"/>
                  <w:color w:val="000000"/>
                  <w:sz w:val="20"/>
                  <w:szCs w:val="20"/>
                  <w:lang w:eastAsia="pl-PL"/>
                </w:rPr>
              </w:pPr>
            </w:p>
          </w:tc>
          <w:tc>
            <w:tcPr>
              <w:tcW w:w="3402" w:type="dxa"/>
            </w:tcPr>
            <w:p w:rsidR="004676F5" w:rsidRPr="00B75A3C" w:rsidRDefault="004676F5" w:rsidP="00B75A3C">
              <w:pPr>
                <w:spacing w:before="120" w:after="0" w:line="240" w:lineRule="auto"/>
                <w:jc w:val="center"/>
                <w:rPr>
                  <w:rFonts w:cs="Calibri"/>
                  <w:color w:val="000000"/>
                  <w:sz w:val="20"/>
                  <w:szCs w:val="20"/>
                  <w:lang w:eastAsia="pl-PL"/>
                </w:rPr>
              </w:pPr>
              <w:r w:rsidRPr="00B75A3C">
                <w:rPr>
                  <w:rFonts w:cs="Calibri"/>
                  <w:noProof/>
                  <w:color w:val="000000"/>
                  <w:sz w:val="20"/>
                  <w:lang w:eastAsia="pl-PL"/>
                </w:rPr>
                <w:drawing>
                  <wp:inline distT="0" distB="0" distL="0" distR="0" wp14:anchorId="5A777AE8" wp14:editId="34B3088C">
                    <wp:extent cx="1928495" cy="644525"/>
                    <wp:effectExtent l="19050" t="0" r="0" b="0"/>
                    <wp:docPr id="18" name="Obraz 2" descr="EU_EFS_rgb-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U_EFS_rgb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8495" cy="644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76F5" w:rsidRPr="00B75A3C" w:rsidRDefault="004676F5" w:rsidP="00B75A3C">
        <w:pPr>
          <w:spacing w:before="120" w:line="240" w:lineRule="auto"/>
          <w:ind w:right="-1589"/>
          <w:jc w:val="center"/>
          <w:rPr>
            <w:rFonts w:ascii="Arial" w:eastAsia="Arial" w:hAnsi="Arial" w:cs="Arial"/>
            <w:lang w:eastAsia="pl-PL"/>
          </w:rPr>
        </w:pPr>
        <w:r w:rsidRPr="00B75A3C">
          <w:rPr>
            <w:rFonts w:cs="Arial"/>
            <w:sz w:val="15"/>
            <w:szCs w:val="15"/>
            <w:lang w:eastAsia="pl-PL"/>
          </w:rPr>
          <w:t xml:space="preserve">Projekt „Zintegrowany Program Rozwoju Uniwersytetu Ekonomicznego w Poznaniu” o numerze WND-POWR.03.05.00-00-Z011/17 jest współfinansowany </w:t>
        </w:r>
        <w:r w:rsidRPr="00B75A3C">
          <w:rPr>
            <w:rFonts w:cs="Arial"/>
            <w:sz w:val="15"/>
            <w:szCs w:val="15"/>
            <w:lang w:eastAsia="pl-PL"/>
          </w:rPr>
          <w:br/>
          <w:t>ze środków Unii Europejskiej w ramach Programu Operacyjnego Wiedza Edukacja Rozwój 2014 – 2020</w:t>
        </w:r>
      </w:p>
    </w:sdtContent>
  </w:sdt>
  <w:p w:rsidR="004676F5" w:rsidRPr="00B358B4" w:rsidRDefault="004676F5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F5" w:rsidRDefault="004676F5" w:rsidP="0094317C">
      <w:pPr>
        <w:spacing w:after="0" w:line="240" w:lineRule="auto"/>
      </w:pPr>
      <w:r>
        <w:separator/>
      </w:r>
    </w:p>
  </w:footnote>
  <w:footnote w:type="continuationSeparator" w:id="0">
    <w:p w:rsidR="004676F5" w:rsidRDefault="004676F5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5" w:rsidRDefault="0046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5" w:rsidRDefault="0046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F590D"/>
    <w:multiLevelType w:val="hybridMultilevel"/>
    <w:tmpl w:val="B3704BDA"/>
    <w:lvl w:ilvl="0" w:tplc="6978B5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64196"/>
    <w:multiLevelType w:val="hybridMultilevel"/>
    <w:tmpl w:val="C33C6D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122A69"/>
    <w:multiLevelType w:val="hybridMultilevel"/>
    <w:tmpl w:val="65ACCC4C"/>
    <w:lvl w:ilvl="0" w:tplc="A27022FA">
      <w:start w:val="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1D5D"/>
    <w:multiLevelType w:val="hybridMultilevel"/>
    <w:tmpl w:val="6D3C09C8"/>
    <w:lvl w:ilvl="0" w:tplc="9CF6161C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D26DCD"/>
    <w:multiLevelType w:val="hybridMultilevel"/>
    <w:tmpl w:val="1B7CE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7042"/>
    <w:multiLevelType w:val="hybridMultilevel"/>
    <w:tmpl w:val="ABEC0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0"/>
  </w:num>
  <w:num w:numId="5">
    <w:abstractNumId w:val="2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8"/>
  </w:num>
  <w:num w:numId="17">
    <w:abstractNumId w:val="16"/>
  </w:num>
  <w:num w:numId="18">
    <w:abstractNumId w:val="14"/>
  </w:num>
  <w:num w:numId="19">
    <w:abstractNumId w:val="9"/>
  </w:num>
  <w:num w:numId="20">
    <w:abstractNumId w:val="21"/>
  </w:num>
  <w:num w:numId="21">
    <w:abstractNumId w:val="11"/>
  </w:num>
  <w:num w:numId="22">
    <w:abstractNumId w:val="6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31FC9"/>
    <w:rsid w:val="00056F16"/>
    <w:rsid w:val="00075DEE"/>
    <w:rsid w:val="00086232"/>
    <w:rsid w:val="0009383B"/>
    <w:rsid w:val="000A0478"/>
    <w:rsid w:val="000A4664"/>
    <w:rsid w:val="000B173D"/>
    <w:rsid w:val="000B4FAB"/>
    <w:rsid w:val="000B7097"/>
    <w:rsid w:val="000C17BE"/>
    <w:rsid w:val="000D146C"/>
    <w:rsid w:val="000D4BEC"/>
    <w:rsid w:val="000F7CC5"/>
    <w:rsid w:val="00102252"/>
    <w:rsid w:val="00105D08"/>
    <w:rsid w:val="00131FEE"/>
    <w:rsid w:val="00132936"/>
    <w:rsid w:val="00151826"/>
    <w:rsid w:val="00151E3A"/>
    <w:rsid w:val="00165D5F"/>
    <w:rsid w:val="00182B06"/>
    <w:rsid w:val="001A4489"/>
    <w:rsid w:val="001B177E"/>
    <w:rsid w:val="001C0999"/>
    <w:rsid w:val="001C1570"/>
    <w:rsid w:val="001D7B95"/>
    <w:rsid w:val="001E202E"/>
    <w:rsid w:val="001E2330"/>
    <w:rsid w:val="001E3CB1"/>
    <w:rsid w:val="001E5551"/>
    <w:rsid w:val="001E5779"/>
    <w:rsid w:val="001F1379"/>
    <w:rsid w:val="001F2693"/>
    <w:rsid w:val="00215520"/>
    <w:rsid w:val="00222062"/>
    <w:rsid w:val="00285963"/>
    <w:rsid w:val="002905F3"/>
    <w:rsid w:val="0029251F"/>
    <w:rsid w:val="00294B96"/>
    <w:rsid w:val="0029537A"/>
    <w:rsid w:val="002E19E4"/>
    <w:rsid w:val="0031035A"/>
    <w:rsid w:val="00311DA2"/>
    <w:rsid w:val="003135B4"/>
    <w:rsid w:val="00384E69"/>
    <w:rsid w:val="003905C6"/>
    <w:rsid w:val="003A2686"/>
    <w:rsid w:val="0042722C"/>
    <w:rsid w:val="00441F55"/>
    <w:rsid w:val="004544BB"/>
    <w:rsid w:val="00464D68"/>
    <w:rsid w:val="004676F5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1FB0"/>
    <w:rsid w:val="00524308"/>
    <w:rsid w:val="00524F22"/>
    <w:rsid w:val="005317A0"/>
    <w:rsid w:val="0053761F"/>
    <w:rsid w:val="00573ACE"/>
    <w:rsid w:val="00584281"/>
    <w:rsid w:val="005B44AE"/>
    <w:rsid w:val="005C5E3C"/>
    <w:rsid w:val="005D3539"/>
    <w:rsid w:val="005D3A1E"/>
    <w:rsid w:val="005E21CF"/>
    <w:rsid w:val="005E484D"/>
    <w:rsid w:val="005E549F"/>
    <w:rsid w:val="005E7D09"/>
    <w:rsid w:val="005F1CD2"/>
    <w:rsid w:val="0060760C"/>
    <w:rsid w:val="006122D3"/>
    <w:rsid w:val="00644123"/>
    <w:rsid w:val="00661B29"/>
    <w:rsid w:val="00681883"/>
    <w:rsid w:val="00687137"/>
    <w:rsid w:val="006C0486"/>
    <w:rsid w:val="006C6C7A"/>
    <w:rsid w:val="006D0022"/>
    <w:rsid w:val="006E5791"/>
    <w:rsid w:val="006F0782"/>
    <w:rsid w:val="00705F7D"/>
    <w:rsid w:val="00712F7C"/>
    <w:rsid w:val="0071645E"/>
    <w:rsid w:val="0072223A"/>
    <w:rsid w:val="007222EB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823537"/>
    <w:rsid w:val="0082600B"/>
    <w:rsid w:val="0084605A"/>
    <w:rsid w:val="008510F1"/>
    <w:rsid w:val="0085430A"/>
    <w:rsid w:val="008601E5"/>
    <w:rsid w:val="00874B4E"/>
    <w:rsid w:val="008833CD"/>
    <w:rsid w:val="00884576"/>
    <w:rsid w:val="00897053"/>
    <w:rsid w:val="008A27B2"/>
    <w:rsid w:val="008B3400"/>
    <w:rsid w:val="008E4A74"/>
    <w:rsid w:val="008F7486"/>
    <w:rsid w:val="009107D8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E572B"/>
    <w:rsid w:val="00A2408C"/>
    <w:rsid w:val="00A510C2"/>
    <w:rsid w:val="00A544CC"/>
    <w:rsid w:val="00A8129B"/>
    <w:rsid w:val="00AC6786"/>
    <w:rsid w:val="00AD2837"/>
    <w:rsid w:val="00AF39B8"/>
    <w:rsid w:val="00B21672"/>
    <w:rsid w:val="00B32EC5"/>
    <w:rsid w:val="00B34251"/>
    <w:rsid w:val="00B358B4"/>
    <w:rsid w:val="00B5045A"/>
    <w:rsid w:val="00B741B3"/>
    <w:rsid w:val="00B75A3C"/>
    <w:rsid w:val="00B770D4"/>
    <w:rsid w:val="00B911A1"/>
    <w:rsid w:val="00B92314"/>
    <w:rsid w:val="00B97A93"/>
    <w:rsid w:val="00BB68AE"/>
    <w:rsid w:val="00BC3F48"/>
    <w:rsid w:val="00BC593A"/>
    <w:rsid w:val="00BD0242"/>
    <w:rsid w:val="00BD4C11"/>
    <w:rsid w:val="00BF3BA9"/>
    <w:rsid w:val="00BF4382"/>
    <w:rsid w:val="00C01E18"/>
    <w:rsid w:val="00C20B13"/>
    <w:rsid w:val="00C2734B"/>
    <w:rsid w:val="00C33063"/>
    <w:rsid w:val="00C41D7A"/>
    <w:rsid w:val="00C47F98"/>
    <w:rsid w:val="00C5036C"/>
    <w:rsid w:val="00C52EE8"/>
    <w:rsid w:val="00C56FB2"/>
    <w:rsid w:val="00C65550"/>
    <w:rsid w:val="00C67490"/>
    <w:rsid w:val="00C74953"/>
    <w:rsid w:val="00C92186"/>
    <w:rsid w:val="00C92612"/>
    <w:rsid w:val="00CE4B40"/>
    <w:rsid w:val="00CE682E"/>
    <w:rsid w:val="00D01068"/>
    <w:rsid w:val="00D026F6"/>
    <w:rsid w:val="00D05D41"/>
    <w:rsid w:val="00D265B9"/>
    <w:rsid w:val="00D73A2B"/>
    <w:rsid w:val="00D84CB0"/>
    <w:rsid w:val="00D92982"/>
    <w:rsid w:val="00D9747F"/>
    <w:rsid w:val="00DA6DCA"/>
    <w:rsid w:val="00DB2146"/>
    <w:rsid w:val="00DB2413"/>
    <w:rsid w:val="00DD1FD9"/>
    <w:rsid w:val="00DE673A"/>
    <w:rsid w:val="00E31728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12AF1"/>
    <w:rsid w:val="00F23872"/>
    <w:rsid w:val="00F47D5A"/>
    <w:rsid w:val="00F515C5"/>
    <w:rsid w:val="00F75E66"/>
    <w:rsid w:val="00FB3C17"/>
    <w:rsid w:val="00FE6797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9D8D9F2F-8604-4864-B24E-7BB0F094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  <w:style w:type="table" w:styleId="Tabela-Siatka">
    <w:name w:val="Table Grid"/>
    <w:basedOn w:val="Standardowy"/>
    <w:uiPriority w:val="39"/>
    <w:rsid w:val="00B75A3C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optek.com/wp-content/uploads/2020/05/sd-siem-as-a-servi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A5D3-2277-4F49-9EB1-74B51C23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24C49853</Template>
  <TotalTime>59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3</cp:revision>
  <cp:lastPrinted>2023-10-31T13:31:00Z</cp:lastPrinted>
  <dcterms:created xsi:type="dcterms:W3CDTF">2023-10-31T08:13:00Z</dcterms:created>
  <dcterms:modified xsi:type="dcterms:W3CDTF">2023-10-31T14:20:00Z</dcterms:modified>
</cp:coreProperties>
</file>