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D886" w14:textId="2E870C84" w:rsidR="002652FB" w:rsidRPr="002A154E" w:rsidRDefault="002652FB" w:rsidP="002A154E">
      <w:pPr>
        <w:spacing w:before="0" w:after="120" w:line="360" w:lineRule="auto"/>
        <w:rPr>
          <w:rFonts w:ascii="Calibri" w:hAnsi="Calibri" w:cs="Calibri"/>
          <w:sz w:val="24"/>
          <w:szCs w:val="24"/>
        </w:rPr>
      </w:pPr>
      <w:r w:rsidRPr="005C62A0">
        <w:rPr>
          <w:rFonts w:ascii="Calibri" w:hAnsi="Calibri" w:cs="Calibri"/>
          <w:sz w:val="24"/>
          <w:szCs w:val="24"/>
        </w:rPr>
        <w:t>PI.272.</w:t>
      </w:r>
      <w:r w:rsidR="00806D93">
        <w:rPr>
          <w:rFonts w:ascii="Calibri" w:hAnsi="Calibri" w:cs="Calibri"/>
          <w:sz w:val="24"/>
          <w:szCs w:val="24"/>
        </w:rPr>
        <w:t>27/</w:t>
      </w:r>
      <w:r w:rsidR="00620B5A">
        <w:rPr>
          <w:rFonts w:ascii="Calibri" w:hAnsi="Calibri" w:cs="Calibri"/>
          <w:sz w:val="24"/>
          <w:szCs w:val="24"/>
        </w:rPr>
        <w:t>3</w:t>
      </w:r>
      <w:r w:rsidRPr="005C62A0">
        <w:rPr>
          <w:rFonts w:ascii="Calibri" w:hAnsi="Calibri" w:cs="Calibri"/>
          <w:sz w:val="24"/>
          <w:szCs w:val="24"/>
        </w:rPr>
        <w:t>.202</w:t>
      </w:r>
      <w:r w:rsidR="008A2F3C">
        <w:rPr>
          <w:rFonts w:ascii="Calibri" w:hAnsi="Calibri" w:cs="Calibri"/>
          <w:sz w:val="24"/>
          <w:szCs w:val="24"/>
        </w:rPr>
        <w:t>3</w:t>
      </w:r>
      <w:r w:rsidRPr="002A154E">
        <w:rPr>
          <w:rFonts w:ascii="Calibri" w:hAnsi="Calibri" w:cs="Calibri"/>
          <w:sz w:val="24"/>
          <w:szCs w:val="24"/>
        </w:rPr>
        <w:t xml:space="preserve"> </w:t>
      </w:r>
    </w:p>
    <w:p w14:paraId="2E0E62B0" w14:textId="0CE93BB8" w:rsidR="002652FB" w:rsidRDefault="002652FB" w:rsidP="005C62A0">
      <w:pPr>
        <w:spacing w:before="0" w:after="120" w:line="360" w:lineRule="auto"/>
        <w:jc w:val="right"/>
        <w:rPr>
          <w:rFonts w:ascii="Calibri" w:hAnsi="Calibri" w:cs="Calibri"/>
          <w:sz w:val="24"/>
          <w:szCs w:val="24"/>
        </w:rPr>
      </w:pPr>
      <w:r w:rsidRPr="002A154E">
        <w:rPr>
          <w:rFonts w:ascii="Calibri" w:hAnsi="Calibri" w:cs="Calibri"/>
          <w:sz w:val="24"/>
          <w:szCs w:val="24"/>
        </w:rPr>
        <w:t xml:space="preserve">Załącznik nr 1 do </w:t>
      </w:r>
      <w:proofErr w:type="spellStart"/>
      <w:r w:rsidRPr="002A154E">
        <w:rPr>
          <w:rFonts w:ascii="Calibri" w:hAnsi="Calibri" w:cs="Calibri"/>
          <w:sz w:val="24"/>
          <w:szCs w:val="24"/>
        </w:rPr>
        <w:t>SWZ</w:t>
      </w:r>
      <w:proofErr w:type="spellEnd"/>
    </w:p>
    <w:p w14:paraId="08B9CD48" w14:textId="77777777" w:rsidR="005C62A0" w:rsidRPr="002A154E" w:rsidRDefault="005C62A0" w:rsidP="005C62A0">
      <w:pPr>
        <w:spacing w:before="0" w:after="120" w:line="360" w:lineRule="auto"/>
        <w:jc w:val="right"/>
        <w:rPr>
          <w:rFonts w:ascii="Calibri" w:hAnsi="Calibri" w:cs="Calibri"/>
          <w:sz w:val="24"/>
          <w:szCs w:val="24"/>
        </w:rPr>
      </w:pPr>
    </w:p>
    <w:p w14:paraId="4C584A8B" w14:textId="508719D6" w:rsidR="002652FB" w:rsidRDefault="002652FB" w:rsidP="005C62A0">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685C97AF" w14:textId="77777777" w:rsidR="005C62A0" w:rsidRPr="002A154E" w:rsidRDefault="005C62A0" w:rsidP="005C62A0">
      <w:pPr>
        <w:spacing w:before="0" w:after="120" w:line="360" w:lineRule="auto"/>
        <w:jc w:val="center"/>
        <w:rPr>
          <w:rFonts w:ascii="Calibri" w:hAnsi="Calibri" w:cs="Calibri"/>
          <w:sz w:val="24"/>
          <w:szCs w:val="24"/>
        </w:rPr>
      </w:pPr>
    </w:p>
    <w:p w14:paraId="72308159" w14:textId="1DD57C7C" w:rsidR="002652FB" w:rsidRPr="002A154E" w:rsidRDefault="00806D93" w:rsidP="00806D93">
      <w:pPr>
        <w:spacing w:before="0" w:after="120" w:line="360" w:lineRule="auto"/>
        <w:rPr>
          <w:rFonts w:ascii="Calibri" w:hAnsi="Calibri" w:cs="Calibri"/>
          <w:b/>
          <w:sz w:val="24"/>
          <w:szCs w:val="24"/>
        </w:rPr>
      </w:pPr>
      <w:bookmarkStart w:id="0" w:name="_Hlk93583782"/>
      <w:r>
        <w:rPr>
          <w:rFonts w:ascii="Calibri" w:hAnsi="Calibri" w:cs="Calibri"/>
          <w:sz w:val="24"/>
          <w:szCs w:val="24"/>
        </w:rPr>
        <w:t xml:space="preserve">dla postępowania pn. </w:t>
      </w:r>
      <w:r w:rsidRPr="00806D93">
        <w:rPr>
          <w:rFonts w:ascii="Calibri" w:hAnsi="Calibri" w:cs="Calibri"/>
          <w:sz w:val="24"/>
          <w:szCs w:val="24"/>
        </w:rPr>
        <w:t xml:space="preserve">Zakup wraz z dostawą fabrycznie nowego samochodu 9-cio osobowego przystosowanego do przewozu osób niepełnosprawnych, w tym osób na wózku inwalidzkim na potrzeby </w:t>
      </w:r>
      <w:proofErr w:type="spellStart"/>
      <w:r w:rsidRPr="00806D93">
        <w:rPr>
          <w:rFonts w:ascii="Calibri" w:hAnsi="Calibri" w:cs="Calibri"/>
          <w:sz w:val="24"/>
          <w:szCs w:val="24"/>
        </w:rPr>
        <w:t>DPS</w:t>
      </w:r>
      <w:proofErr w:type="spellEnd"/>
      <w:r w:rsidRPr="00806D93">
        <w:rPr>
          <w:rFonts w:ascii="Calibri" w:hAnsi="Calibri" w:cs="Calibri"/>
          <w:sz w:val="24"/>
          <w:szCs w:val="24"/>
        </w:rPr>
        <w:t xml:space="preserve"> Nielestno</w:t>
      </w:r>
      <w:r w:rsidR="00620B5A">
        <w:rPr>
          <w:rFonts w:ascii="Calibri" w:hAnsi="Calibri" w:cs="Calibri"/>
          <w:sz w:val="24"/>
          <w:szCs w:val="24"/>
        </w:rPr>
        <w:t xml:space="preserve"> post III</w:t>
      </w:r>
    </w:p>
    <w:bookmarkEnd w:id="0"/>
    <w:p w14:paraId="0B1EB20D" w14:textId="77777777" w:rsidR="00806D93" w:rsidRPr="00806D93" w:rsidRDefault="00806D93" w:rsidP="00806D93">
      <w:pPr>
        <w:spacing w:before="0" w:after="160" w:line="259" w:lineRule="auto"/>
        <w:jc w:val="center"/>
        <w:rPr>
          <w:rFonts w:ascii="Calibri" w:eastAsia="Calibri" w:hAnsi="Calibri" w:cs="Calibri"/>
          <w:sz w:val="24"/>
          <w:szCs w:val="24"/>
          <w:lang w:eastAsia="en-US"/>
        </w:rPr>
      </w:pPr>
    </w:p>
    <w:tbl>
      <w:tblPr>
        <w:tblStyle w:val="Tabela-Siatka1"/>
        <w:tblW w:w="9464" w:type="dxa"/>
        <w:tblLook w:val="04A0" w:firstRow="1" w:lastRow="0" w:firstColumn="1" w:lastColumn="0" w:noHBand="0" w:noVBand="1"/>
      </w:tblPr>
      <w:tblGrid>
        <w:gridCol w:w="1469"/>
        <w:gridCol w:w="7995"/>
      </w:tblGrid>
      <w:tr w:rsidR="00806D93" w:rsidRPr="00806D93" w14:paraId="296B1CCF" w14:textId="77777777" w:rsidTr="00FA0B7C">
        <w:trPr>
          <w:trHeight w:val="296"/>
        </w:trPr>
        <w:tc>
          <w:tcPr>
            <w:tcW w:w="1469" w:type="dxa"/>
          </w:tcPr>
          <w:p w14:paraId="33A14B7B"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Lp.</w:t>
            </w:r>
          </w:p>
        </w:tc>
        <w:tc>
          <w:tcPr>
            <w:tcW w:w="7995" w:type="dxa"/>
          </w:tcPr>
          <w:p w14:paraId="4DD96E59" w14:textId="77777777" w:rsidR="00806D93" w:rsidRPr="00806D93" w:rsidRDefault="00806D93" w:rsidP="00806D93">
            <w:pPr>
              <w:jc w:val="center"/>
              <w:rPr>
                <w:rFonts w:ascii="Calibri" w:hAnsi="Calibri" w:cs="Calibri"/>
                <w:sz w:val="24"/>
                <w:szCs w:val="24"/>
              </w:rPr>
            </w:pPr>
            <w:r w:rsidRPr="00806D93">
              <w:rPr>
                <w:rFonts w:ascii="Calibri" w:hAnsi="Calibri" w:cs="Calibri"/>
                <w:sz w:val="24"/>
                <w:szCs w:val="24"/>
              </w:rPr>
              <w:t>MINIMALNE WYMAGANIA ZAMAWIAJĄCEGO</w:t>
            </w:r>
          </w:p>
        </w:tc>
      </w:tr>
      <w:tr w:rsidR="00806D93" w:rsidRPr="00806D93" w14:paraId="4518311D" w14:textId="77777777" w:rsidTr="00FA0B7C">
        <w:trPr>
          <w:trHeight w:val="151"/>
        </w:trPr>
        <w:tc>
          <w:tcPr>
            <w:tcW w:w="1469" w:type="dxa"/>
          </w:tcPr>
          <w:p w14:paraId="0D3CE7D3" w14:textId="77777777" w:rsidR="00806D93" w:rsidRPr="00806D93" w:rsidRDefault="00806D93" w:rsidP="00806D93">
            <w:pPr>
              <w:rPr>
                <w:rFonts w:ascii="Calibri" w:hAnsi="Calibri" w:cs="Calibri"/>
                <w:sz w:val="24"/>
                <w:szCs w:val="24"/>
              </w:rPr>
            </w:pPr>
          </w:p>
        </w:tc>
        <w:tc>
          <w:tcPr>
            <w:tcW w:w="7995" w:type="dxa"/>
          </w:tcPr>
          <w:p w14:paraId="74964D16" w14:textId="77777777" w:rsidR="00806D93" w:rsidRPr="00806D93" w:rsidRDefault="00806D93" w:rsidP="00806D93">
            <w:pPr>
              <w:jc w:val="center"/>
              <w:rPr>
                <w:rFonts w:ascii="Calibri" w:hAnsi="Calibri" w:cs="Calibri"/>
                <w:sz w:val="24"/>
                <w:szCs w:val="24"/>
              </w:rPr>
            </w:pPr>
            <w:r w:rsidRPr="00806D93">
              <w:rPr>
                <w:rFonts w:ascii="Calibri" w:hAnsi="Calibri" w:cs="Calibri"/>
                <w:sz w:val="24"/>
                <w:szCs w:val="24"/>
              </w:rPr>
              <w:t>Warunki techniczne</w:t>
            </w:r>
          </w:p>
        </w:tc>
      </w:tr>
      <w:tr w:rsidR="00806D93" w:rsidRPr="00806D93" w14:paraId="5D119206" w14:textId="77777777" w:rsidTr="00FA0B7C">
        <w:trPr>
          <w:trHeight w:val="931"/>
        </w:trPr>
        <w:tc>
          <w:tcPr>
            <w:tcW w:w="1469" w:type="dxa"/>
          </w:tcPr>
          <w:p w14:paraId="4C210392"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1.</w:t>
            </w:r>
          </w:p>
        </w:tc>
        <w:tc>
          <w:tcPr>
            <w:tcW w:w="7995" w:type="dxa"/>
          </w:tcPr>
          <w:p w14:paraId="2992D04E" w14:textId="77777777" w:rsidR="00806D93" w:rsidRPr="00806D93" w:rsidRDefault="00806D93" w:rsidP="00806D93">
            <w:pPr>
              <w:ind w:left="127"/>
              <w:contextualSpacing/>
              <w:rPr>
                <w:rFonts w:ascii="Calibri" w:hAnsi="Calibri" w:cs="Calibri"/>
                <w:sz w:val="24"/>
                <w:szCs w:val="24"/>
              </w:rPr>
            </w:pPr>
            <w:r w:rsidRPr="00806D93">
              <w:rPr>
                <w:rFonts w:ascii="Calibri" w:hAnsi="Calibri" w:cs="Calibri"/>
                <w:sz w:val="24"/>
                <w:szCs w:val="24"/>
              </w:rPr>
              <w:t>Dane ogólne</w:t>
            </w:r>
          </w:p>
          <w:p w14:paraId="004E1921" w14:textId="61FF7FDD"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bCs/>
                <w:sz w:val="24"/>
                <w:szCs w:val="24"/>
              </w:rPr>
              <w:t xml:space="preserve">Samochód fabrycznie nowy, rok produkcji </w:t>
            </w:r>
            <w:r w:rsidRPr="00806D93">
              <w:rPr>
                <w:rFonts w:ascii="Calibri" w:hAnsi="Calibri" w:cs="Calibri"/>
                <w:bCs/>
                <w:color w:val="FF0000"/>
                <w:sz w:val="24"/>
                <w:szCs w:val="24"/>
              </w:rPr>
              <w:t xml:space="preserve"> </w:t>
            </w:r>
            <w:r w:rsidRPr="00806D93">
              <w:rPr>
                <w:rFonts w:ascii="Calibri" w:hAnsi="Calibri" w:cs="Calibri"/>
                <w:bCs/>
                <w:sz w:val="24"/>
                <w:szCs w:val="24"/>
              </w:rPr>
              <w:t>2024</w:t>
            </w:r>
            <w:r w:rsidR="00620B5A">
              <w:rPr>
                <w:rFonts w:ascii="Calibri" w:hAnsi="Calibri" w:cs="Calibri"/>
                <w:bCs/>
                <w:sz w:val="24"/>
                <w:szCs w:val="24"/>
              </w:rPr>
              <w:t xml:space="preserve"> lub 2025</w:t>
            </w:r>
          </w:p>
          <w:p w14:paraId="4F26C3D4" w14:textId="77777777"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bCs/>
                <w:sz w:val="24"/>
                <w:szCs w:val="24"/>
              </w:rPr>
              <w:t>Ilość miejsc  9 (8+1)</w:t>
            </w:r>
          </w:p>
          <w:p w14:paraId="1D3388BE" w14:textId="77777777" w:rsidR="00806D93" w:rsidRPr="00806D93" w:rsidRDefault="00806D93" w:rsidP="00806D93">
            <w:pPr>
              <w:rPr>
                <w:rFonts w:ascii="Calibri" w:hAnsi="Calibri" w:cs="Calibri"/>
                <w:bCs/>
                <w:sz w:val="24"/>
                <w:szCs w:val="24"/>
              </w:rPr>
            </w:pPr>
            <w:r w:rsidRPr="00806D93">
              <w:rPr>
                <w:rFonts w:ascii="Calibri" w:hAnsi="Calibri" w:cs="Calibri"/>
                <w:sz w:val="24"/>
                <w:szCs w:val="24"/>
              </w:rPr>
              <w:t>przystosowany do przewozu osób niepełnosprawnych z możliwością przewożenia osoby na wózku inwalidzkim</w:t>
            </w:r>
          </w:p>
        </w:tc>
      </w:tr>
      <w:tr w:rsidR="00806D93" w:rsidRPr="00806D93" w14:paraId="7A70BE77" w14:textId="77777777" w:rsidTr="00FA0B7C">
        <w:trPr>
          <w:trHeight w:val="931"/>
        </w:trPr>
        <w:tc>
          <w:tcPr>
            <w:tcW w:w="1469" w:type="dxa"/>
          </w:tcPr>
          <w:p w14:paraId="061BE872"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2.</w:t>
            </w:r>
          </w:p>
        </w:tc>
        <w:tc>
          <w:tcPr>
            <w:tcW w:w="7995" w:type="dxa"/>
          </w:tcPr>
          <w:p w14:paraId="77B0FEFB"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Przestrzeń pasażerska o wysokości minimum 160cm</w:t>
            </w:r>
          </w:p>
          <w:p w14:paraId="5C32CB68"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Silnik</w:t>
            </w:r>
          </w:p>
          <w:p w14:paraId="23B24819" w14:textId="53300C81"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Pojemność – min. 19</w:t>
            </w:r>
            <w:r>
              <w:rPr>
                <w:rFonts w:ascii="Calibri" w:hAnsi="Calibri" w:cs="Calibri"/>
                <w:sz w:val="24"/>
                <w:szCs w:val="24"/>
              </w:rPr>
              <w:t>00</w:t>
            </w:r>
            <w:r w:rsidRPr="00806D93">
              <w:rPr>
                <w:rFonts w:ascii="Calibri" w:hAnsi="Calibri" w:cs="Calibri"/>
                <w:sz w:val="24"/>
                <w:szCs w:val="24"/>
              </w:rPr>
              <w:t xml:space="preserve"> cm3</w:t>
            </w:r>
          </w:p>
          <w:p w14:paraId="0984AF77" w14:textId="77777777"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Moc – min.130 KM</w:t>
            </w:r>
          </w:p>
          <w:p w14:paraId="424C2D8A" w14:textId="77777777"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Rodzaj paliwa – olej napędowy</w:t>
            </w:r>
          </w:p>
          <w:p w14:paraId="7F7BE1A5" w14:textId="77777777"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Spełniający normę emisji spalin EURO  6</w:t>
            </w:r>
          </w:p>
          <w:p w14:paraId="4E8C60F7" w14:textId="77777777" w:rsidR="00806D93" w:rsidRPr="00806D93" w:rsidRDefault="00806D93" w:rsidP="00806D93">
            <w:pPr>
              <w:rPr>
                <w:rFonts w:ascii="Calibri" w:hAnsi="Calibri" w:cs="Calibri"/>
                <w:sz w:val="24"/>
                <w:szCs w:val="24"/>
              </w:rPr>
            </w:pPr>
          </w:p>
        </w:tc>
      </w:tr>
      <w:tr w:rsidR="00806D93" w:rsidRPr="00806D93" w14:paraId="19A2F587" w14:textId="77777777" w:rsidTr="00FA0B7C">
        <w:trPr>
          <w:trHeight w:val="141"/>
        </w:trPr>
        <w:tc>
          <w:tcPr>
            <w:tcW w:w="1469" w:type="dxa"/>
          </w:tcPr>
          <w:p w14:paraId="5247DA29"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 xml:space="preserve">3. </w:t>
            </w:r>
          </w:p>
        </w:tc>
        <w:tc>
          <w:tcPr>
            <w:tcW w:w="7995" w:type="dxa"/>
          </w:tcPr>
          <w:p w14:paraId="29892559" w14:textId="77777777" w:rsidR="00806D93" w:rsidRPr="00806D93" w:rsidRDefault="00806D93" w:rsidP="00806D93">
            <w:pPr>
              <w:ind w:left="230" w:hanging="230"/>
              <w:rPr>
                <w:rFonts w:ascii="Calibri" w:hAnsi="Calibri" w:cs="Calibri"/>
                <w:bCs/>
                <w:sz w:val="24"/>
                <w:szCs w:val="24"/>
              </w:rPr>
            </w:pPr>
            <w:r w:rsidRPr="00806D93">
              <w:rPr>
                <w:rFonts w:ascii="Calibri" w:hAnsi="Calibri" w:cs="Calibri"/>
                <w:bCs/>
                <w:sz w:val="24"/>
                <w:szCs w:val="24"/>
              </w:rPr>
              <w:t>Wyposażenie</w:t>
            </w:r>
          </w:p>
          <w:p w14:paraId="0D6A81A1"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Drzwi boczne przesuwne z prawej strony pojazdu wraz z podestem</w:t>
            </w:r>
          </w:p>
          <w:p w14:paraId="49FBBD1A"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Klimatyzacja automatyczna</w:t>
            </w:r>
          </w:p>
          <w:p w14:paraId="59927073"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Centralny zamek z pilotem</w:t>
            </w:r>
          </w:p>
          <w:p w14:paraId="61F0DC18"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Izolacja dźwiękowo – termiczna</w:t>
            </w:r>
          </w:p>
          <w:p w14:paraId="70386945"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Immobiliser/ Autoalarm honorowany przez firmy ubezpieczeniowe</w:t>
            </w:r>
          </w:p>
          <w:p w14:paraId="3F2B7321"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Wspomaganie układu kierowniczego</w:t>
            </w:r>
          </w:p>
          <w:p w14:paraId="00EC8498"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Napęd na koła przednie</w:t>
            </w:r>
          </w:p>
          <w:p w14:paraId="0CA77943"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 xml:space="preserve">Lusterka boczne elektrycznie regulowane </w:t>
            </w:r>
          </w:p>
          <w:p w14:paraId="0FE3C21B"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Skrzynia biegów 6-biegowa</w:t>
            </w:r>
          </w:p>
          <w:p w14:paraId="2F9A3EB8"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 xml:space="preserve">Regulacja kolumny kierownicy </w:t>
            </w:r>
          </w:p>
          <w:p w14:paraId="4B64DDD1"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całkowite przeszklenie pojazdu</w:t>
            </w:r>
          </w:p>
          <w:p w14:paraId="779E6943"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lastRenderedPageBreak/>
              <w:t>•</w:t>
            </w:r>
            <w:r w:rsidRPr="00806D93">
              <w:rPr>
                <w:rFonts w:ascii="Calibri" w:hAnsi="Calibri" w:cs="Calibri"/>
                <w:sz w:val="24"/>
                <w:szCs w:val="24"/>
              </w:rPr>
              <w:tab/>
              <w:t>wycieraczki szyby przedniej z dwustopniową regulacją prędkości i spryskiwaczem</w:t>
            </w:r>
          </w:p>
          <w:p w14:paraId="133918B1"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tylne drzwi dwuskrzydłowe z szybami ogrzewanymi wycieraczkami i spryskiwaczem</w:t>
            </w:r>
          </w:p>
          <w:p w14:paraId="107500C4"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elektrycznie regulowane przednie szyby boczne</w:t>
            </w:r>
          </w:p>
          <w:p w14:paraId="73AB1719"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rolety okienne na szybach w przestrzeni pasażerskiej lub szyby przyciemniane</w:t>
            </w:r>
          </w:p>
          <w:p w14:paraId="05A20742"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tapicerka w przestrzeni pasażerskiej; wnęki okienne nie muszą być tapicerowane</w:t>
            </w:r>
          </w:p>
          <w:p w14:paraId="33FD151E"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fotel kierowcy z regulacją wysokości i podparciem odcinka lędźwiowego</w:t>
            </w:r>
          </w:p>
          <w:p w14:paraId="0F1FE4D6"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podwójne siedzenie pasażerskie  z przodu</w:t>
            </w:r>
          </w:p>
          <w:p w14:paraId="559A9D6A"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 xml:space="preserve">wyjmowany i składany drugi rząd siedzeń 2+1 miejscowe lub pojedyncze fotele z możliwością demontażu </w:t>
            </w:r>
          </w:p>
          <w:p w14:paraId="2795C3C6" w14:textId="77777777" w:rsidR="00806D93" w:rsidRPr="00806D93" w:rsidRDefault="00806D93" w:rsidP="00806D93">
            <w:pPr>
              <w:ind w:left="230" w:hanging="230"/>
              <w:rPr>
                <w:rFonts w:ascii="Calibri" w:hAnsi="Calibri" w:cs="Calibri"/>
                <w:color w:val="FF0000"/>
                <w:sz w:val="24"/>
                <w:szCs w:val="24"/>
              </w:rPr>
            </w:pPr>
            <w:r w:rsidRPr="00806D93">
              <w:rPr>
                <w:rFonts w:ascii="Calibri" w:hAnsi="Calibri" w:cs="Calibri"/>
                <w:sz w:val="24"/>
                <w:szCs w:val="24"/>
              </w:rPr>
              <w:t>•</w:t>
            </w:r>
            <w:r w:rsidRPr="00806D93">
              <w:rPr>
                <w:rFonts w:ascii="Calibri" w:hAnsi="Calibri" w:cs="Calibri"/>
                <w:sz w:val="24"/>
                <w:szCs w:val="24"/>
              </w:rPr>
              <w:tab/>
              <w:t xml:space="preserve">składany i wyjmowany 3 rząd siedzeń – 3 miejscowy (kanapa w całości) lub pojedyncze fotele z możliwością demontażu </w:t>
            </w:r>
            <w:r w:rsidRPr="00806D93">
              <w:rPr>
                <w:rFonts w:ascii="Calibri" w:hAnsi="Calibri" w:cs="Calibri"/>
                <w:color w:val="000000"/>
                <w:sz w:val="24"/>
                <w:szCs w:val="24"/>
              </w:rPr>
              <w:t>lub układ 2+1</w:t>
            </w:r>
          </w:p>
          <w:p w14:paraId="37845BB8"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głośniki w drzwiach kabiny kierowcy oraz w części pasażerskiej</w:t>
            </w:r>
          </w:p>
          <w:p w14:paraId="16AEF71C" w14:textId="77777777" w:rsidR="00723046"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radioodtwarzacz CD lub z wejściami USB</w:t>
            </w:r>
            <w:r w:rsidR="00723046">
              <w:rPr>
                <w:rFonts w:ascii="Calibri" w:hAnsi="Calibri" w:cs="Calibri"/>
                <w:sz w:val="24"/>
                <w:szCs w:val="24"/>
              </w:rPr>
              <w:t xml:space="preserve"> oraz </w:t>
            </w:r>
            <w:proofErr w:type="spellStart"/>
            <w:r w:rsidR="00723046" w:rsidRPr="00723046">
              <w:rPr>
                <w:rFonts w:ascii="Calibri" w:hAnsi="Calibri" w:cs="Calibri"/>
                <w:sz w:val="24"/>
                <w:szCs w:val="24"/>
              </w:rPr>
              <w:t>bluetooth</w:t>
            </w:r>
            <w:proofErr w:type="spellEnd"/>
            <w:r w:rsidR="00723046">
              <w:rPr>
                <w:rFonts w:ascii="Calibri" w:hAnsi="Calibri" w:cs="Calibri"/>
                <w:sz w:val="24"/>
                <w:szCs w:val="24"/>
              </w:rPr>
              <w:t xml:space="preserve"> </w:t>
            </w:r>
          </w:p>
          <w:p w14:paraId="6BBF850C" w14:textId="6A9D3DEC" w:rsidR="00806D93" w:rsidRDefault="00723046"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Pr>
                <w:rFonts w:ascii="Calibri" w:hAnsi="Calibri" w:cs="Calibri"/>
                <w:sz w:val="24"/>
                <w:szCs w:val="24"/>
              </w:rPr>
              <w:t>system audio z funkcją zestawu głośnomówiącego</w:t>
            </w:r>
          </w:p>
          <w:p w14:paraId="72E43259" w14:textId="2C1EF1AE" w:rsidR="00723046" w:rsidRDefault="00723046"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Pr>
                <w:rFonts w:ascii="Calibri" w:hAnsi="Calibri" w:cs="Calibri"/>
                <w:sz w:val="24"/>
                <w:szCs w:val="24"/>
              </w:rPr>
              <w:t>przednie i tylne czujniki parkowania</w:t>
            </w:r>
            <w:r w:rsidR="007E628D">
              <w:rPr>
                <w:rFonts w:ascii="Calibri" w:hAnsi="Calibri" w:cs="Calibri"/>
                <w:sz w:val="24"/>
                <w:szCs w:val="24"/>
              </w:rPr>
              <w:t xml:space="preserve">, </w:t>
            </w:r>
          </w:p>
          <w:p w14:paraId="0D92CD82" w14:textId="5B32D9FA" w:rsidR="00723046" w:rsidRPr="00806D93" w:rsidRDefault="00723046"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Pr>
                <w:rFonts w:ascii="Calibri" w:hAnsi="Calibri" w:cs="Calibri"/>
                <w:sz w:val="24"/>
                <w:szCs w:val="24"/>
              </w:rPr>
              <w:t>demontowany hak holowniczy,</w:t>
            </w:r>
          </w:p>
          <w:p w14:paraId="2D600A15" w14:textId="105350E6" w:rsidR="00806D93" w:rsidRPr="00806D93" w:rsidRDefault="00806D93" w:rsidP="00723046">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 xml:space="preserve">opony zimowe + </w:t>
            </w:r>
            <w:proofErr w:type="gramStart"/>
            <w:r w:rsidRPr="00806D93">
              <w:rPr>
                <w:rFonts w:ascii="Calibri" w:hAnsi="Calibri" w:cs="Calibri"/>
                <w:sz w:val="24"/>
                <w:szCs w:val="24"/>
              </w:rPr>
              <w:t>felgi :</w:t>
            </w:r>
            <w:proofErr w:type="gramEnd"/>
            <w:r w:rsidRPr="00806D93">
              <w:rPr>
                <w:rFonts w:ascii="Calibri" w:hAnsi="Calibri" w:cs="Calibri"/>
                <w:sz w:val="24"/>
                <w:szCs w:val="24"/>
              </w:rPr>
              <w:t xml:space="preserve"> 4 szt.</w:t>
            </w:r>
          </w:p>
          <w:p w14:paraId="586F90AF"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podnośnik</w:t>
            </w:r>
          </w:p>
          <w:p w14:paraId="4B0E673C" w14:textId="77777777"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pełnowymiarowe koło zapasowe</w:t>
            </w:r>
          </w:p>
          <w:p w14:paraId="029B4497"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  wykładzina łatwo zmywalna, antypoślizgowa</w:t>
            </w:r>
          </w:p>
        </w:tc>
      </w:tr>
      <w:tr w:rsidR="00806D93" w:rsidRPr="00806D93" w14:paraId="679B812F" w14:textId="77777777" w:rsidTr="00FA0B7C">
        <w:trPr>
          <w:trHeight w:val="3543"/>
        </w:trPr>
        <w:tc>
          <w:tcPr>
            <w:tcW w:w="1469" w:type="dxa"/>
          </w:tcPr>
          <w:p w14:paraId="1BB1F704"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lastRenderedPageBreak/>
              <w:t>4.</w:t>
            </w:r>
          </w:p>
        </w:tc>
        <w:tc>
          <w:tcPr>
            <w:tcW w:w="7995" w:type="dxa"/>
          </w:tcPr>
          <w:p w14:paraId="155E1D10"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Bezpieczeństwo</w:t>
            </w:r>
          </w:p>
          <w:p w14:paraId="568DA2A9"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fotele wyposażone w trzypunktowe pasy bezpieczeństwa</w:t>
            </w:r>
          </w:p>
          <w:p w14:paraId="12A621E9"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dodatkowe poręcze lub uchwyty umożliwiające bezpieczne wsiadanie i wysiadanie osób z pojazdu</w:t>
            </w:r>
          </w:p>
          <w:p w14:paraId="0A6FAC6F"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hamulce tarczowe wentylowane z przodu i z tyłu</w:t>
            </w:r>
          </w:p>
          <w:p w14:paraId="7936C80E"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system kontroli trakcji: układ ASR i ESP</w:t>
            </w:r>
          </w:p>
          <w:p w14:paraId="45A5C7F5"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niezależne zawieszenie przednie i tylne ze stabilizatorem</w:t>
            </w:r>
          </w:p>
          <w:p w14:paraId="03F4DA0C"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poduszka powietrzna kierowcy i pasażera oraz boczne poduszki</w:t>
            </w:r>
          </w:p>
          <w:p w14:paraId="635DC23E"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oznaczenie progów kolorami kontrastowymi</w:t>
            </w:r>
          </w:p>
          <w:p w14:paraId="1EF1B418"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stopień wejściowy boczny oświetlony</w:t>
            </w:r>
          </w:p>
          <w:p w14:paraId="3996C1F4" w14:textId="77777777" w:rsidR="00806D93" w:rsidRPr="00806D93" w:rsidRDefault="00806D93" w:rsidP="00806D93">
            <w:pPr>
              <w:numPr>
                <w:ilvl w:val="0"/>
                <w:numId w:val="45"/>
              </w:numPr>
              <w:ind w:left="269" w:hanging="269"/>
              <w:contextualSpacing/>
              <w:rPr>
                <w:rFonts w:ascii="Calibri" w:hAnsi="Calibri" w:cs="Calibri"/>
                <w:sz w:val="24"/>
                <w:szCs w:val="24"/>
              </w:rPr>
            </w:pPr>
            <w:r w:rsidRPr="00806D93">
              <w:rPr>
                <w:rFonts w:ascii="Calibri" w:hAnsi="Calibri" w:cs="Calibri"/>
                <w:sz w:val="24"/>
                <w:szCs w:val="24"/>
              </w:rPr>
              <w:t>oświetlenie w podsufitce + gniazdo 12V w kabinie</w:t>
            </w:r>
          </w:p>
        </w:tc>
      </w:tr>
      <w:tr w:rsidR="00806D93" w:rsidRPr="00806D93" w14:paraId="2C2F2649" w14:textId="77777777" w:rsidTr="00FA0B7C">
        <w:trPr>
          <w:trHeight w:val="3221"/>
        </w:trPr>
        <w:tc>
          <w:tcPr>
            <w:tcW w:w="1469" w:type="dxa"/>
          </w:tcPr>
          <w:p w14:paraId="53B7D638"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5.</w:t>
            </w:r>
          </w:p>
        </w:tc>
        <w:tc>
          <w:tcPr>
            <w:tcW w:w="7995" w:type="dxa"/>
          </w:tcPr>
          <w:p w14:paraId="4EA1FCA2"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Zabudowa umożliwiająca przewóz osób niepełnosprawnych</w:t>
            </w:r>
          </w:p>
          <w:p w14:paraId="3765A7F9" w14:textId="77777777" w:rsidR="00806D93" w:rsidRPr="00806D93" w:rsidRDefault="00806D93" w:rsidP="00806D93">
            <w:pPr>
              <w:numPr>
                <w:ilvl w:val="0"/>
                <w:numId w:val="46"/>
              </w:numPr>
              <w:ind w:left="269" w:hanging="269"/>
              <w:contextualSpacing/>
              <w:rPr>
                <w:rFonts w:ascii="Calibri" w:hAnsi="Calibri" w:cs="Calibri"/>
                <w:bCs/>
                <w:sz w:val="24"/>
                <w:szCs w:val="24"/>
              </w:rPr>
            </w:pPr>
            <w:r w:rsidRPr="00806D93">
              <w:rPr>
                <w:rFonts w:ascii="Calibri" w:hAnsi="Calibri" w:cs="Calibri"/>
                <w:sz w:val="24"/>
                <w:szCs w:val="24"/>
              </w:rPr>
              <w:t>atestowane mocowanie do jednego wózka inwalidzkiego- 2 listwy montowane w podłodze lub system grzybkowy, górny punkt mocowania pasa bezpieczeństwa, komplet pasów do mocowania wózka do szyn, pasy zabezpieczające osobę niepełnosprawną poruszającą się na wózku inwalidzkim w tym biodrowy pas dla osoby na wózku – zgodne z normą ISO 10542-2</w:t>
            </w:r>
          </w:p>
          <w:p w14:paraId="51E9BC1F" w14:textId="77777777" w:rsidR="00806D93" w:rsidRPr="00806D93" w:rsidRDefault="00806D93" w:rsidP="00806D93">
            <w:pPr>
              <w:numPr>
                <w:ilvl w:val="0"/>
                <w:numId w:val="46"/>
              </w:numPr>
              <w:ind w:left="269" w:hanging="269"/>
              <w:contextualSpacing/>
              <w:rPr>
                <w:rFonts w:ascii="Calibri" w:hAnsi="Calibri" w:cs="Calibri"/>
                <w:sz w:val="24"/>
                <w:szCs w:val="24"/>
              </w:rPr>
            </w:pPr>
            <w:r w:rsidRPr="00806D93">
              <w:rPr>
                <w:rFonts w:ascii="Calibri" w:hAnsi="Calibri" w:cs="Calibri"/>
                <w:sz w:val="24"/>
                <w:szCs w:val="24"/>
              </w:rPr>
              <w:t>pół podłogi ze sklejki wodoodpornej pokrytej wykładziną PCV i wzmocnienie pod montaż wózka inwalidzkiego</w:t>
            </w:r>
          </w:p>
          <w:p w14:paraId="0EE2C1BD" w14:textId="77777777" w:rsidR="00806D93" w:rsidRPr="00806D93" w:rsidRDefault="00806D93" w:rsidP="00806D93">
            <w:pPr>
              <w:numPr>
                <w:ilvl w:val="0"/>
                <w:numId w:val="46"/>
              </w:numPr>
              <w:ind w:left="269" w:hanging="269"/>
              <w:contextualSpacing/>
              <w:rPr>
                <w:rFonts w:ascii="Calibri" w:hAnsi="Calibri" w:cs="Calibri"/>
                <w:sz w:val="24"/>
                <w:szCs w:val="24"/>
              </w:rPr>
            </w:pPr>
            <w:r w:rsidRPr="00806D93">
              <w:rPr>
                <w:rFonts w:ascii="Calibri" w:hAnsi="Calibri" w:cs="Calibri"/>
                <w:sz w:val="24"/>
                <w:szCs w:val="24"/>
              </w:rPr>
              <w:t>instalacja najazdu dla wózka inwalidzkiego, najazdy teleskopowe, aluminiowe z powłoką antypoślizgową umożliwiające wprowadzenie wózka do pojazdu</w:t>
            </w:r>
          </w:p>
        </w:tc>
      </w:tr>
      <w:tr w:rsidR="00806D93" w:rsidRPr="00806D93" w14:paraId="2AEA6BCD" w14:textId="77777777" w:rsidTr="00FA0B7C">
        <w:trPr>
          <w:trHeight w:val="601"/>
        </w:trPr>
        <w:tc>
          <w:tcPr>
            <w:tcW w:w="1469" w:type="dxa"/>
          </w:tcPr>
          <w:p w14:paraId="27DC81F5"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6.</w:t>
            </w:r>
          </w:p>
        </w:tc>
        <w:tc>
          <w:tcPr>
            <w:tcW w:w="7995" w:type="dxa"/>
          </w:tcPr>
          <w:p w14:paraId="517259C3" w14:textId="57375D8B" w:rsidR="00806D93" w:rsidRPr="00806D93" w:rsidRDefault="00806D93" w:rsidP="00806D93">
            <w:pPr>
              <w:rPr>
                <w:rFonts w:ascii="Calibri" w:hAnsi="Calibri" w:cs="Calibri"/>
                <w:sz w:val="24"/>
                <w:szCs w:val="24"/>
              </w:rPr>
            </w:pPr>
            <w:r w:rsidRPr="00806D93">
              <w:rPr>
                <w:rFonts w:ascii="Calibri" w:hAnsi="Calibri" w:cs="Calibri"/>
                <w:sz w:val="24"/>
                <w:szCs w:val="24"/>
              </w:rPr>
              <w:t>Oznakowanie pojazdu z przodu i z tyłu z symbolem: pojazd dla osób niepełnosprawnych, kierunkowskazy dachowe</w:t>
            </w:r>
          </w:p>
        </w:tc>
      </w:tr>
      <w:tr w:rsidR="004B0C6F" w:rsidRPr="00806D93" w14:paraId="438D6C7E" w14:textId="77777777" w:rsidTr="00FA0B7C">
        <w:trPr>
          <w:trHeight w:val="601"/>
        </w:trPr>
        <w:tc>
          <w:tcPr>
            <w:tcW w:w="1469" w:type="dxa"/>
          </w:tcPr>
          <w:p w14:paraId="47CBB5E4" w14:textId="3278109B" w:rsidR="004B0C6F" w:rsidRPr="00806D93" w:rsidRDefault="004B0C6F" w:rsidP="00806D93">
            <w:pPr>
              <w:rPr>
                <w:rFonts w:ascii="Calibri" w:hAnsi="Calibri" w:cs="Calibri"/>
                <w:sz w:val="24"/>
                <w:szCs w:val="24"/>
              </w:rPr>
            </w:pPr>
            <w:r>
              <w:rPr>
                <w:rFonts w:ascii="Calibri" w:hAnsi="Calibri" w:cs="Calibri"/>
                <w:sz w:val="24"/>
                <w:szCs w:val="24"/>
              </w:rPr>
              <w:t>7.</w:t>
            </w:r>
          </w:p>
        </w:tc>
        <w:tc>
          <w:tcPr>
            <w:tcW w:w="7995" w:type="dxa"/>
          </w:tcPr>
          <w:p w14:paraId="66017ECD" w14:textId="488F1157" w:rsidR="004B0C6F" w:rsidRPr="004B0C6F" w:rsidRDefault="004B0C6F" w:rsidP="004B0C6F">
            <w:pPr>
              <w:rPr>
                <w:rFonts w:ascii="Calibri" w:hAnsi="Calibri" w:cs="Calibri"/>
                <w:sz w:val="24"/>
                <w:szCs w:val="24"/>
              </w:rPr>
            </w:pPr>
            <w:r>
              <w:rPr>
                <w:rFonts w:ascii="Calibri" w:hAnsi="Calibri" w:cs="Calibri"/>
                <w:sz w:val="24"/>
                <w:szCs w:val="24"/>
              </w:rPr>
              <w:t>W</w:t>
            </w:r>
            <w:r w:rsidRPr="004B0C6F">
              <w:rPr>
                <w:rFonts w:ascii="Calibri" w:hAnsi="Calibri" w:cs="Calibri"/>
                <w:sz w:val="24"/>
                <w:szCs w:val="24"/>
              </w:rPr>
              <w:t>ymagany okres gwarancji jakości:</w:t>
            </w:r>
          </w:p>
          <w:p w14:paraId="626A6D97" w14:textId="77777777" w:rsidR="004B0C6F" w:rsidRPr="004B0C6F" w:rsidRDefault="004B0C6F" w:rsidP="004B0C6F">
            <w:pPr>
              <w:rPr>
                <w:rFonts w:ascii="Calibri" w:hAnsi="Calibri" w:cs="Calibri"/>
                <w:sz w:val="24"/>
                <w:szCs w:val="24"/>
              </w:rPr>
            </w:pPr>
            <w:r w:rsidRPr="004B0C6F">
              <w:rPr>
                <w:rFonts w:ascii="Calibri" w:hAnsi="Calibri" w:cs="Calibri"/>
                <w:sz w:val="24"/>
                <w:szCs w:val="24"/>
              </w:rPr>
              <w:t xml:space="preserve">a) Minimum 24 miesięcy bez limitu kilometrów na silnik i wszystkie podzespoły samochodu (mechaniczne/elektryczne/elektroniczne) bez </w:t>
            </w:r>
            <w:proofErr w:type="spellStart"/>
            <w:r w:rsidRPr="004B0C6F">
              <w:rPr>
                <w:rFonts w:ascii="Calibri" w:hAnsi="Calibri" w:cs="Calibri"/>
                <w:sz w:val="24"/>
                <w:szCs w:val="24"/>
              </w:rPr>
              <w:t>wyłączeń</w:t>
            </w:r>
            <w:proofErr w:type="spellEnd"/>
            <w:r w:rsidRPr="004B0C6F">
              <w:rPr>
                <w:rFonts w:ascii="Calibri" w:hAnsi="Calibri" w:cs="Calibri"/>
                <w:sz w:val="24"/>
                <w:szCs w:val="24"/>
              </w:rPr>
              <w:t xml:space="preserve"> – obejmująca funkcjonowanie samochodu, wady materiałowe i fabryczne; wydłużenie okresu gwarancji w tej kategorii jest kryterium wyboru wykonawcy, </w:t>
            </w:r>
          </w:p>
          <w:p w14:paraId="27FB2202" w14:textId="27EB0DD5" w:rsidR="004B0C6F" w:rsidRPr="004B0C6F" w:rsidRDefault="004B0C6F" w:rsidP="004B0C6F">
            <w:pPr>
              <w:rPr>
                <w:rFonts w:ascii="Calibri" w:hAnsi="Calibri" w:cs="Calibri"/>
                <w:sz w:val="24"/>
                <w:szCs w:val="24"/>
              </w:rPr>
            </w:pPr>
            <w:r w:rsidRPr="004B0C6F">
              <w:rPr>
                <w:rFonts w:ascii="Calibri" w:hAnsi="Calibri" w:cs="Calibri"/>
                <w:sz w:val="24"/>
                <w:szCs w:val="24"/>
              </w:rPr>
              <w:t xml:space="preserve">b) Minimum </w:t>
            </w:r>
            <w:r w:rsidR="00620B5A">
              <w:rPr>
                <w:rFonts w:ascii="Calibri" w:hAnsi="Calibri" w:cs="Calibri"/>
                <w:sz w:val="24"/>
                <w:szCs w:val="24"/>
              </w:rPr>
              <w:t>48</w:t>
            </w:r>
            <w:r w:rsidRPr="004B0C6F">
              <w:rPr>
                <w:rFonts w:ascii="Calibri" w:hAnsi="Calibri" w:cs="Calibri"/>
                <w:sz w:val="24"/>
                <w:szCs w:val="24"/>
              </w:rPr>
              <w:t xml:space="preserve"> miesięcy na perforację nadwozia;</w:t>
            </w:r>
          </w:p>
          <w:p w14:paraId="6D0DC00C" w14:textId="68546CA2" w:rsidR="004B0C6F" w:rsidRPr="00806D93" w:rsidRDefault="004B0C6F" w:rsidP="004B0C6F">
            <w:pPr>
              <w:rPr>
                <w:rFonts w:ascii="Calibri" w:hAnsi="Calibri" w:cs="Calibri"/>
                <w:sz w:val="24"/>
                <w:szCs w:val="24"/>
              </w:rPr>
            </w:pPr>
            <w:r w:rsidRPr="004B0C6F">
              <w:rPr>
                <w:rFonts w:ascii="Calibri" w:hAnsi="Calibri" w:cs="Calibri"/>
                <w:sz w:val="24"/>
                <w:szCs w:val="24"/>
              </w:rPr>
              <w:t>c) Minimum 24 miesiące na brak usterek lakierniczych</w:t>
            </w:r>
          </w:p>
        </w:tc>
      </w:tr>
    </w:tbl>
    <w:p w14:paraId="7E3668C4" w14:textId="77777777" w:rsidR="00806D93" w:rsidRPr="00806D93" w:rsidRDefault="00806D93" w:rsidP="00806D93">
      <w:pPr>
        <w:spacing w:before="0" w:after="160" w:line="259" w:lineRule="auto"/>
        <w:rPr>
          <w:rFonts w:ascii="Calibri" w:eastAsia="Calibri" w:hAnsi="Calibri" w:cs="Calibri"/>
          <w:sz w:val="24"/>
          <w:szCs w:val="24"/>
          <w:lang w:eastAsia="en-US"/>
        </w:rPr>
      </w:pPr>
    </w:p>
    <w:p w14:paraId="49DF1EC7" w14:textId="77777777" w:rsidR="002652FB" w:rsidRPr="002A154E" w:rsidRDefault="002652FB" w:rsidP="002A154E">
      <w:pPr>
        <w:spacing w:before="0" w:after="120" w:line="360" w:lineRule="auto"/>
        <w:rPr>
          <w:rFonts w:ascii="Calibri" w:hAnsi="Calibri" w:cs="Calibri"/>
          <w:b/>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10148" w14:textId="77777777" w:rsidR="00BA3D69" w:rsidRDefault="00BA3D69">
      <w:r>
        <w:separator/>
      </w:r>
    </w:p>
  </w:endnote>
  <w:endnote w:type="continuationSeparator" w:id="0">
    <w:p w14:paraId="35D3B36F" w14:textId="77777777" w:rsidR="00BA3D69" w:rsidRDefault="00BA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6723A1DC"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E130C" w14:textId="77777777" w:rsidR="00BA3D69" w:rsidRDefault="00BA3D69">
      <w:r>
        <w:separator/>
      </w:r>
    </w:p>
  </w:footnote>
  <w:footnote w:type="continuationSeparator" w:id="0">
    <w:p w14:paraId="51A91091" w14:textId="77777777" w:rsidR="00BA3D69" w:rsidRDefault="00BA3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AA300B"/>
    <w:multiLevelType w:val="hybridMultilevel"/>
    <w:tmpl w:val="B91E2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EBF1107"/>
    <w:multiLevelType w:val="hybridMultilevel"/>
    <w:tmpl w:val="F77CE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D25D1"/>
    <w:multiLevelType w:val="hybridMultilevel"/>
    <w:tmpl w:val="5B2E8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41"/>
  </w:num>
  <w:num w:numId="2" w16cid:durableId="344789643">
    <w:abstractNumId w:val="21"/>
  </w:num>
  <w:num w:numId="3" w16cid:durableId="7745955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6"/>
  </w:num>
  <w:num w:numId="13" w16cid:durableId="731000719">
    <w:abstractNumId w:val="40"/>
  </w:num>
  <w:num w:numId="14" w16cid:durableId="1345591627">
    <w:abstractNumId w:val="23"/>
  </w:num>
  <w:num w:numId="15" w16cid:durableId="274488990">
    <w:abstractNumId w:val="3"/>
  </w:num>
  <w:num w:numId="16" w16cid:durableId="1888561118">
    <w:abstractNumId w:val="24"/>
  </w:num>
  <w:num w:numId="17" w16cid:durableId="1943493714">
    <w:abstractNumId w:val="7"/>
  </w:num>
  <w:num w:numId="18" w16cid:durableId="1412045509">
    <w:abstractNumId w:val="13"/>
  </w:num>
  <w:num w:numId="19" w16cid:durableId="1214924123">
    <w:abstractNumId w:val="15"/>
  </w:num>
  <w:num w:numId="20" w16cid:durableId="2034067154">
    <w:abstractNumId w:val="37"/>
  </w:num>
  <w:num w:numId="21" w16cid:durableId="814299340">
    <w:abstractNumId w:val="43"/>
  </w:num>
  <w:num w:numId="22" w16cid:durableId="1052385393">
    <w:abstractNumId w:val="4"/>
  </w:num>
  <w:num w:numId="23" w16cid:durableId="473763931">
    <w:abstractNumId w:val="39"/>
  </w:num>
  <w:num w:numId="24" w16cid:durableId="1255550779">
    <w:abstractNumId w:val="20"/>
  </w:num>
  <w:num w:numId="25" w16cid:durableId="429200006">
    <w:abstractNumId w:val="26"/>
  </w:num>
  <w:num w:numId="26" w16cid:durableId="1862206162">
    <w:abstractNumId w:val="8"/>
  </w:num>
  <w:num w:numId="27" w16cid:durableId="2100174829">
    <w:abstractNumId w:val="33"/>
  </w:num>
  <w:num w:numId="28" w16cid:durableId="1466699049">
    <w:abstractNumId w:val="28"/>
  </w:num>
  <w:num w:numId="29" w16cid:durableId="1734281127">
    <w:abstractNumId w:val="35"/>
  </w:num>
  <w:num w:numId="30" w16cid:durableId="1877692659">
    <w:abstractNumId w:val="42"/>
  </w:num>
  <w:num w:numId="31" w16cid:durableId="1243873490">
    <w:abstractNumId w:val="1"/>
  </w:num>
  <w:num w:numId="32" w16cid:durableId="882792167">
    <w:abstractNumId w:val="31"/>
  </w:num>
  <w:num w:numId="33" w16cid:durableId="1452899632">
    <w:abstractNumId w:val="14"/>
  </w:num>
  <w:num w:numId="34" w16cid:durableId="1815877503">
    <w:abstractNumId w:val="34"/>
  </w:num>
  <w:num w:numId="35" w16cid:durableId="1041245892">
    <w:abstractNumId w:val="6"/>
  </w:num>
  <w:num w:numId="36" w16cid:durableId="1781218508">
    <w:abstractNumId w:val="10"/>
  </w:num>
  <w:num w:numId="37" w16cid:durableId="1940215666">
    <w:abstractNumId w:val="5"/>
  </w:num>
  <w:num w:numId="38" w16cid:durableId="667026047">
    <w:abstractNumId w:val="44"/>
  </w:num>
  <w:num w:numId="39" w16cid:durableId="232081688">
    <w:abstractNumId w:val="27"/>
  </w:num>
  <w:num w:numId="40" w16cid:durableId="697049809">
    <w:abstractNumId w:val="2"/>
  </w:num>
  <w:num w:numId="41" w16cid:durableId="195389725">
    <w:abstractNumId w:val="9"/>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30"/>
  </w:num>
  <w:num w:numId="44" w16cid:durableId="14519716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0532698">
    <w:abstractNumId w:val="11"/>
  </w:num>
  <w:num w:numId="46" w16cid:durableId="643857775">
    <w:abstractNumId w:val="29"/>
  </w:num>
  <w:num w:numId="47" w16cid:durableId="13218666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41CAD"/>
    <w:rsid w:val="000538AF"/>
    <w:rsid w:val="00063322"/>
    <w:rsid w:val="00064B3C"/>
    <w:rsid w:val="000752F5"/>
    <w:rsid w:val="0008772D"/>
    <w:rsid w:val="000A3613"/>
    <w:rsid w:val="000B0B91"/>
    <w:rsid w:val="000C6672"/>
    <w:rsid w:val="000D35A0"/>
    <w:rsid w:val="000F0DDE"/>
    <w:rsid w:val="00103CA7"/>
    <w:rsid w:val="00105D29"/>
    <w:rsid w:val="00121E5E"/>
    <w:rsid w:val="001257BA"/>
    <w:rsid w:val="001442E1"/>
    <w:rsid w:val="00147740"/>
    <w:rsid w:val="0015668E"/>
    <w:rsid w:val="00174104"/>
    <w:rsid w:val="00177DB9"/>
    <w:rsid w:val="001809AF"/>
    <w:rsid w:val="001900C5"/>
    <w:rsid w:val="00193968"/>
    <w:rsid w:val="001B6997"/>
    <w:rsid w:val="001B69B9"/>
    <w:rsid w:val="001D33BB"/>
    <w:rsid w:val="001E707D"/>
    <w:rsid w:val="001F0183"/>
    <w:rsid w:val="001F185D"/>
    <w:rsid w:val="001F649B"/>
    <w:rsid w:val="001F7CAE"/>
    <w:rsid w:val="0021575B"/>
    <w:rsid w:val="002164AD"/>
    <w:rsid w:val="002178FD"/>
    <w:rsid w:val="0022631A"/>
    <w:rsid w:val="00231DBE"/>
    <w:rsid w:val="00233550"/>
    <w:rsid w:val="00236E3F"/>
    <w:rsid w:val="00262B78"/>
    <w:rsid w:val="002652FB"/>
    <w:rsid w:val="002936D5"/>
    <w:rsid w:val="002A00C4"/>
    <w:rsid w:val="002A154E"/>
    <w:rsid w:val="002B1642"/>
    <w:rsid w:val="002C2E8F"/>
    <w:rsid w:val="002D20AF"/>
    <w:rsid w:val="002E7442"/>
    <w:rsid w:val="002F5ACF"/>
    <w:rsid w:val="00301C47"/>
    <w:rsid w:val="0030281F"/>
    <w:rsid w:val="00303124"/>
    <w:rsid w:val="003121FB"/>
    <w:rsid w:val="00313336"/>
    <w:rsid w:val="003151C7"/>
    <w:rsid w:val="00323A14"/>
    <w:rsid w:val="00334A61"/>
    <w:rsid w:val="003351C8"/>
    <w:rsid w:val="00341626"/>
    <w:rsid w:val="00354BDD"/>
    <w:rsid w:val="00356789"/>
    <w:rsid w:val="00370B7D"/>
    <w:rsid w:val="00372EA6"/>
    <w:rsid w:val="0037698D"/>
    <w:rsid w:val="00392657"/>
    <w:rsid w:val="003A0E93"/>
    <w:rsid w:val="003A4D56"/>
    <w:rsid w:val="003B68CA"/>
    <w:rsid w:val="003C589C"/>
    <w:rsid w:val="003D2FBE"/>
    <w:rsid w:val="003D6262"/>
    <w:rsid w:val="003E2129"/>
    <w:rsid w:val="003E3D4E"/>
    <w:rsid w:val="003E59AC"/>
    <w:rsid w:val="003F7E36"/>
    <w:rsid w:val="0040227D"/>
    <w:rsid w:val="004065CC"/>
    <w:rsid w:val="00410F45"/>
    <w:rsid w:val="004153DC"/>
    <w:rsid w:val="00416094"/>
    <w:rsid w:val="00416EC6"/>
    <w:rsid w:val="00421ED4"/>
    <w:rsid w:val="00441829"/>
    <w:rsid w:val="00445FA8"/>
    <w:rsid w:val="00451DDB"/>
    <w:rsid w:val="00456521"/>
    <w:rsid w:val="00460883"/>
    <w:rsid w:val="0046312E"/>
    <w:rsid w:val="004704A8"/>
    <w:rsid w:val="004755C7"/>
    <w:rsid w:val="00480D7C"/>
    <w:rsid w:val="00494BDF"/>
    <w:rsid w:val="00495C2A"/>
    <w:rsid w:val="004A78B0"/>
    <w:rsid w:val="004B0C6F"/>
    <w:rsid w:val="004C0C31"/>
    <w:rsid w:val="004C2DF3"/>
    <w:rsid w:val="004C4520"/>
    <w:rsid w:val="004D3CBE"/>
    <w:rsid w:val="004F044B"/>
    <w:rsid w:val="0050116F"/>
    <w:rsid w:val="00533C69"/>
    <w:rsid w:val="00547424"/>
    <w:rsid w:val="0056713D"/>
    <w:rsid w:val="00571D2F"/>
    <w:rsid w:val="00574510"/>
    <w:rsid w:val="00574FD1"/>
    <w:rsid w:val="00585C26"/>
    <w:rsid w:val="005A232E"/>
    <w:rsid w:val="005A4DD0"/>
    <w:rsid w:val="005B29A0"/>
    <w:rsid w:val="005C14DE"/>
    <w:rsid w:val="005C2977"/>
    <w:rsid w:val="005C62A0"/>
    <w:rsid w:val="005F3600"/>
    <w:rsid w:val="005F72D3"/>
    <w:rsid w:val="00600BD3"/>
    <w:rsid w:val="00620B5A"/>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E719E"/>
    <w:rsid w:val="006E7B9A"/>
    <w:rsid w:val="006F0F36"/>
    <w:rsid w:val="006F22BF"/>
    <w:rsid w:val="006F2899"/>
    <w:rsid w:val="00723046"/>
    <w:rsid w:val="0078472D"/>
    <w:rsid w:val="00791DD7"/>
    <w:rsid w:val="00792B53"/>
    <w:rsid w:val="007A5EE0"/>
    <w:rsid w:val="007A7D52"/>
    <w:rsid w:val="007E5EEC"/>
    <w:rsid w:val="007E628D"/>
    <w:rsid w:val="007F745E"/>
    <w:rsid w:val="00806D93"/>
    <w:rsid w:val="008177BF"/>
    <w:rsid w:val="00825EEA"/>
    <w:rsid w:val="008350D3"/>
    <w:rsid w:val="0087299F"/>
    <w:rsid w:val="00880C87"/>
    <w:rsid w:val="008845C5"/>
    <w:rsid w:val="0088559D"/>
    <w:rsid w:val="00887339"/>
    <w:rsid w:val="008931FF"/>
    <w:rsid w:val="00896A5B"/>
    <w:rsid w:val="008A2F3C"/>
    <w:rsid w:val="008B0453"/>
    <w:rsid w:val="008B1F7A"/>
    <w:rsid w:val="008C7C98"/>
    <w:rsid w:val="008E5D29"/>
    <w:rsid w:val="008F0A04"/>
    <w:rsid w:val="00900B4B"/>
    <w:rsid w:val="00904F5F"/>
    <w:rsid w:val="00912DA3"/>
    <w:rsid w:val="00920CDC"/>
    <w:rsid w:val="0093089C"/>
    <w:rsid w:val="009310C0"/>
    <w:rsid w:val="00932566"/>
    <w:rsid w:val="00941D97"/>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71BA3"/>
    <w:rsid w:val="00A932CA"/>
    <w:rsid w:val="00AA090C"/>
    <w:rsid w:val="00AB238F"/>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5F53"/>
    <w:rsid w:val="00B813B3"/>
    <w:rsid w:val="00B907D1"/>
    <w:rsid w:val="00B954DF"/>
    <w:rsid w:val="00BA0CD0"/>
    <w:rsid w:val="00BA3D69"/>
    <w:rsid w:val="00BB21CA"/>
    <w:rsid w:val="00BB713A"/>
    <w:rsid w:val="00BC127E"/>
    <w:rsid w:val="00BC4585"/>
    <w:rsid w:val="00BC48F3"/>
    <w:rsid w:val="00BE25E4"/>
    <w:rsid w:val="00BE4CAE"/>
    <w:rsid w:val="00BE6430"/>
    <w:rsid w:val="00BF21CE"/>
    <w:rsid w:val="00BF289D"/>
    <w:rsid w:val="00BF576D"/>
    <w:rsid w:val="00BF7DE0"/>
    <w:rsid w:val="00C01C59"/>
    <w:rsid w:val="00C02D46"/>
    <w:rsid w:val="00C067D1"/>
    <w:rsid w:val="00C27C36"/>
    <w:rsid w:val="00C4368D"/>
    <w:rsid w:val="00C509A9"/>
    <w:rsid w:val="00C530DA"/>
    <w:rsid w:val="00C5312D"/>
    <w:rsid w:val="00C61376"/>
    <w:rsid w:val="00C72A1F"/>
    <w:rsid w:val="00C73206"/>
    <w:rsid w:val="00C75B9D"/>
    <w:rsid w:val="00C775FF"/>
    <w:rsid w:val="00C86074"/>
    <w:rsid w:val="00C918E7"/>
    <w:rsid w:val="00CA208C"/>
    <w:rsid w:val="00CA20AC"/>
    <w:rsid w:val="00CB4B12"/>
    <w:rsid w:val="00CB4C2D"/>
    <w:rsid w:val="00CE1391"/>
    <w:rsid w:val="00D11F4D"/>
    <w:rsid w:val="00D17A9D"/>
    <w:rsid w:val="00D253A3"/>
    <w:rsid w:val="00D32403"/>
    <w:rsid w:val="00D334A4"/>
    <w:rsid w:val="00D400D2"/>
    <w:rsid w:val="00D41207"/>
    <w:rsid w:val="00D508FD"/>
    <w:rsid w:val="00D56023"/>
    <w:rsid w:val="00D66EE7"/>
    <w:rsid w:val="00D82CB9"/>
    <w:rsid w:val="00D931EE"/>
    <w:rsid w:val="00D93401"/>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1681"/>
    <w:rsid w:val="00F0771D"/>
    <w:rsid w:val="00F0775C"/>
    <w:rsid w:val="00F12EBE"/>
    <w:rsid w:val="00F20AC3"/>
    <w:rsid w:val="00F212DE"/>
    <w:rsid w:val="00F241DE"/>
    <w:rsid w:val="00F321D8"/>
    <w:rsid w:val="00F32BF6"/>
    <w:rsid w:val="00F36098"/>
    <w:rsid w:val="00F46C38"/>
    <w:rsid w:val="00F46E46"/>
    <w:rsid w:val="00F5239B"/>
    <w:rsid w:val="00F54A99"/>
    <w:rsid w:val="00F57C0D"/>
    <w:rsid w:val="00F64334"/>
    <w:rsid w:val="00F818D0"/>
    <w:rsid w:val="00F87FC0"/>
    <w:rsid w:val="00FA6742"/>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table" w:customStyle="1" w:styleId="Tabela-Siatka1">
    <w:name w:val="Tabela - Siatka1"/>
    <w:basedOn w:val="Standardowy"/>
    <w:next w:val="Tabela-Siatka"/>
    <w:uiPriority w:val="39"/>
    <w:rsid w:val="00806D93"/>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104</TotalTime>
  <Pages>3</Pages>
  <Words>556</Words>
  <Characters>3341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11</cp:revision>
  <cp:lastPrinted>2020-06-22T06:21:00Z</cp:lastPrinted>
  <dcterms:created xsi:type="dcterms:W3CDTF">2023-03-31T11:54:00Z</dcterms:created>
  <dcterms:modified xsi:type="dcterms:W3CDTF">2024-10-15T08:29:00Z</dcterms:modified>
</cp:coreProperties>
</file>