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132D56C1" w:rsidR="005B5871" w:rsidRPr="00E054BA" w:rsidRDefault="00E81D74" w:rsidP="00B859DB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52582829"/>
            <w:r w:rsidR="00602CC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sprzętu multimedialnego</w:t>
            </w:r>
            <w:r w:rsidR="006362C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– odtwarzaczy Blu-Ray oraz systemu mikrofonów bezprzewodowych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4B8AB46C" w14:textId="68382223" w:rsidR="005B5871" w:rsidRPr="00602CCD" w:rsidRDefault="005B5871" w:rsidP="00602CCD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6362C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77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61D24DD9" w14:textId="5C015E43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0124C6" w14:textId="77777777" w:rsidR="008603CF" w:rsidRDefault="008603CF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4E02E3" w14:textId="74E9AAFE" w:rsidR="008603CF" w:rsidRDefault="008603CF" w:rsidP="008603CF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</w:p>
    <w:p w14:paraId="7ED196CD" w14:textId="77777777" w:rsidR="008603CF" w:rsidRDefault="008603CF" w:rsidP="008603CF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0887274" w14:textId="634379EB" w:rsidR="008603CF" w:rsidRDefault="008603CF" w:rsidP="008603CF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EA92681" w14:textId="2A36FF8D" w:rsidR="006362CB" w:rsidRDefault="006362CB" w:rsidP="008603CF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AF69227" w14:textId="77777777" w:rsidR="006362CB" w:rsidRDefault="006362CB" w:rsidP="008603CF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95F41F8" w14:textId="77777777" w:rsidR="00B73FB2" w:rsidRDefault="00C45E70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</w:t>
      </w:r>
    </w:p>
    <w:p w14:paraId="6A1B59E3" w14:textId="77777777" w:rsidR="00B73FB2" w:rsidRDefault="00B73FB2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BC77F0" w14:textId="77777777" w:rsidR="00B73FB2" w:rsidRDefault="00B73FB2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C29EA8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9A5CAA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2FE9C91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7E4A82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A0319C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0D3E77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D6B6AB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E609BA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DDBDA14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51C9400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1DB9ABE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FEB27F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5F6728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9799A3F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362E3F3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59A64EF" w14:textId="77777777" w:rsidR="00B73FB2" w:rsidRDefault="00B73FB2" w:rsidP="00B73FB2">
      <w:pPr>
        <w:spacing w:before="40" w:after="40" w:line="240" w:lineRule="auto"/>
        <w:ind w:left="142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32A84E" w14:textId="289F1091" w:rsidR="004C1290" w:rsidRPr="00B73FB2" w:rsidRDefault="00501F30" w:rsidP="00B73FB2">
      <w:pPr>
        <w:ind w:left="142" w:firstLine="5103"/>
        <w:jc w:val="left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  <w:r w:rsidR="00B73FB2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</w:t>
      </w:r>
      <w:r w:rsidR="004C1290" w:rsidRPr="00B73FB2">
        <w:rPr>
          <w:rFonts w:eastAsia="Calibri" w:cs="Arial"/>
          <w:color w:val="222A35" w:themeColor="text2" w:themeShade="80"/>
          <w:szCs w:val="20"/>
          <w:lang w:eastAsia="pl-PL"/>
        </w:rPr>
        <w:t>Zatwierdzam:</w:t>
      </w:r>
    </w:p>
    <w:p w14:paraId="2DF0547F" w14:textId="0A008947" w:rsidR="00B73FB2" w:rsidRDefault="00B73FB2" w:rsidP="00B73FB2">
      <w:pPr>
        <w:ind w:left="5670" w:hanging="426"/>
        <w:jc w:val="left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         Z-ca Kanclerza ds. Inwestycji  i </w:t>
      </w:r>
    </w:p>
    <w:p w14:paraId="1DB32482" w14:textId="34D36C59" w:rsidR="006362CB" w:rsidRDefault="00B73FB2" w:rsidP="00B73FB2">
      <w:pPr>
        <w:ind w:left="5670" w:hanging="426"/>
        <w:jc w:val="left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Zarzadzania Logistycznego – mgr Agnieszka Maj</w:t>
      </w:r>
    </w:p>
    <w:p w14:paraId="2BE20553" w14:textId="77777777" w:rsidR="006362CB" w:rsidRDefault="006362CB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28A86E3" w14:textId="77777777" w:rsidR="00B73FB2" w:rsidRDefault="00B73FB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2765A016" w:rsidR="00F85C46" w:rsidRDefault="006362CB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sierpień</w:t>
      </w:r>
      <w:r w:rsidR="00B859D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235BF8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00BB3BDF" w14:textId="77777777" w:rsidR="00B73FB2" w:rsidRPr="00E054BA" w:rsidRDefault="00B73FB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45CB2D2" w14:textId="77777777" w:rsidR="006362CB" w:rsidRDefault="006362CB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</w:p>
    <w:p w14:paraId="23BA54DF" w14:textId="20E3F13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5229AC1A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144EDC10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7E0ABDBF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0D3581A5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238D4345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12A9FD26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185AD6EE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06952D30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42F4AA33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07D05152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07CA70B9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198C0DC0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4C93FFBC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37CE8D4C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0C740025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121B4368" w:rsidR="007A751D" w:rsidRPr="007A751D" w:rsidRDefault="00E17D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24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636F3B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6068004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5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5C328A30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315AF6">
        <w:rPr>
          <w:lang w:eastAsia="pl-PL"/>
        </w:rPr>
        <w:t>3</w:t>
      </w:r>
      <w:r w:rsidR="00C0411E">
        <w:rPr>
          <w:lang w:eastAsia="pl-PL"/>
        </w:rPr>
        <w:t xml:space="preserve"> poz. 1</w:t>
      </w:r>
      <w:r w:rsidR="00315AF6">
        <w:rPr>
          <w:lang w:eastAsia="pl-PL"/>
        </w:rPr>
        <w:t>605</w:t>
      </w:r>
      <w:r w:rsidR="00C0411E">
        <w:rPr>
          <w:lang w:eastAsia="pl-PL"/>
        </w:rPr>
        <w:t xml:space="preserve"> z </w:t>
      </w:r>
      <w:proofErr w:type="spellStart"/>
      <w:r w:rsidR="00C0411E">
        <w:rPr>
          <w:lang w:eastAsia="pl-PL"/>
        </w:rPr>
        <w:t>późn</w:t>
      </w:r>
      <w:proofErr w:type="spellEnd"/>
      <w:r w:rsidR="00C0411E">
        <w:rPr>
          <w:lang w:eastAsia="pl-PL"/>
        </w:rPr>
        <w:t>. zm</w:t>
      </w:r>
      <w:r w:rsidRPr="005B5BDF">
        <w:rPr>
          <w:rFonts w:eastAsia="Calibri"/>
        </w:rPr>
        <w:t>.) 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49B84CE6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235BF8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>i jest prowadzone w trybie podstawowym bez negocjacji w rozumieniu art. 275 pkt 1 ustawy Pzp (wariant I)</w:t>
      </w:r>
      <w:r w:rsidR="007051BA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700C3C4D" w:rsidR="000E5D19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</w:t>
      </w:r>
      <w:r w:rsidR="005A1B75">
        <w:rPr>
          <w:lang w:eastAsia="pl-PL"/>
        </w:rPr>
        <w:t xml:space="preserve"> </w:t>
      </w:r>
      <w:r w:rsidRPr="005A1B75">
        <w:rPr>
          <w:b/>
          <w:lang w:eastAsia="pl-PL"/>
        </w:rPr>
        <w:t>„</w:t>
      </w:r>
      <w:r w:rsidR="00794786">
        <w:rPr>
          <w:b/>
          <w:lang w:eastAsia="pl-PL"/>
        </w:rPr>
        <w:t>Dostawa sprzętu multimedialnego</w:t>
      </w:r>
      <w:r w:rsidR="006362CB">
        <w:rPr>
          <w:b/>
          <w:lang w:eastAsia="pl-PL"/>
        </w:rPr>
        <w:t xml:space="preserve"> – odtwarzaczy Blu-Ray oraz systemu mikrofonów bezprzewodowych</w:t>
      </w:r>
      <w:r w:rsidR="00AF32F3" w:rsidRPr="00AF32F3">
        <w:rPr>
          <w:rFonts w:eastAsia="Calibri"/>
          <w:b/>
        </w:rPr>
        <w:t>”</w:t>
      </w:r>
      <w:r w:rsidR="00103256" w:rsidRPr="005B5BDF">
        <w:rPr>
          <w:rFonts w:eastAsia="Calibri"/>
        </w:rPr>
        <w:t>;</w:t>
      </w:r>
    </w:p>
    <w:p w14:paraId="36AC7892" w14:textId="6E32DA92" w:rsidR="00F813B7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</w:t>
      </w:r>
      <w:r w:rsidR="00235BF8">
        <w:rPr>
          <w:b/>
        </w:rPr>
        <w:t>.</w:t>
      </w:r>
      <w:r w:rsidR="006362CB">
        <w:rPr>
          <w:b/>
        </w:rPr>
        <w:t>77</w:t>
      </w:r>
      <w:r w:rsidR="003F4892">
        <w:rPr>
          <w:b/>
        </w:rPr>
        <w:t>.202</w:t>
      </w:r>
      <w:r w:rsidR="00235BF8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08370AF" w14:textId="1DB3F771" w:rsidR="00366694" w:rsidRPr="007C37BE" w:rsidRDefault="00366694" w:rsidP="00366694">
      <w:pPr>
        <w:numPr>
          <w:ilvl w:val="0"/>
          <w:numId w:val="9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366694">
        <w:rPr>
          <w:rFonts w:cs="Arial"/>
          <w:bCs/>
          <w:szCs w:val="20"/>
          <w:lang w:eastAsia="pl-PL"/>
        </w:rPr>
        <w:t xml:space="preserve">Przedmiotem zamówienia </w:t>
      </w:r>
      <w:r w:rsidR="007C37BE">
        <w:rPr>
          <w:rFonts w:cs="Arial"/>
          <w:bCs/>
          <w:szCs w:val="20"/>
          <w:lang w:eastAsia="pl-PL"/>
        </w:rPr>
        <w:t>jest</w:t>
      </w:r>
      <w:r w:rsidRPr="00366694">
        <w:rPr>
          <w:rFonts w:cs="Arial"/>
          <w:bCs/>
          <w:szCs w:val="20"/>
          <w:lang w:eastAsia="pl-PL"/>
        </w:rPr>
        <w:t xml:space="preserve"> dostaw</w:t>
      </w:r>
      <w:r w:rsidR="007C37BE">
        <w:rPr>
          <w:rFonts w:cs="Arial"/>
          <w:bCs/>
          <w:szCs w:val="20"/>
          <w:lang w:eastAsia="pl-PL"/>
        </w:rPr>
        <w:t>a</w:t>
      </w:r>
      <w:r w:rsidRPr="00366694">
        <w:rPr>
          <w:rFonts w:cs="Arial"/>
          <w:bCs/>
          <w:szCs w:val="20"/>
          <w:lang w:eastAsia="pl-PL"/>
        </w:rPr>
        <w:t xml:space="preserve"> </w:t>
      </w:r>
      <w:r w:rsidR="007C37BE">
        <w:rPr>
          <w:rFonts w:cs="Arial"/>
          <w:b/>
          <w:bCs/>
          <w:szCs w:val="20"/>
          <w:lang w:eastAsia="pl-PL"/>
        </w:rPr>
        <w:t>sprzętu multimedialnego</w:t>
      </w:r>
      <w:r w:rsidRPr="00366694">
        <w:rPr>
          <w:rFonts w:cs="Arial"/>
          <w:b/>
          <w:bCs/>
          <w:szCs w:val="20"/>
          <w:lang w:eastAsia="pl-PL"/>
        </w:rPr>
        <w:t>,</w:t>
      </w:r>
      <w:r w:rsidRPr="00366694">
        <w:rPr>
          <w:rFonts w:cs="Arial"/>
          <w:bCs/>
          <w:szCs w:val="20"/>
          <w:lang w:eastAsia="pl-PL"/>
        </w:rPr>
        <w:t xml:space="preserve"> określon</w:t>
      </w:r>
      <w:r w:rsidR="007C37BE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w załączniku nr 2 do SWZ, zwan</w:t>
      </w:r>
      <w:r w:rsidR="007C37BE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dalej także: „sprzętem”</w:t>
      </w:r>
      <w:r w:rsidRPr="00366694">
        <w:rPr>
          <w:rFonts w:cs="Arial"/>
          <w:b/>
          <w:bCs/>
          <w:szCs w:val="20"/>
          <w:lang w:eastAsia="pl-PL"/>
        </w:rPr>
        <w:t>.</w:t>
      </w:r>
    </w:p>
    <w:p w14:paraId="08F5EA2E" w14:textId="4B3C8FCD" w:rsidR="00366694" w:rsidRDefault="00366694" w:rsidP="007C37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7C37BE">
        <w:rPr>
          <w:rFonts w:eastAsia="Calibri" w:cs="Arial"/>
          <w:bCs/>
          <w:szCs w:val="20"/>
        </w:rPr>
        <w:t>Oferowany sprzęt musi być</w:t>
      </w:r>
      <w:r w:rsidR="007C37BE" w:rsidRPr="007C37BE">
        <w:rPr>
          <w:rFonts w:eastAsia="Calibri" w:cs="Arial"/>
          <w:bCs/>
          <w:szCs w:val="20"/>
        </w:rPr>
        <w:t xml:space="preserve"> </w:t>
      </w:r>
      <w:r w:rsidRPr="007C37BE">
        <w:rPr>
          <w:rFonts w:eastAsia="Calibri" w:cs="Arial"/>
          <w:bCs/>
          <w:szCs w:val="20"/>
        </w:rPr>
        <w:t>fabrycznie nowy</w:t>
      </w:r>
      <w:r w:rsidR="007C37BE" w:rsidRPr="007C37BE">
        <w:rPr>
          <w:rFonts w:eastAsia="Calibri" w:cs="Arial"/>
          <w:bCs/>
          <w:szCs w:val="20"/>
        </w:rPr>
        <w:t xml:space="preserve">, </w:t>
      </w:r>
      <w:r w:rsidRPr="007C37BE">
        <w:rPr>
          <w:rFonts w:eastAsia="Calibri" w:cs="Arial"/>
          <w:bCs/>
          <w:szCs w:val="20"/>
        </w:rPr>
        <w:t>nieużywany, pochodzić z bieżącej produkcji (rok produkcji nie wcześniejszy niż 2023), posiadać stosowne certyfikaty</w:t>
      </w:r>
      <w:r w:rsidRPr="00366694">
        <w:t xml:space="preserve"> oraz </w:t>
      </w:r>
      <w:r w:rsidRPr="007C37BE">
        <w:rPr>
          <w:bCs/>
        </w:rPr>
        <w:t xml:space="preserve">być </w:t>
      </w:r>
      <w:r w:rsidRPr="007C37BE">
        <w:rPr>
          <w:rFonts w:eastAsia="Calibri" w:cs="Arial"/>
          <w:bCs/>
          <w:szCs w:val="20"/>
        </w:rPr>
        <w:t>dopuszczony do sprzedaży i użytkowania na terytorium RP.</w:t>
      </w:r>
    </w:p>
    <w:p w14:paraId="793A9EA4" w14:textId="2FF7F50C" w:rsidR="00230DBE" w:rsidRPr="00230DBE" w:rsidRDefault="00230DBE" w:rsidP="00230D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230DBE">
        <w:rPr>
          <w:rFonts w:eastAsia="Calibri" w:cs="Arial"/>
          <w:bCs/>
          <w:szCs w:val="20"/>
        </w:rPr>
        <w:t xml:space="preserve">Przedmiot </w:t>
      </w:r>
      <w:r>
        <w:rPr>
          <w:rFonts w:eastAsia="Calibri" w:cs="Arial"/>
          <w:bCs/>
          <w:szCs w:val="20"/>
        </w:rPr>
        <w:t>zamówienia</w:t>
      </w:r>
      <w:r w:rsidRPr="00230DBE">
        <w:rPr>
          <w:rFonts w:eastAsia="Calibri" w:cs="Arial"/>
          <w:bCs/>
          <w:szCs w:val="20"/>
        </w:rPr>
        <w:t xml:space="preserve"> jest realizowany w ramach projektu pt.: „jUŚt transition - Potencjał Uniwersytetu Śląskiego podstawą Sprawiedliwej Transformacji regionu”. Projekt, a tym samym </w:t>
      </w:r>
      <w:r w:rsidR="003B4EFE">
        <w:rPr>
          <w:rFonts w:eastAsia="Calibri" w:cs="Arial"/>
          <w:bCs/>
          <w:szCs w:val="20"/>
        </w:rPr>
        <w:t xml:space="preserve">przedmiot zamówienia jest </w:t>
      </w:r>
      <w:r w:rsidRPr="00230DBE">
        <w:rPr>
          <w:rFonts w:eastAsia="Calibri" w:cs="Arial"/>
          <w:bCs/>
          <w:szCs w:val="20"/>
        </w:rPr>
        <w:t xml:space="preserve">współfinansowany ze środków Unii Europejskiej w ramach Fundusze Europejskie dla Śląskiego 2021-2027 (Fundusz na rzecz Sprawiedliwej Transformacji), Priorytet </w:t>
      </w:r>
      <w:r w:rsidRPr="00230DBE">
        <w:rPr>
          <w:rFonts w:eastAsia="Calibri" w:cs="Arial"/>
          <w:bCs/>
          <w:szCs w:val="20"/>
        </w:rPr>
        <w:lastRenderedPageBreak/>
        <w:t>X Fundusze Europejskie na transformację, Działanie 10.25 Rozwój kształcenia wyższego zgodnie z potrzebami zielonej gospodarki, nr umowy o dofinansowanie FESL.10.25-IZ.01-0369/23-00.</w:t>
      </w:r>
    </w:p>
    <w:p w14:paraId="6D657EA4" w14:textId="77777777" w:rsidR="00230DBE" w:rsidRPr="00230DBE" w:rsidRDefault="00230DBE" w:rsidP="00230DBE">
      <w:pPr>
        <w:ind w:left="207" w:firstLine="0"/>
        <w:outlineLvl w:val="1"/>
        <w:rPr>
          <w:rFonts w:eastAsia="Calibri" w:cs="Arial"/>
          <w:bCs/>
          <w:szCs w:val="20"/>
        </w:rPr>
      </w:pPr>
    </w:p>
    <w:p w14:paraId="5D25A0A1" w14:textId="77777777" w:rsidR="00366694" w:rsidRPr="00366694" w:rsidRDefault="00366694" w:rsidP="00CA4C5D">
      <w:pPr>
        <w:keepNext/>
        <w:numPr>
          <w:ilvl w:val="0"/>
          <w:numId w:val="28"/>
        </w:numPr>
        <w:spacing w:before="120" w:after="60" w:line="336" w:lineRule="auto"/>
        <w:ind w:left="284"/>
        <w:contextualSpacing/>
        <w:outlineLvl w:val="1"/>
        <w:rPr>
          <w:rFonts w:eastAsia="Calibri" w:cs="Arial"/>
          <w:noProof/>
          <w:color w:val="222A35" w:themeColor="text2" w:themeShade="80"/>
          <w:szCs w:val="20"/>
          <w:lang w:eastAsia="x-none"/>
        </w:rPr>
      </w:pPr>
      <w:r w:rsidRPr="00366694">
        <w:rPr>
          <w:rFonts w:eastAsia="Calibri" w:cs="Arial"/>
          <w:b/>
          <w:bCs/>
          <w:noProof/>
          <w:color w:val="222A35" w:themeColor="text2" w:themeShade="80"/>
          <w:szCs w:val="20"/>
          <w:lang w:eastAsia="x-none"/>
        </w:rPr>
        <w:t>Zakres zamówienia</w:t>
      </w:r>
      <w:r w:rsidRPr="00366694">
        <w:rPr>
          <w:rFonts w:eastAsia="Calibri" w:cs="Arial"/>
          <w:bCs/>
          <w:noProof/>
          <w:color w:val="222A35" w:themeColor="text2" w:themeShade="80"/>
          <w:szCs w:val="20"/>
          <w:lang w:eastAsia="x-none"/>
        </w:rPr>
        <w:t>:</w:t>
      </w:r>
    </w:p>
    <w:p w14:paraId="079029FE" w14:textId="23A9F836" w:rsidR="00366694" w:rsidRPr="00366694" w:rsidRDefault="00366694" w:rsidP="00CA4C5D">
      <w:pPr>
        <w:ind w:left="284" w:hanging="142"/>
        <w:rPr>
          <w:lang w:eastAsia="x-none"/>
        </w:rPr>
      </w:pPr>
      <w:r w:rsidRPr="00366694">
        <w:rPr>
          <w:lang w:eastAsia="x-none"/>
        </w:rPr>
        <w:t xml:space="preserve">  Zakres zamówienia obejmuje oprócz zakupu również transport wraz z rozładunkiem i wniesieniem do </w:t>
      </w:r>
      <w:r w:rsidR="007C37BE">
        <w:rPr>
          <w:lang w:eastAsia="x-none"/>
        </w:rPr>
        <w:t>pomieszczeń</w:t>
      </w:r>
      <w:r w:rsidRPr="00366694">
        <w:rPr>
          <w:lang w:eastAsia="x-none"/>
        </w:rPr>
        <w:t xml:space="preserve"> wskazan</w:t>
      </w:r>
      <w:r w:rsidR="007C37BE">
        <w:rPr>
          <w:lang w:eastAsia="x-none"/>
        </w:rPr>
        <w:t>ych</w:t>
      </w:r>
      <w:r w:rsidRPr="00366694">
        <w:rPr>
          <w:lang w:eastAsia="x-none"/>
        </w:rPr>
        <w:t xml:space="preserve"> przez Zamawiającego. Wykonawca zobowiązany jest zapewnić bezpłatny serwis gwarancyjny sprzętu.</w:t>
      </w:r>
    </w:p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4AA405EF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11848542" w14:textId="79117C17" w:rsidR="007C37BE" w:rsidRDefault="007C37BE" w:rsidP="007C37BE">
      <w:pPr>
        <w:ind w:left="567"/>
        <w:rPr>
          <w:lang w:eastAsia="x-none"/>
        </w:rPr>
      </w:pPr>
      <w:r w:rsidRPr="007C37BE">
        <w:rPr>
          <w:lang w:eastAsia="x-none"/>
        </w:rPr>
        <w:t>32000000-3</w:t>
      </w:r>
      <w:r w:rsidRPr="007C37BE">
        <w:t xml:space="preserve"> </w:t>
      </w:r>
      <w:r>
        <w:t xml:space="preserve">- </w:t>
      </w:r>
      <w:r w:rsidRPr="007C37BE">
        <w:rPr>
          <w:lang w:eastAsia="x-none"/>
        </w:rPr>
        <w:t>Sprzęt radiowy, telewizyjny, komunikacyjny, telekomunikacyjny i podobny</w:t>
      </w:r>
      <w:r>
        <w:rPr>
          <w:lang w:eastAsia="x-none"/>
        </w:rPr>
        <w:t>,</w:t>
      </w:r>
    </w:p>
    <w:p w14:paraId="5A46279A" w14:textId="591DAA6C" w:rsidR="007C37BE" w:rsidRDefault="007C37BE" w:rsidP="007C37BE">
      <w:pPr>
        <w:ind w:left="567"/>
        <w:rPr>
          <w:lang w:eastAsia="x-none"/>
        </w:rPr>
      </w:pPr>
      <w:r w:rsidRPr="007C37BE">
        <w:rPr>
          <w:lang w:eastAsia="x-none"/>
        </w:rPr>
        <w:t>32330000-5</w:t>
      </w:r>
      <w:r>
        <w:rPr>
          <w:lang w:eastAsia="x-none"/>
        </w:rPr>
        <w:t xml:space="preserve"> - </w:t>
      </w:r>
      <w:r w:rsidRPr="007C37BE">
        <w:rPr>
          <w:lang w:eastAsia="x-none"/>
        </w:rPr>
        <w:t>Aparatura do nagrywania i powielania dźwięku i obrazu wideo</w:t>
      </w:r>
      <w:r>
        <w:rPr>
          <w:lang w:eastAsia="x-none"/>
        </w:rPr>
        <w:t>,</w:t>
      </w:r>
    </w:p>
    <w:p w14:paraId="621FE512" w14:textId="76882057" w:rsidR="007C37BE" w:rsidRDefault="007C37BE" w:rsidP="007C37BE">
      <w:pPr>
        <w:ind w:left="567"/>
        <w:rPr>
          <w:lang w:eastAsia="x-none"/>
        </w:rPr>
      </w:pPr>
      <w:r w:rsidRPr="007C37BE">
        <w:rPr>
          <w:lang w:eastAsia="x-none"/>
        </w:rPr>
        <w:t>32340000-8</w:t>
      </w:r>
      <w:r w:rsidRPr="007C37BE">
        <w:t xml:space="preserve"> </w:t>
      </w:r>
      <w:r>
        <w:t xml:space="preserve">- </w:t>
      </w:r>
      <w:r w:rsidRPr="007C37BE">
        <w:rPr>
          <w:lang w:eastAsia="x-none"/>
        </w:rPr>
        <w:t>Mikrofony i głośniki</w:t>
      </w:r>
      <w:r>
        <w:rPr>
          <w:lang w:eastAsia="x-none"/>
        </w:rPr>
        <w:t>,</w:t>
      </w:r>
    </w:p>
    <w:p w14:paraId="5F4DAB14" w14:textId="0543A960" w:rsidR="007C37BE" w:rsidRPr="007C37BE" w:rsidRDefault="007C37BE" w:rsidP="007C37BE">
      <w:pPr>
        <w:ind w:left="567"/>
        <w:rPr>
          <w:lang w:eastAsia="x-none"/>
        </w:rPr>
      </w:pPr>
      <w:r w:rsidRPr="007C37BE">
        <w:rPr>
          <w:lang w:eastAsia="x-none"/>
        </w:rPr>
        <w:t>32321100-0</w:t>
      </w:r>
      <w:r>
        <w:rPr>
          <w:lang w:eastAsia="x-none"/>
        </w:rPr>
        <w:t xml:space="preserve"> - </w:t>
      </w:r>
      <w:r w:rsidRPr="007C37BE">
        <w:rPr>
          <w:lang w:eastAsia="x-none"/>
        </w:rPr>
        <w:t>Sprzęt filmowy</w:t>
      </w:r>
      <w:r>
        <w:rPr>
          <w:lang w:eastAsia="x-none"/>
        </w:rPr>
        <w:t>.</w:t>
      </w:r>
    </w:p>
    <w:p w14:paraId="276985F9" w14:textId="4327B3B1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24B6B2BB" w14:textId="77777777" w:rsidR="00795E59" w:rsidRPr="005B5BDF" w:rsidRDefault="00795E59" w:rsidP="00795E59">
      <w:pPr>
        <w:pStyle w:val="Nagwek4"/>
        <w:ind w:hanging="294"/>
      </w:pPr>
      <w:r w:rsidRPr="005B5BDF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795E59">
        <w:rPr>
          <w:lang w:val="pl-PL"/>
        </w:rPr>
        <w:t> </w:t>
      </w:r>
      <w:r w:rsidRPr="005B5BDF">
        <w:t>wystarczająco precyzyjny i zrozumiały sposób i jest to uzasadnione specyfiką przedmiotu zamówienia. W</w:t>
      </w:r>
      <w:r w:rsidRPr="00795E59">
        <w:rPr>
          <w:lang w:val="pl-PL"/>
        </w:rPr>
        <w:t> </w:t>
      </w:r>
      <w:r w:rsidRPr="005B5BDF">
        <w:t>takich sytuacjach ewentualne posłużenie się powyższymi wskazaniami, należy odczytywać z</w:t>
      </w:r>
      <w:r w:rsidRPr="00795E59">
        <w:rPr>
          <w:lang w:val="pl-PL"/>
        </w:rPr>
        <w:t> </w:t>
      </w:r>
      <w:r w:rsidRPr="005B5BDF">
        <w:t xml:space="preserve">wyrazami „lub równoważny”. Zamawiający wskazuje w opisie przedmiotu zamówienia kryteria stosowane </w:t>
      </w:r>
      <w:r w:rsidRPr="00795E59">
        <w:rPr>
          <w:lang w:val="pl-PL"/>
        </w:rPr>
        <w:t xml:space="preserve">                         </w:t>
      </w:r>
      <w:r w:rsidRPr="005B5BDF">
        <w:t>w celu oceny równoważności;</w:t>
      </w:r>
    </w:p>
    <w:p w14:paraId="0FF372B3" w14:textId="5CD55C88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 sytuacjach, kiedy Zamawiający opisuje przedmiot zamówienia poprzez odniesienie się do norm, ocen technicznych, specyfikacji technicznych i systemów referencji technicznych, o</w:t>
      </w:r>
      <w:r w:rsidRPr="005B5BDF">
        <w:rPr>
          <w:lang w:val="pl-PL"/>
        </w:rPr>
        <w:t> </w:t>
      </w:r>
      <w:r w:rsidRPr="005B5BDF">
        <w:t>których mowa w art. 101 ust. 1 pkt 2 i ust. 3</w:t>
      </w:r>
      <w:r w:rsidRPr="005B5BDF">
        <w:rPr>
          <w:lang w:val="pl-PL"/>
        </w:rPr>
        <w:t xml:space="preserve"> </w:t>
      </w:r>
      <w:r w:rsidRPr="005B5BDF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Pr="005B5BDF">
        <w:rPr>
          <w:lang w:val="pl-PL"/>
        </w:rPr>
        <w:t>Z</w:t>
      </w:r>
      <w:proofErr w:type="spellStart"/>
      <w:r w:rsidRPr="005B5BDF">
        <w:t>amawiaj</w:t>
      </w:r>
      <w:r w:rsidR="006A4DA6">
        <w:rPr>
          <w:lang w:val="pl-PL"/>
        </w:rPr>
        <w:t>ą</w:t>
      </w:r>
      <w:r w:rsidRPr="005B5BDF">
        <w:t>cego</w:t>
      </w:r>
      <w:proofErr w:type="spellEnd"/>
      <w:r w:rsidRPr="005B5BDF">
        <w:t xml:space="preserve">. W takim przypadku </w:t>
      </w:r>
      <w:r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załączy do oferty wykaz </w:t>
      </w:r>
      <w:r w:rsidRPr="005B5BDF">
        <w:rPr>
          <w:lang w:val="pl-PL"/>
        </w:rPr>
        <w:t xml:space="preserve">zaproponowanych </w:t>
      </w:r>
      <w:r w:rsidRPr="005B5BDF">
        <w:t xml:space="preserve">rozwiązań równoważnych wraz z ich opisem lub </w:t>
      </w:r>
      <w:r w:rsidRPr="005B5BDF">
        <w:rPr>
          <w:lang w:val="pl-PL"/>
        </w:rPr>
        <w:t xml:space="preserve">wskazaniem właściwych </w:t>
      </w:r>
      <w:r w:rsidRPr="005B5BDF">
        <w:t>norm;</w:t>
      </w:r>
    </w:p>
    <w:p w14:paraId="0983EA70" w14:textId="6FC6C57C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</w:t>
      </w:r>
      <w:r w:rsidRPr="005B5BDF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</w:t>
      </w:r>
      <w:r w:rsidR="002E61FF">
        <w:rPr>
          <w:rFonts w:eastAsia="Calibri"/>
          <w:lang w:val="pl-PL"/>
        </w:rPr>
        <w:t>nego</w:t>
      </w:r>
      <w:r w:rsidRPr="005B5BDF">
        <w:rPr>
          <w:rFonts w:eastAsia="Calibri"/>
        </w:rPr>
        <w:t xml:space="preserve"> </w:t>
      </w:r>
      <w:r w:rsidR="002E61FF">
        <w:rPr>
          <w:rFonts w:eastAsia="Calibri"/>
          <w:lang w:val="pl-PL"/>
        </w:rPr>
        <w:t>Sprzętu</w:t>
      </w:r>
      <w:r w:rsidRPr="005B5BDF">
        <w:rPr>
          <w:rFonts w:eastAsia="Calibri"/>
        </w:rPr>
        <w:t xml:space="preserve"> </w:t>
      </w:r>
      <w:r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wskazanych przez Zamawiającego w</w:t>
      </w:r>
      <w:r w:rsidRPr="005B5BDF">
        <w:rPr>
          <w:rFonts w:eastAsia="Calibri"/>
          <w:lang w:val="pl-PL"/>
        </w:rPr>
        <w:t> </w:t>
      </w:r>
      <w:r w:rsidRPr="005B5BDF">
        <w:rPr>
          <w:rFonts w:eastAsia="Calibri"/>
        </w:rPr>
        <w:t>załączniku nr 2 do SWZ przedziałach i zakresach tolerancji pod rygorem odrzucenia oferty.</w:t>
      </w:r>
    </w:p>
    <w:p w14:paraId="24854E9F" w14:textId="64022AC3" w:rsidR="00FB3F58" w:rsidRPr="005B5BDF" w:rsidRDefault="00FB3F58" w:rsidP="005907F1">
      <w:pPr>
        <w:pStyle w:val="Nagwek2"/>
        <w:ind w:left="284" w:hanging="284"/>
      </w:pPr>
      <w:r w:rsidRPr="005B5BDF">
        <w:lastRenderedPageBreak/>
        <w:t>Opis części zamówienia. Oferty wariantowe.</w:t>
      </w:r>
    </w:p>
    <w:p w14:paraId="7D110058" w14:textId="310049FC" w:rsidR="006362CB" w:rsidRPr="005907F1" w:rsidRDefault="009F79A4" w:rsidP="006362CB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 xml:space="preserve">Zamawiający </w:t>
      </w:r>
      <w:r w:rsidR="006362CB">
        <w:rPr>
          <w:rFonts w:eastAsia="Calibri"/>
        </w:rPr>
        <w:t xml:space="preserve">nie </w:t>
      </w:r>
      <w:r w:rsidRPr="009E363B">
        <w:rPr>
          <w:rFonts w:eastAsia="Calibri"/>
        </w:rPr>
        <w:t>dopuszcza możliwoś</w:t>
      </w:r>
      <w:r w:rsidR="006362CB">
        <w:rPr>
          <w:rFonts w:eastAsia="Calibri"/>
        </w:rPr>
        <w:t>ci</w:t>
      </w:r>
      <w:r w:rsidRPr="009E363B">
        <w:rPr>
          <w:rFonts w:eastAsia="Calibri"/>
        </w:rPr>
        <w:t xml:space="preserve"> składania ofert częściowych</w:t>
      </w:r>
      <w:r w:rsidR="006362CB">
        <w:rPr>
          <w:rFonts w:eastAsia="Calibri"/>
        </w:rPr>
        <w:t>.</w:t>
      </w:r>
    </w:p>
    <w:p w14:paraId="4DCC4DC4" w14:textId="73E861F8" w:rsidR="00BA7E0B" w:rsidRPr="005B5BDF" w:rsidRDefault="00BA7E0B" w:rsidP="00EC69F6">
      <w:pPr>
        <w:pStyle w:val="Nagwek4"/>
        <w:numPr>
          <w:ilvl w:val="0"/>
          <w:numId w:val="38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2509908" w14:textId="7C2EF99F" w:rsidR="00070D49" w:rsidRPr="00B10EB8" w:rsidRDefault="00F0343C" w:rsidP="00B10EB8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Termin realizacji zamówienia</w:t>
      </w:r>
      <w:r w:rsidR="00A42B6D" w:rsidRPr="00A42B6D">
        <w:t>:</w:t>
      </w:r>
      <w:r w:rsidR="005907F1">
        <w:t xml:space="preserve"> </w:t>
      </w:r>
      <w:r w:rsidR="00070D49" w:rsidRPr="00B10EB8">
        <w:rPr>
          <w:b w:val="0"/>
          <w:color w:val="auto"/>
        </w:rPr>
        <w:t>do 28 dni od daty zawarcia umowy</w:t>
      </w:r>
      <w:r w:rsidR="00B10EB8">
        <w:rPr>
          <w:b w:val="0"/>
          <w:color w:val="auto"/>
        </w:rPr>
        <w:t>.</w:t>
      </w:r>
    </w:p>
    <w:p w14:paraId="6FAA4700" w14:textId="4DF46930" w:rsidR="0030231B" w:rsidRPr="005907F1" w:rsidRDefault="0030231B" w:rsidP="005907F1">
      <w:pPr>
        <w:pStyle w:val="Nagwek2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i/>
          <w:color w:val="auto"/>
        </w:rPr>
      </w:pPr>
      <w:bookmarkStart w:id="10" w:name="_Hlk136434542"/>
      <w:r w:rsidRPr="005907F1">
        <w:rPr>
          <w:b w:val="0"/>
          <w:i/>
          <w:color w:val="auto"/>
        </w:rPr>
        <w:t>Za skrócenie terminu realizacji zamówienia Wykonawca otrzyma punkty zgodnie z zasadami określonymi w rozdz. XIII SWZ.</w:t>
      </w:r>
    </w:p>
    <w:bookmarkEnd w:id="10"/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371BAEDF" w14:textId="637B8A68" w:rsidR="0091754D" w:rsidRDefault="00F85C46" w:rsidP="00B10EB8">
      <w:pPr>
        <w:pStyle w:val="Akapitzlist"/>
        <w:numPr>
          <w:ilvl w:val="3"/>
          <w:numId w:val="48"/>
        </w:numPr>
        <w:ind w:left="567" w:hanging="283"/>
        <w:rPr>
          <w:lang w:eastAsia="x-none"/>
        </w:rPr>
      </w:pPr>
      <w:r w:rsidRPr="002E6AAD">
        <w:rPr>
          <w:b/>
        </w:rPr>
        <w:t>Adres dostawy</w:t>
      </w:r>
      <w:r w:rsidRPr="005B5BDF">
        <w:t xml:space="preserve">: </w:t>
      </w:r>
    </w:p>
    <w:p w14:paraId="17372225" w14:textId="77777777" w:rsidR="006362CB" w:rsidRDefault="00DA312F" w:rsidP="00B10EB8">
      <w:pPr>
        <w:pStyle w:val="Akapitzlist"/>
        <w:spacing w:after="240"/>
        <w:ind w:left="567" w:firstLine="0"/>
        <w:rPr>
          <w:rFonts w:cs="Arial"/>
          <w:szCs w:val="20"/>
        </w:rPr>
      </w:pPr>
      <w:r w:rsidRPr="00C949AC">
        <w:rPr>
          <w:rFonts w:eastAsia="Calibri"/>
          <w:noProof/>
        </w:rPr>
        <w:t>Uniwersytet</w:t>
      </w:r>
      <w:r w:rsidRPr="00DA312F">
        <w:rPr>
          <w:rFonts w:cs="Arial"/>
          <w:szCs w:val="20"/>
        </w:rPr>
        <w:t xml:space="preserve"> Śląski w Katowicach, Dział Zarządzania Dostawami, </w:t>
      </w:r>
    </w:p>
    <w:p w14:paraId="158AC192" w14:textId="77777777" w:rsidR="006362CB" w:rsidRDefault="00DA312F" w:rsidP="006362CB">
      <w:pPr>
        <w:pStyle w:val="Akapitzlist"/>
        <w:spacing w:after="240"/>
        <w:ind w:left="567" w:firstLine="0"/>
        <w:rPr>
          <w:rFonts w:cs="Arial"/>
          <w:szCs w:val="20"/>
        </w:rPr>
      </w:pPr>
      <w:r w:rsidRPr="00DA312F">
        <w:rPr>
          <w:rFonts w:cs="Arial"/>
          <w:szCs w:val="20"/>
        </w:rPr>
        <w:t>ul. Bankowa 14, pok. 312, 40-007 Katowice</w:t>
      </w:r>
      <w:r w:rsidR="006362CB">
        <w:rPr>
          <w:rFonts w:cs="Arial"/>
          <w:szCs w:val="20"/>
        </w:rPr>
        <w:t>.</w:t>
      </w:r>
    </w:p>
    <w:p w14:paraId="01A92A2F" w14:textId="213AE022" w:rsidR="00070D49" w:rsidRPr="006362CB" w:rsidRDefault="006362CB" w:rsidP="006362CB">
      <w:pPr>
        <w:pStyle w:val="Akapitzlist"/>
        <w:spacing w:after="240"/>
        <w:ind w:left="284" w:firstLine="0"/>
        <w:rPr>
          <w:rFonts w:cs="Arial"/>
          <w:szCs w:val="20"/>
        </w:rPr>
      </w:pPr>
      <w:r>
        <w:rPr>
          <w:rFonts w:cs="Arial"/>
          <w:szCs w:val="20"/>
        </w:rPr>
        <w:t xml:space="preserve">2)  </w:t>
      </w:r>
      <w:r w:rsidR="00687243" w:rsidRPr="006362CB">
        <w:rPr>
          <w:b/>
        </w:rPr>
        <w:t>Wymagany minimalny termin gwarancji</w:t>
      </w:r>
      <w:r w:rsidR="003B3416" w:rsidRPr="006362CB">
        <w:rPr>
          <w:b/>
        </w:rPr>
        <w:t xml:space="preserve"> na oferowan</w:t>
      </w:r>
      <w:r w:rsidR="00DA312F" w:rsidRPr="006362CB">
        <w:rPr>
          <w:b/>
        </w:rPr>
        <w:t>y</w:t>
      </w:r>
      <w:r w:rsidR="00FE3370" w:rsidRPr="006362CB">
        <w:rPr>
          <w:b/>
        </w:rPr>
        <w:t xml:space="preserve"> </w:t>
      </w:r>
      <w:r w:rsidR="00DA312F" w:rsidRPr="006362CB">
        <w:rPr>
          <w:b/>
        </w:rPr>
        <w:t>sprzęt</w:t>
      </w:r>
      <w:r w:rsidR="00FE3370" w:rsidRPr="006362CB">
        <w:rPr>
          <w:b/>
        </w:rPr>
        <w:t xml:space="preserve"> </w:t>
      </w:r>
      <w:r w:rsidR="003B3416" w:rsidRPr="006362CB">
        <w:rPr>
          <w:b/>
        </w:rPr>
        <w:t>wynosi</w:t>
      </w:r>
      <w:r w:rsidR="00FC0CC1" w:rsidRPr="006362CB">
        <w:rPr>
          <w:b/>
        </w:rPr>
        <w:t>:</w:t>
      </w:r>
      <w:r w:rsidR="003B3416" w:rsidRPr="006362CB">
        <w:rPr>
          <w:b/>
        </w:rPr>
        <w:t xml:space="preserve"> </w:t>
      </w:r>
      <w:r w:rsidR="00B10EB8" w:rsidRPr="00E46A3E">
        <w:t>12</w:t>
      </w:r>
      <w:r w:rsidR="00E46A3E">
        <w:t xml:space="preserve"> </w:t>
      </w:r>
      <w:r w:rsidR="00070D49" w:rsidRPr="00E46A3E">
        <w:t>m-</w:t>
      </w:r>
      <w:proofErr w:type="spellStart"/>
      <w:r w:rsidR="00070D49" w:rsidRPr="00E46A3E">
        <w:t>cy</w:t>
      </w:r>
      <w:proofErr w:type="spellEnd"/>
      <w:r w:rsidR="00E46A3E" w:rsidRPr="00E46A3E">
        <w:t>,</w:t>
      </w:r>
    </w:p>
    <w:p w14:paraId="440E065C" w14:textId="223CB95D" w:rsidR="00F85C46" w:rsidRPr="006362CB" w:rsidRDefault="00F85C46" w:rsidP="006362CB">
      <w:pPr>
        <w:pStyle w:val="Akapitzlist"/>
        <w:numPr>
          <w:ilvl w:val="0"/>
          <w:numId w:val="38"/>
        </w:numPr>
        <w:spacing w:after="240"/>
        <w:ind w:left="567" w:hanging="283"/>
        <w:rPr>
          <w:rFonts w:eastAsia="Calibri"/>
          <w:noProof/>
        </w:rPr>
      </w:pPr>
      <w:r w:rsidRPr="006362CB">
        <w:rPr>
          <w:rFonts w:eastAsia="Calibri"/>
          <w:noProof/>
        </w:rPr>
        <w:t>Szczegółowe warunki realizacji zamówienia oraz warunki płatności zawiera wzór umowy</w:t>
      </w:r>
      <w:r w:rsidR="000A2883" w:rsidRPr="006362CB">
        <w:rPr>
          <w:rFonts w:eastAsia="Calibri"/>
        </w:rPr>
        <w:t xml:space="preserve"> stanowiący załącznik nr 3 do S</w:t>
      </w:r>
      <w:r w:rsidRPr="006362CB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DF45EE">
      <w:pPr>
        <w:pStyle w:val="Nagwek2"/>
        <w:spacing w:before="0" w:after="0" w:line="360" w:lineRule="auto"/>
        <w:ind w:left="283" w:hanging="357"/>
        <w:contextualSpacing w:val="0"/>
        <w:rPr>
          <w:b w:val="0"/>
        </w:rPr>
      </w:pPr>
      <w:r w:rsidRPr="005B5BDF">
        <w:lastRenderedPageBreak/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1" w:name="_Toc96068006"/>
      <w:r w:rsidRPr="005B5BDF">
        <w:t>Przedmiotowe środki dowodowe.</w:t>
      </w:r>
      <w:bookmarkEnd w:id="11"/>
    </w:p>
    <w:p w14:paraId="5A92E1C0" w14:textId="2A9DC069" w:rsidR="00F65A36" w:rsidRDefault="00F65A36" w:rsidP="0084270D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819"/>
      </w:tblGrid>
      <w:tr w:rsidR="00DB4A14" w:rsidRPr="005B5BDF" w14:paraId="1C26A8DE" w14:textId="77777777" w:rsidTr="00DB4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4FF7EB05" w14:textId="77777777" w:rsidR="00DB4A14" w:rsidRPr="005B5BDF" w:rsidRDefault="00DB4A14" w:rsidP="002E61FF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750000AB" w14:textId="77777777" w:rsidR="00DB4A14" w:rsidRPr="005B5BDF" w:rsidRDefault="00DB4A14" w:rsidP="002E61FF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DB4A14" w:rsidRPr="005B5BDF" w14:paraId="4DB18662" w14:textId="77777777" w:rsidTr="00DB4A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1769682" w14:textId="77777777" w:rsidR="006362CB" w:rsidRDefault="006362CB" w:rsidP="002E61FF">
            <w:pPr>
              <w:keepNext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12291329" w14:textId="2113B9D0" w:rsidR="00DB4A14" w:rsidRPr="002C3644" w:rsidRDefault="00DB4A14" w:rsidP="002E61FF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oferowanego Sprzętu</w:t>
            </w:r>
            <w:r w:rsidRPr="002C3644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Sprzętu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</w:t>
            </w:r>
            <w:r w:rsidR="006362CB">
              <w:rPr>
                <w:b w:val="0"/>
                <w:sz w:val="18"/>
                <w:szCs w:val="18"/>
              </w:rPr>
              <w:t>.</w:t>
            </w:r>
          </w:p>
          <w:p w14:paraId="4CD0BC73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EDA5639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192ACFBB" w14:textId="77777777" w:rsidR="00DB4A14" w:rsidRPr="00FA6B17" w:rsidRDefault="00DB4A14" w:rsidP="002E61F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A6FF8B3" w14:textId="77777777" w:rsidR="00DB4A14" w:rsidRPr="007130EC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4A4B49B" w14:textId="77777777" w:rsidR="00DB4A14" w:rsidRPr="00FA6B17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4E62A11D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Pzp,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DF45EE">
      <w:pPr>
        <w:pStyle w:val="Nagwek1"/>
        <w:keepNext/>
      </w:pPr>
      <w:bookmarkStart w:id="12" w:name="_Toc375581634"/>
      <w:bookmarkStart w:id="13" w:name="_Toc375581816"/>
      <w:bookmarkStart w:id="14" w:name="_Toc375582133"/>
      <w:bookmarkStart w:id="15" w:name="_Toc96068007"/>
      <w:r w:rsidRPr="005B5BDF">
        <w:lastRenderedPageBreak/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5B5BDF" w:rsidRDefault="00A62353" w:rsidP="00DF45EE">
      <w:pPr>
        <w:pStyle w:val="Nagwek2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6" w:name="_Toc96068008"/>
      <w:r w:rsidRPr="00AF799B">
        <w:t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5907F1">
      <w:pPr>
        <w:pStyle w:val="Nagwek2"/>
        <w:rPr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Pzp. </w:t>
      </w:r>
    </w:p>
    <w:p w14:paraId="0C4D2D36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Wykonawca nie podlega wykluczeniu z postępowania w zakresie przesłanek obligatoryjnych z art. 108 ust. 1 pkt 1, 2 i 5 ustawy Pzp,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anki wymienione w art. 110 ust. 2 ustawy Pzp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5A01AFBF" w14:textId="43CB1F9E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Pzp, Zamawiający oceni czy wypełnione zostały przesłanki wykluczenia wykonawcy z postępowania wyłącznie na podstawie oświadczenia wstępnego, o którym mowa w art. 125 ust. 1 ustawy Pzp. Zamawiający nie będzie wymagał złożenia podmiotowych środków dowodowych w celu potwierdzenia braku podstaw do wykluczenia. </w:t>
      </w:r>
    </w:p>
    <w:p w14:paraId="0DC0160B" w14:textId="77777777" w:rsidR="00AF799B" w:rsidRPr="00C949AC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C949AC">
        <w:rPr>
          <w:rFonts w:eastAsia="Calibri"/>
          <w:b w:val="0"/>
          <w:bCs w:val="0"/>
          <w:color w:val="auto"/>
        </w:rPr>
        <w:t xml:space="preserve">W związku z wejściem w życie ustawy z dnia 13 kwietnia 2022 r. o szczególnych rozwiązaniach w zakresie przeciwdziałania wspieraniu agresji na Ukrainę oraz służących ochronie bezpieczeństwa </w:t>
      </w:r>
      <w:r w:rsidRPr="00C949AC">
        <w:rPr>
          <w:rFonts w:eastAsia="Calibri"/>
          <w:b w:val="0"/>
          <w:bCs w:val="0"/>
          <w:color w:val="auto"/>
        </w:rPr>
        <w:lastRenderedPageBreak/>
        <w:t>narodowego (Dz. U. z 2022 r. poz. 835),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EC69F6">
      <w:pPr>
        <w:numPr>
          <w:ilvl w:val="0"/>
          <w:numId w:val="45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02013B01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C949AC">
        <w:rPr>
          <w:rFonts w:eastAsia="Times New Roman" w:cs="Times New Roman"/>
          <w:bCs/>
          <w:szCs w:val="26"/>
          <w:lang w:eastAsia="x-none"/>
        </w:rPr>
        <w:t>2023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C949AC">
        <w:rPr>
          <w:rFonts w:eastAsia="Times New Roman" w:cs="Times New Roman"/>
          <w:bCs/>
          <w:szCs w:val="26"/>
          <w:lang w:eastAsia="x-none"/>
        </w:rPr>
        <w:t xml:space="preserve">1124 z </w:t>
      </w:r>
      <w:proofErr w:type="spellStart"/>
      <w:r w:rsidR="00C949AC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C949AC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4FAAC266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BD13BA">
        <w:rPr>
          <w:rFonts w:eastAsia="Times New Roman" w:cs="Times New Roman"/>
          <w:bCs/>
          <w:szCs w:val="26"/>
          <w:lang w:eastAsia="x-none"/>
        </w:rPr>
        <w:t>3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BD13BA">
        <w:rPr>
          <w:rFonts w:eastAsia="Times New Roman" w:cs="Times New Roman"/>
          <w:bCs/>
          <w:szCs w:val="26"/>
          <w:lang w:eastAsia="x-none"/>
        </w:rPr>
        <w:t>120</w:t>
      </w:r>
      <w:r w:rsidR="00623B9E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623B9E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623B9E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797D564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B43AE25" w14:textId="2D73946C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 xml:space="preserve">Obligatoryjne przesłanki wykluczenia wynikające z ustawy z dnia 13 kwietnia 2022 r. o szczególnych rozwiązaniach w zakresie przeciwdziałania wspieraniu agresji na Ukrainę oraz służących ochronie </w:t>
      </w:r>
      <w:r w:rsidRPr="00E46A3E">
        <w:rPr>
          <w:rFonts w:eastAsia="Calibri"/>
          <w:b w:val="0"/>
          <w:bCs w:val="0"/>
          <w:color w:val="auto"/>
        </w:rPr>
        <w:lastRenderedPageBreak/>
        <w:t>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6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7" w:name="_Toc96068009"/>
      <w:r w:rsidRPr="005B5BDF">
        <w:rPr>
          <w:noProof/>
        </w:rPr>
        <w:t>Oświadczenie wstępne, podmiotowe środki dowodowe oraz inne dokumenty.</w:t>
      </w:r>
      <w:bookmarkEnd w:id="17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EE79C99" w:rsidR="00B376D2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566F7033" w14:textId="77777777" w:rsidR="003E28A6" w:rsidRPr="003E28A6" w:rsidRDefault="003E28A6" w:rsidP="003E28A6">
      <w:pPr>
        <w:pStyle w:val="Tekstpodstawowy"/>
        <w:rPr>
          <w:lang w:val="pl-PL" w:eastAsia="x-none"/>
        </w:rPr>
      </w:pP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B7EF702" w:rsidR="00815FE8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</w:t>
      </w:r>
      <w:r w:rsidRPr="00FF5565">
        <w:rPr>
          <w:rFonts w:eastAsia="Calibri" w:cs="Times New Roman"/>
          <w:bCs/>
          <w:noProof/>
          <w:szCs w:val="26"/>
          <w:lang w:eastAsia="x-none"/>
        </w:rPr>
        <w:t>celu</w:t>
      </w:r>
      <w:r w:rsidRPr="005B5BDF">
        <w:rPr>
          <w:rFonts w:eastAsia="Calibri"/>
          <w:noProof/>
        </w:rPr>
        <w:t xml:space="preserve">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p w14:paraId="30D6E683" w14:textId="35DD376C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02A40799" w14:textId="69C4387E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27B837A8" w14:textId="613BF881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54B949D9" w14:textId="77777777" w:rsidR="00DF45EE" w:rsidRP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FF5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FF5565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Jeżeli w imieniu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ykonawcy działa osoba, której umocowanie do jego reprezentowania nie wynika z </w:t>
      </w:r>
      <w:r w:rsidR="00C80205" w:rsidRPr="00FF5565">
        <w:rPr>
          <w:rFonts w:eastAsia="Calibri" w:cs="Times New Roman"/>
          <w:bCs/>
          <w:noProof/>
          <w:szCs w:val="26"/>
          <w:lang w:eastAsia="x-none"/>
        </w:rPr>
        <w:t>dokumentów, o których mowa w pkt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1, Zamawiający żąda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od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>ykonawcy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złożenia: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FF5565">
      <w:pPr>
        <w:pStyle w:val="Nagwek2"/>
        <w:spacing w:before="24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18" w:name="_Toc96068010"/>
      <w:r w:rsidRPr="009A0101">
        <w:rPr>
          <w:rFonts w:eastAsia="Times New Roman" w:cs="Times New Roman"/>
          <w:bCs/>
          <w:szCs w:val="26"/>
          <w:lang w:eastAsia="x-none"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środków;</w:t>
      </w:r>
    </w:p>
    <w:p w14:paraId="412E0234" w14:textId="755BB8F6" w:rsidR="00FE62B7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 xml:space="preserve"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</w:t>
      </w:r>
      <w:r w:rsidRPr="009A0101">
        <w:rPr>
          <w:rFonts w:eastAsia="Times New Roman" w:cs="Times New Roman"/>
          <w:bCs/>
          <w:szCs w:val="26"/>
          <w:lang w:eastAsia="x-none"/>
        </w:rPr>
        <w:lastRenderedPageBreak/>
        <w:t>Zamawiający od wykonawcy, a także postanowienia rozdziałów VIII i IX dotyczących zasad komunikacji w postępowaniu i przygotowania oferty oraz innych dokumentów.</w:t>
      </w:r>
    </w:p>
    <w:p w14:paraId="5AD3B7D1" w14:textId="77777777" w:rsidR="002E6AAD" w:rsidRDefault="002E6AAD" w:rsidP="002E6AAD">
      <w:pPr>
        <w:ind w:left="568"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1CA7C02B" w14:textId="1626A93B" w:rsidR="00F85C46" w:rsidRPr="005B5BDF" w:rsidRDefault="00F85C46" w:rsidP="00D1198C">
      <w:pPr>
        <w:pStyle w:val="Nagwek1"/>
      </w:pPr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20" w:name="_Toc96068011"/>
      <w:bookmarkEnd w:id="19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0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t>Zasady komunikacji.</w:t>
      </w:r>
    </w:p>
    <w:p w14:paraId="75E7E2E1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EC69F6">
      <w:pPr>
        <w:pStyle w:val="Nagwek3"/>
        <w:numPr>
          <w:ilvl w:val="0"/>
          <w:numId w:val="47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58B408BE" w:rsidR="00D05F0F" w:rsidRPr="005B5BDF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2E6AAD" w:rsidRPr="009D68D6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6D6240E0" w:rsidR="00636F3B" w:rsidRPr="005B5BDF" w:rsidRDefault="00636F3B" w:rsidP="00EC69F6">
      <w:pPr>
        <w:pStyle w:val="Nagwek3"/>
        <w:numPr>
          <w:ilvl w:val="0"/>
          <w:numId w:val="42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 xml:space="preserve">ykonawców powinny być zgodne z Rozporządzeniem Rady Ministrów </w:t>
      </w:r>
      <w:r w:rsidR="007D4F30">
        <w:t>z dnia 21 maja 2024 r. w sprawie Krajowych Ram Interoperacyjności, minimalnych wymagań dla rejestrów publicznych i wymiany informacji w postaci elektronicznej oraz minimalnych wymagań dla systemów teleinformatycznych z 21 maja 2024 r. (Dz. U. z 2024 poz. 773)</w:t>
      </w:r>
      <w:r w:rsidRPr="005B5BDF">
        <w:t>;</w:t>
      </w:r>
    </w:p>
    <w:p w14:paraId="6EA841F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lastRenderedPageBreak/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636F3B">
      <w:pPr>
        <w:pStyle w:val="Nagwek1"/>
      </w:pPr>
      <w:bookmarkStart w:id="21" w:name="_wp2umuqo1p7z" w:colFirst="0" w:colLast="0"/>
      <w:bookmarkStart w:id="22" w:name="_Toc96068012"/>
      <w:bookmarkEnd w:id="21"/>
      <w:r w:rsidRPr="005B5BDF">
        <w:lastRenderedPageBreak/>
        <w:t>Opis sposobu przygotowania ofert.</w:t>
      </w:r>
      <w:bookmarkEnd w:id="22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90D7A40" w:rsidR="007B0947" w:rsidRDefault="00C540B8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D1198C">
        <w:t xml:space="preserve">w </w:t>
      </w:r>
      <w:r w:rsidR="00ED2E68">
        <w:t xml:space="preserve">zakresie </w:t>
      </w:r>
      <w:r w:rsidR="006362CB">
        <w:t>niniejszego</w:t>
      </w:r>
      <w:r w:rsidR="00ED2E68">
        <w:t xml:space="preserve"> p</w:t>
      </w:r>
      <w:r w:rsidRPr="005B5BDF">
        <w:t>ostępowani</w:t>
      </w:r>
      <w:r w:rsidR="003D23EF">
        <w:t>a</w:t>
      </w:r>
      <w:r w:rsidRPr="005B5BDF">
        <w:t>;</w:t>
      </w:r>
    </w:p>
    <w:p w14:paraId="065D49E4" w14:textId="63B4C6FB" w:rsidR="007B0947" w:rsidRDefault="008B0002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</w:t>
      </w:r>
      <w:r w:rsidRPr="005B5BDF">
        <w:lastRenderedPageBreak/>
        <w:t>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779FF80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6878A84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7286753D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43FEA29C" w:rsidR="00002F1C" w:rsidRPr="005B5BDF" w:rsidRDefault="00002F1C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1D11329E" w:rsidR="007B0947" w:rsidRDefault="00002F1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lastRenderedPageBreak/>
        <w:t>Oferta</w:t>
      </w:r>
      <w:r w:rsidR="00AD452C">
        <w:t xml:space="preserve"> </w:t>
      </w:r>
      <w:r w:rsidRPr="005B5BDF">
        <w:t>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</w:t>
      </w:r>
      <w:r w:rsidR="00DB4A14" w:rsidRPr="005B5BDF">
        <w:t xml:space="preserve">z </w:t>
      </w:r>
      <w:r w:rsidR="00DB4A14" w:rsidRPr="007B0947">
        <w:rPr>
          <w:b/>
        </w:rPr>
        <w:t>podaniem cen jednostkowych netto, wartości netto, stawki i doliczonej wartości podatku VAT, ceny brutto za przedmiot zamówienia, a także terminu</w:t>
      </w:r>
      <w:r w:rsidR="001B2AFE">
        <w:rPr>
          <w:b/>
        </w:rPr>
        <w:t xml:space="preserve"> </w:t>
      </w:r>
      <w:r w:rsidR="00DB4A14">
        <w:rPr>
          <w:b/>
        </w:rPr>
        <w:t xml:space="preserve">i </w:t>
      </w:r>
      <w:r w:rsidR="00DB4A14" w:rsidRPr="007B0947">
        <w:rPr>
          <w:b/>
        </w:rPr>
        <w:t>warunków realizacji zamówienia</w:t>
      </w:r>
      <w:r w:rsidR="00DB4A14">
        <w:rPr>
          <w:b/>
        </w:rPr>
        <w:t xml:space="preserve">, w tym </w:t>
      </w:r>
      <w:r w:rsidR="00ED5566">
        <w:rPr>
          <w:b/>
        </w:rPr>
        <w:t>okresu gwarancji</w:t>
      </w:r>
      <w:r w:rsidR="00DB4A14" w:rsidRPr="005B5BDF">
        <w:t xml:space="preserve">;  </w:t>
      </w:r>
    </w:p>
    <w:p w14:paraId="0847DCA5" w14:textId="37871AE6" w:rsidR="000368D4" w:rsidRDefault="000368D4" w:rsidP="00B66E01">
      <w:pPr>
        <w:pStyle w:val="Nagwek3"/>
        <w:numPr>
          <w:ilvl w:val="0"/>
          <w:numId w:val="49"/>
        </w:numPr>
        <w:ind w:left="567" w:hanging="283"/>
        <w:rPr>
          <w:rFonts w:cs="Arial"/>
          <w:color w:val="000000"/>
          <w:szCs w:val="20"/>
          <w:lang w:eastAsia="pl-PL"/>
        </w:rPr>
      </w:pPr>
      <w:bookmarkStart w:id="23" w:name="_Hlk164237470"/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o termini</w:t>
      </w:r>
      <w:r>
        <w:rPr>
          <w:rFonts w:cs="Arial"/>
          <w:color w:val="000000"/>
          <w:szCs w:val="20"/>
          <w:lang w:eastAsia="pl-PL"/>
        </w:rPr>
        <w:t>e realizacji zamówienia</w:t>
      </w:r>
      <w:r w:rsidR="00FA5587">
        <w:rPr>
          <w:rFonts w:cs="Arial"/>
          <w:color w:val="000000"/>
          <w:szCs w:val="20"/>
          <w:lang w:eastAsia="pl-PL"/>
        </w:rPr>
        <w:t xml:space="preserve">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oferta zostanie odrzucona na podstawie art. 226 ust. 1 pkt 5) ustawy Pzp jako niezgodna z warunkami zamówienia;</w:t>
      </w:r>
    </w:p>
    <w:bookmarkEnd w:id="23"/>
    <w:p w14:paraId="32D417C9" w14:textId="52F10F4C" w:rsidR="00ED5566" w:rsidRDefault="00ED5566" w:rsidP="00B66E01">
      <w:pPr>
        <w:pStyle w:val="Nagwek3"/>
        <w:numPr>
          <w:ilvl w:val="0"/>
          <w:numId w:val="49"/>
        </w:numPr>
        <w:ind w:left="567" w:hanging="283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</w:t>
      </w:r>
      <w:r>
        <w:rPr>
          <w:rFonts w:cs="Arial"/>
          <w:color w:val="000000"/>
          <w:szCs w:val="20"/>
          <w:lang w:eastAsia="pl-PL"/>
        </w:rPr>
        <w:t xml:space="preserve">o okresie gwarancji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Zamawiający przyjmie, iż Wykonawca zaoferował wymagany, zgodnie z SWZ, minimalny okres gwarancji,</w:t>
      </w:r>
    </w:p>
    <w:p w14:paraId="564EC68F" w14:textId="1978B744" w:rsidR="00ED5566" w:rsidRPr="005B5BDF" w:rsidRDefault="0098480F" w:rsidP="00B66E01">
      <w:pPr>
        <w:pStyle w:val="Akapitzlist"/>
        <w:numPr>
          <w:ilvl w:val="0"/>
          <w:numId w:val="49"/>
        </w:numPr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Termin realizacji i o</w:t>
      </w:r>
      <w:r w:rsidR="00ED5566">
        <w:rPr>
          <w:rFonts w:cs="Arial"/>
          <w:color w:val="000000" w:themeColor="text1"/>
          <w:szCs w:val="20"/>
          <w:lang w:eastAsia="pl-PL"/>
        </w:rPr>
        <w:t xml:space="preserve">kres gwarancji 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należy podać liczbowo i słownie (w przypadku rozbieżności </w:t>
      </w:r>
      <w:r w:rsidR="00ED5566">
        <w:rPr>
          <w:rFonts w:cs="Arial"/>
          <w:color w:val="000000" w:themeColor="text1"/>
          <w:szCs w:val="20"/>
          <w:lang w:eastAsia="pl-PL"/>
        </w:rPr>
        <w:t>pomiędzy zapisem słownym a liczbowym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, Zamawiający za obowiązujący uzna </w:t>
      </w:r>
      <w:r>
        <w:rPr>
          <w:rFonts w:cs="Arial"/>
          <w:color w:val="000000" w:themeColor="text1"/>
          <w:szCs w:val="20"/>
          <w:lang w:eastAsia="pl-PL"/>
        </w:rPr>
        <w:t>termin realizacji/</w:t>
      </w:r>
      <w:r w:rsidR="00706215">
        <w:rPr>
          <w:rFonts w:cs="Arial"/>
          <w:color w:val="000000" w:themeColor="text1"/>
          <w:szCs w:val="20"/>
          <w:lang w:eastAsia="pl-PL"/>
        </w:rPr>
        <w:t>okres gwarancji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 podany słownie);</w:t>
      </w:r>
    </w:p>
    <w:p w14:paraId="5A520F7C" w14:textId="7DC3DB9B" w:rsidR="00AF6DA0" w:rsidRPr="00F66F55" w:rsidRDefault="00AF6DA0" w:rsidP="00B66E01">
      <w:pPr>
        <w:pStyle w:val="Nagwek3"/>
        <w:numPr>
          <w:ilvl w:val="0"/>
          <w:numId w:val="49"/>
        </w:numPr>
        <w:ind w:left="567" w:hanging="283"/>
        <w:rPr>
          <w:rFonts w:eastAsia="Arial Unicode MS"/>
        </w:rPr>
      </w:pPr>
      <w:r w:rsidRPr="00F66F55">
        <w:rPr>
          <w:rFonts w:eastAsia="Arial Unicode MS"/>
        </w:rPr>
        <w:t>Wykonawca winien skonkretyzować w formularzu oferty (zał</w:t>
      </w:r>
      <w:r>
        <w:rPr>
          <w:rFonts w:eastAsia="Arial Unicode MS"/>
        </w:rPr>
        <w:t>ącznik nr 1A do SWZ) oferowan</w:t>
      </w:r>
      <w:r w:rsidR="000335FC">
        <w:rPr>
          <w:rFonts w:eastAsia="Arial Unicode MS"/>
        </w:rPr>
        <w:t>y sprzęt</w:t>
      </w:r>
      <w:r w:rsidR="003D23EF">
        <w:rPr>
          <w:rFonts w:eastAsia="Arial Unicode MS"/>
        </w:rPr>
        <w:t xml:space="preserve"> </w:t>
      </w:r>
      <w:r w:rsidRPr="00F66F55">
        <w:rPr>
          <w:rFonts w:eastAsia="Arial Unicode MS"/>
        </w:rPr>
        <w:t>podając nazwę prod</w:t>
      </w:r>
      <w:r>
        <w:rPr>
          <w:rFonts w:eastAsia="Arial Unicode MS"/>
        </w:rPr>
        <w:t xml:space="preserve">ucenta wraz z podaniem modelu/typu </w:t>
      </w:r>
      <w:r w:rsidRPr="00F66F55">
        <w:rPr>
          <w:rFonts w:eastAsia="Arial Unicode MS"/>
        </w:rPr>
        <w:t>lub innych, przypisanych wyłącznie temu produktowi cech (np. nr katalogowy), jednoznaczni</w:t>
      </w:r>
      <w:r>
        <w:rPr>
          <w:rFonts w:eastAsia="Arial Unicode MS"/>
        </w:rPr>
        <w:t>e identyfikujących zaoferowan</w:t>
      </w:r>
      <w:r w:rsidR="003D23EF">
        <w:rPr>
          <w:rFonts w:eastAsia="Arial Unicode MS"/>
        </w:rPr>
        <w:t>y</w:t>
      </w:r>
      <w:r>
        <w:rPr>
          <w:rFonts w:eastAsia="Arial Unicode MS"/>
        </w:rPr>
        <w:t xml:space="preserve"> </w:t>
      </w:r>
      <w:r w:rsidR="000335FC">
        <w:rPr>
          <w:rFonts w:eastAsia="Arial Unicode MS"/>
        </w:rPr>
        <w:t>sprzęt</w:t>
      </w:r>
      <w:r>
        <w:rPr>
          <w:rFonts w:eastAsia="Arial Unicode MS"/>
        </w:rPr>
        <w:t xml:space="preserve">. W przypadku </w:t>
      </w:r>
      <w:r w:rsidR="000335FC">
        <w:rPr>
          <w:rFonts w:eastAsia="Arial Unicode MS"/>
        </w:rPr>
        <w:t>sprzętu</w:t>
      </w:r>
      <w:r w:rsidRPr="00F66F55">
        <w:rPr>
          <w:rFonts w:eastAsia="Arial Unicode MS"/>
        </w:rPr>
        <w:t>, któr</w:t>
      </w:r>
      <w:r w:rsidR="000335FC">
        <w:rPr>
          <w:rFonts w:eastAsia="Arial Unicode MS"/>
        </w:rPr>
        <w:t>y</w:t>
      </w:r>
      <w:r w:rsidRPr="00F66F55">
        <w:rPr>
          <w:rFonts w:eastAsia="Arial Unicode MS"/>
        </w:rPr>
        <w:t xml:space="preserve"> nie posiada oznaczeń, o których mowa powyżej, produkowan</w:t>
      </w:r>
      <w:r w:rsidR="000335FC">
        <w:rPr>
          <w:rFonts w:eastAsia="Arial Unicode MS"/>
        </w:rPr>
        <w:t>ego</w:t>
      </w:r>
      <w:r w:rsidRPr="00F66F55">
        <w:rPr>
          <w:rFonts w:eastAsia="Arial Unicode MS"/>
        </w:rPr>
        <w:t xml:space="preserve"> na zamówienie, Wykonawca winien w formularzu oferty wskazać w kolumnie model/typ – „wyrób na zamówienie”, „wyrób własny” lub inny równoznaczny zwrot.</w:t>
      </w:r>
    </w:p>
    <w:p w14:paraId="1D73CE36" w14:textId="6543F48E" w:rsidR="00C540B8" w:rsidRPr="005B5BDF" w:rsidRDefault="00915A9C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066591B" w14:textId="37CFA207" w:rsidR="0006226D" w:rsidRPr="000335FC" w:rsidRDefault="00A57F79" w:rsidP="00A934DC">
      <w:pPr>
        <w:pStyle w:val="Nagwek2"/>
        <w:keepNext w:val="0"/>
        <w:numPr>
          <w:ilvl w:val="0"/>
          <w:numId w:val="18"/>
        </w:numPr>
        <w:ind w:left="567" w:hanging="283"/>
        <w:rPr>
          <w:b w:val="0"/>
          <w:color w:val="auto"/>
        </w:rPr>
      </w:pPr>
      <w:r w:rsidRPr="0014503A">
        <w:rPr>
          <w:b w:val="0"/>
          <w:color w:val="auto"/>
        </w:rPr>
        <w:t xml:space="preserve">Cena podana w ofercie </w:t>
      </w:r>
      <w:r w:rsidR="0035176B" w:rsidRPr="0014503A">
        <w:rPr>
          <w:b w:val="0"/>
          <w:color w:val="auto"/>
        </w:rPr>
        <w:t>po</w:t>
      </w:r>
      <w:r w:rsidRPr="0014503A">
        <w:rPr>
          <w:b w:val="0"/>
          <w:color w:val="auto"/>
        </w:rPr>
        <w:t>winna zawierać wszelkie koszty poniesione w celu należytego i pełnego wykonania zamówienia, zgod</w:t>
      </w:r>
      <w:r w:rsidR="00066CCC" w:rsidRPr="0014503A">
        <w:rPr>
          <w:b w:val="0"/>
          <w:color w:val="auto"/>
        </w:rPr>
        <w:t>nie z wymaganiami opisanymi w dokumentach zamówienia</w:t>
      </w:r>
      <w:r w:rsidR="005B5BA7" w:rsidRPr="0014503A">
        <w:rPr>
          <w:b w:val="0"/>
          <w:color w:val="auto"/>
        </w:rPr>
        <w:t>, w szczególności</w:t>
      </w:r>
      <w:r w:rsidR="005B5BA7" w:rsidRPr="000335FC">
        <w:rPr>
          <w:b w:val="0"/>
          <w:color w:val="auto"/>
        </w:rPr>
        <w:t>:</w:t>
      </w:r>
      <w:r w:rsidR="005B5BA7" w:rsidRPr="000335FC">
        <w:rPr>
          <w:color w:val="auto"/>
        </w:rPr>
        <w:t xml:space="preserve"> </w:t>
      </w:r>
      <w:bookmarkStart w:id="24" w:name="_Hlk164245093"/>
      <w:r w:rsidR="000335FC" w:rsidRPr="000335FC">
        <w:rPr>
          <w:b w:val="0"/>
          <w:color w:val="auto"/>
        </w:rPr>
        <w:t xml:space="preserve">koszt sprzętu wraz z dostarczeniem zgodnie z opisem przedmiotu zamówienia, koszt rozładunku i wniesienia </w:t>
      </w:r>
      <w:r w:rsidR="0098480F">
        <w:rPr>
          <w:b w:val="0"/>
          <w:color w:val="auto"/>
        </w:rPr>
        <w:t>do pomieszczeń</w:t>
      </w:r>
      <w:r w:rsidR="000335FC" w:rsidRPr="000335FC">
        <w:rPr>
          <w:b w:val="0"/>
          <w:color w:val="auto"/>
        </w:rPr>
        <w:t xml:space="preserve"> wskazan</w:t>
      </w:r>
      <w:r w:rsidR="0098480F">
        <w:rPr>
          <w:b w:val="0"/>
          <w:color w:val="auto"/>
        </w:rPr>
        <w:t>ych</w:t>
      </w:r>
      <w:r w:rsidR="000335FC" w:rsidRPr="000335FC">
        <w:rPr>
          <w:b w:val="0"/>
          <w:color w:val="auto"/>
        </w:rPr>
        <w:t xml:space="preserve"> przez Zamawiającego, koszt zapewnienia bezpłatnego serwisu technicznego w okresie gwarancyjnym</w:t>
      </w:r>
      <w:r w:rsidR="000335FC" w:rsidRPr="000335FC">
        <w:rPr>
          <w:color w:val="auto"/>
        </w:rPr>
        <w:t xml:space="preserve">, </w:t>
      </w:r>
      <w:r w:rsidR="000335FC" w:rsidRPr="000335FC">
        <w:rPr>
          <w:b w:val="0"/>
          <w:color w:val="auto"/>
        </w:rPr>
        <w:t>zgodnie z wymaganiami SWZ. Cena powinna również uwzględniać podatki, opłaty i  inne należności płatne przez Wykonawcę (w tym koszt ewentualnego cła) oraz wszelkie elementy ryzyka związane z realizacją zamówienia</w:t>
      </w:r>
      <w:bookmarkEnd w:id="24"/>
      <w:r w:rsidR="00010ED0">
        <w:rPr>
          <w:b w:val="0"/>
          <w:color w:val="auto"/>
        </w:rPr>
        <w:t>, a także zysk Wykonawcy</w:t>
      </w:r>
      <w:r w:rsidR="0006226D" w:rsidRPr="000335FC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>.</w:t>
      </w:r>
    </w:p>
    <w:p w14:paraId="1884C213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52914E4F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lastRenderedPageBreak/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2B76136D" w14:textId="2FFC0F03" w:rsidR="00626A91" w:rsidRPr="00626A91" w:rsidRDefault="00626A91" w:rsidP="00626A91">
      <w:pPr>
        <w:pStyle w:val="Tekstpodstawowy"/>
        <w:numPr>
          <w:ilvl w:val="0"/>
          <w:numId w:val="18"/>
        </w:numPr>
        <w:ind w:left="567" w:hanging="283"/>
        <w:rPr>
          <w:rFonts w:ascii="Bahnschrift" w:hAnsi="Bahnschrift"/>
          <w:lang w:val="pl-PL" w:eastAsia="x-none"/>
        </w:rPr>
      </w:pPr>
      <w:r w:rsidRPr="00626A91">
        <w:rPr>
          <w:rFonts w:ascii="Bahnschrift" w:hAnsi="Bahnschrift" w:cs="Arial"/>
          <w:bCs/>
          <w:sz w:val="20"/>
        </w:rPr>
        <w:t xml:space="preserve">Rozliczenia </w:t>
      </w:r>
      <w:r>
        <w:rPr>
          <w:rFonts w:ascii="Bahnschrift" w:hAnsi="Bahnschrift" w:cs="Arial"/>
          <w:bCs/>
          <w:sz w:val="20"/>
          <w:lang w:val="pl-PL"/>
        </w:rPr>
        <w:t xml:space="preserve">z Wykonawcą </w:t>
      </w:r>
      <w:r w:rsidRPr="00626A91">
        <w:rPr>
          <w:rFonts w:ascii="Bahnschrift" w:hAnsi="Bahnschrift" w:cs="Arial"/>
          <w:bCs/>
          <w:sz w:val="20"/>
        </w:rPr>
        <w:t>będą następowały w oparciu o ceny jednostkowe wskazane w ofercie Wykonawcy</w:t>
      </w:r>
      <w:r>
        <w:rPr>
          <w:rFonts w:ascii="Bahnschrift" w:hAnsi="Bahnschrift" w:cs="Arial"/>
          <w:b/>
          <w:bCs/>
          <w:sz w:val="20"/>
          <w:lang w:val="pl-PL"/>
        </w:rPr>
        <w:t>;</w:t>
      </w:r>
    </w:p>
    <w:p w14:paraId="472861AB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3387BD1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96DC6F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</w:t>
      </w:r>
      <w:r w:rsidRPr="005B5BDF">
        <w:lastRenderedPageBreak/>
        <w:t>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5" w:name="_Toc96068013"/>
      <w:r w:rsidRPr="005B5BDF">
        <w:t>Sposób oraz termin składania ofert.</w:t>
      </w:r>
      <w:bookmarkEnd w:id="25"/>
    </w:p>
    <w:p w14:paraId="57903697" w14:textId="77777777" w:rsidR="007B0947" w:rsidRPr="007B0947" w:rsidRDefault="007B0947" w:rsidP="00EC69F6">
      <w:pPr>
        <w:pStyle w:val="Nagwek2"/>
        <w:numPr>
          <w:ilvl w:val="0"/>
          <w:numId w:val="35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477AF15D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E17D81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04.</w:t>
      </w:r>
      <w:r w:rsidR="002B7763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3E28A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9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 w:rsidR="00120932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202</w:t>
      </w:r>
      <w:r w:rsidR="002B7763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4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r.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6C5B6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CB38DE">
      <w:pPr>
        <w:pStyle w:val="Nagwek1"/>
      </w:pPr>
      <w:bookmarkStart w:id="26" w:name="_Toc96068014"/>
      <w:r w:rsidRPr="005B5BDF">
        <w:lastRenderedPageBreak/>
        <w:t>Termin i tryb otwarcia ofert.</w:t>
      </w:r>
      <w:bookmarkEnd w:id="26"/>
    </w:p>
    <w:p w14:paraId="7D3146F9" w14:textId="4946C3EC" w:rsidR="0003593D" w:rsidRPr="005B5BDF" w:rsidRDefault="0003593D" w:rsidP="00EC69F6">
      <w:pPr>
        <w:pStyle w:val="Nagwek2"/>
        <w:numPr>
          <w:ilvl w:val="0"/>
          <w:numId w:val="20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0E16EE3A" w:rsidR="007B0947" w:rsidRPr="00E17D81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Style w:val="Hipercze"/>
          <w:rFonts w:eastAsia="Arial Unicode MS" w:cs="Arial"/>
          <w:szCs w:val="20"/>
          <w:u w:val="none"/>
          <w:lang w:val="pl" w:eastAsia="pl-PL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E17D81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04</w:t>
      </w:r>
      <w:r w:rsidR="000368D4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.</w:t>
      </w:r>
      <w:r w:rsidR="002B7763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0</w:t>
      </w:r>
      <w:r w:rsidR="003E28A6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9</w:t>
      </w:r>
      <w:r w:rsidR="00B15EC6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.</w:t>
      </w:r>
      <w:r w:rsidR="007B0947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202</w:t>
      </w:r>
      <w:r w:rsidR="002B7763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4</w:t>
      </w:r>
      <w:r w:rsidR="007B0947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 xml:space="preserve"> r.</w:t>
      </w:r>
      <w:r w:rsidR="00C13AFF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 xml:space="preserve"> </w:t>
      </w:r>
      <w:r w:rsidR="009A7AB0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o godz.</w:t>
      </w:r>
      <w:bookmarkStart w:id="27" w:name="_GoBack"/>
      <w:bookmarkEnd w:id="27"/>
      <w:r w:rsidR="009A7AB0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 xml:space="preserve"> </w:t>
      </w:r>
      <w:r w:rsidR="00961A75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1</w:t>
      </w:r>
      <w:r w:rsidR="006C5B66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1</w:t>
      </w:r>
      <w:r w:rsidR="00961A75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:</w:t>
      </w:r>
      <w:r w:rsidR="002B0578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15</w:t>
      </w:r>
      <w:r w:rsidR="009A7AB0" w:rsidRPr="00E17D81">
        <w:rPr>
          <w:rStyle w:val="Hipercze"/>
          <w:rFonts w:eastAsia="Arial Unicode MS" w:cs="Arial"/>
          <w:szCs w:val="20"/>
          <w:u w:val="none"/>
          <w:lang w:val="pl" w:eastAsia="pl-PL"/>
        </w:rPr>
        <w:t>;</w:t>
      </w:r>
    </w:p>
    <w:p w14:paraId="432E902E" w14:textId="4C26866D" w:rsidR="007B0947" w:rsidRDefault="009A7AB0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4F358302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535147A7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EC69F6">
      <w:pPr>
        <w:pStyle w:val="Nagwek3"/>
        <w:numPr>
          <w:ilvl w:val="0"/>
          <w:numId w:val="22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8" w:name="_Toc96068015"/>
      <w:r w:rsidRPr="005B5BDF">
        <w:t>Termin związania ofertą.</w:t>
      </w:r>
      <w:bookmarkEnd w:id="28"/>
      <w:r w:rsidRPr="005B5BDF">
        <w:t xml:space="preserve"> </w:t>
      </w:r>
    </w:p>
    <w:p w14:paraId="2B839405" w14:textId="0FA7F6F1" w:rsidR="00D06776" w:rsidRPr="005B5BDF" w:rsidRDefault="00D06776" w:rsidP="00EC69F6">
      <w:pPr>
        <w:pStyle w:val="Nagwek2"/>
        <w:numPr>
          <w:ilvl w:val="0"/>
          <w:numId w:val="23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67038062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E17D81">
        <w:rPr>
          <w:rStyle w:val="Hipercze"/>
          <w:rFonts w:eastAsia="Calibri"/>
          <w:b/>
          <w:u w:val="none"/>
        </w:rPr>
        <w:t>03.10</w:t>
      </w:r>
      <w:r w:rsidR="00B15EC6">
        <w:rPr>
          <w:rStyle w:val="Hipercze"/>
          <w:rFonts w:eastAsia="Calibri"/>
          <w:b/>
          <w:u w:val="none"/>
        </w:rPr>
        <w:t>.</w:t>
      </w:r>
      <w:r w:rsidR="00C13AFF" w:rsidRPr="001824B0">
        <w:rPr>
          <w:rStyle w:val="Hipercze"/>
          <w:rFonts w:eastAsia="Calibri"/>
          <w:b/>
          <w:u w:val="none"/>
        </w:rPr>
        <w:t>202</w:t>
      </w:r>
      <w:r w:rsidR="000368D4">
        <w:rPr>
          <w:rStyle w:val="Hipercze"/>
          <w:rFonts w:eastAsia="Calibri"/>
          <w:b/>
          <w:u w:val="none"/>
        </w:rPr>
        <w:t>4</w:t>
      </w:r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7B0947">
      <w:pPr>
        <w:pStyle w:val="Nagwek2"/>
        <w:spacing w:after="0" w:line="360" w:lineRule="auto"/>
        <w:ind w:left="284"/>
      </w:pPr>
      <w:r w:rsidRPr="005B5BDF">
        <w:t>Przedłużenie terminu związania ofertą.</w:t>
      </w:r>
    </w:p>
    <w:p w14:paraId="54916018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lastRenderedPageBreak/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29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9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7075CBE5" w14:textId="22A50FC4" w:rsidR="00805C65" w:rsidRPr="006362CB" w:rsidRDefault="003C094D" w:rsidP="006362CB">
      <w:pPr>
        <w:pStyle w:val="Nagwek3"/>
        <w:numPr>
          <w:ilvl w:val="0"/>
          <w:numId w:val="27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315AF6">
        <w:t xml:space="preserve">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177"/>
        <w:gridCol w:w="1964"/>
        <w:gridCol w:w="3139"/>
      </w:tblGrid>
      <w:tr w:rsidR="000E730F" w:rsidRPr="005B5BDF" w14:paraId="77A11334" w14:textId="77777777" w:rsidTr="00CA4C5D">
        <w:tc>
          <w:tcPr>
            <w:tcW w:w="475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3177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964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3139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0E730F" w:rsidRPr="005B5BDF" w14:paraId="52FEDD60" w14:textId="77777777" w:rsidTr="00CA4C5D">
        <w:trPr>
          <w:trHeight w:val="319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96A9B63" w14:textId="7B427EDB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0E730F" w:rsidRPr="005B5BDF" w14:paraId="3BE63345" w14:textId="77777777" w:rsidTr="00CA4C5D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167F94C7" w14:textId="33C2DB70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377B5529" w14:textId="3DD6775F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2B0578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117EC895" w14:textId="2748464A" w:rsidR="003C3AC5" w:rsidRPr="005B5BDF" w:rsidRDefault="00F1211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47E1C8EE" w14:textId="6AE83368" w:rsidR="003C3AC5" w:rsidRPr="005B5BDF" w:rsidRDefault="00F1211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D45702" w:rsidRDefault="003C094D" w:rsidP="00EC69F6">
      <w:pPr>
        <w:pStyle w:val="Nagwek3"/>
        <w:keepNext/>
        <w:numPr>
          <w:ilvl w:val="0"/>
          <w:numId w:val="25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5C2C7FA1" w:rsidR="00F85C46" w:rsidRPr="00D45702" w:rsidRDefault="00F85C46" w:rsidP="00EC69F6">
      <w:pPr>
        <w:pStyle w:val="Nagwek4"/>
        <w:numPr>
          <w:ilvl w:val="1"/>
          <w:numId w:val="25"/>
        </w:numPr>
        <w:spacing w:before="0" w:after="0"/>
        <w:ind w:left="1276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7187E302" w:rsidR="00F85C46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204CFAA9" w14:textId="77777777" w:rsidR="00CA4C5D" w:rsidRPr="00D45702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55F2BD04" w14:textId="77777777" w:rsidR="00CA4C5D" w:rsidRPr="00CA4C5D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2E13A02" w14:textId="4438E695" w:rsidR="00F85C46" w:rsidRPr="00D45702" w:rsidRDefault="007347EC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47F032F4" w:rsidR="00F85C46" w:rsidRPr="009F2A53" w:rsidRDefault="00F85C46" w:rsidP="00EC69F6">
      <w:pPr>
        <w:pStyle w:val="Nagwek4"/>
        <w:numPr>
          <w:ilvl w:val="1"/>
          <w:numId w:val="25"/>
        </w:numPr>
        <w:spacing w:before="120" w:after="0"/>
        <w:rPr>
          <w:b/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9F2A53">
        <w:rPr>
          <w:b/>
          <w:color w:val="000000" w:themeColor="text1"/>
        </w:rPr>
        <w:t>„termin realizacji zamówienia” (T):</w:t>
      </w:r>
    </w:p>
    <w:p w14:paraId="3A605DF8" w14:textId="64DF8E09" w:rsidR="00FB1BF5" w:rsidRPr="00CE4834" w:rsidRDefault="00EA5F05" w:rsidP="00FB1BF5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</w:t>
      </w:r>
      <w:r w:rsidR="00FB1BF5" w:rsidRPr="00CE4834">
        <w:rPr>
          <w:rFonts w:cs="Arial"/>
          <w:color w:val="000000" w:themeColor="text1"/>
          <w:szCs w:val="20"/>
          <w:lang w:eastAsia="pl-PL"/>
        </w:rPr>
        <w:t xml:space="preserve">Punkty za </w:t>
      </w:r>
      <w:r w:rsidR="00FB1BF5"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FB1BF5">
        <w:rPr>
          <w:rFonts w:cs="Arial"/>
          <w:color w:val="000000" w:themeColor="text1"/>
          <w:szCs w:val="20"/>
          <w:lang w:eastAsia="pl-PL"/>
        </w:rPr>
        <w:t>t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ermin realizacji </w:t>
      </w:r>
      <w:r w:rsidR="00FB1BF5">
        <w:rPr>
          <w:rFonts w:cs="Arial"/>
          <w:color w:val="000000" w:themeColor="text1"/>
          <w:szCs w:val="20"/>
          <w:lang w:eastAsia="pl-PL"/>
        </w:rPr>
        <w:t>zamówienia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 (T)” zostaną przyznane w następujący sposób:</w:t>
      </w:r>
    </w:p>
    <w:p w14:paraId="1E01D8D9" w14:textId="77777777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47E8C9EF" w14:textId="5F7C12D5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>termin realizacji</w:t>
      </w:r>
      <w:r w:rsidR="00CA4C5D">
        <w:rPr>
          <w:rFonts w:cs="Arial"/>
          <w:szCs w:val="20"/>
          <w:lang w:eastAsia="pl-PL"/>
        </w:rPr>
        <w:t xml:space="preserve"> zamówienia</w:t>
      </w:r>
      <w:r w:rsidRPr="00591ED9">
        <w:rPr>
          <w:rFonts w:cs="Arial"/>
          <w:szCs w:val="20"/>
          <w:lang w:eastAsia="pl-PL"/>
        </w:rPr>
        <w:t xml:space="preserve">, zgodnie z zapisami rozdz. II ust. </w:t>
      </w:r>
      <w:r>
        <w:rPr>
          <w:rFonts w:cs="Arial"/>
          <w:szCs w:val="20"/>
          <w:lang w:eastAsia="pl-PL"/>
        </w:rPr>
        <w:t xml:space="preserve">8 SWZ, tj. </w:t>
      </w:r>
      <w:r w:rsidR="00070D49">
        <w:rPr>
          <w:rFonts w:cs="Arial"/>
          <w:szCs w:val="20"/>
          <w:lang w:eastAsia="pl-PL"/>
        </w:rPr>
        <w:t>28</w:t>
      </w:r>
      <w:r>
        <w:rPr>
          <w:rFonts w:cs="Arial"/>
          <w:szCs w:val="20"/>
          <w:lang w:eastAsia="pl-PL"/>
        </w:rPr>
        <w:t xml:space="preserve"> dni </w:t>
      </w:r>
      <w:r w:rsidRPr="00591ED9">
        <w:rPr>
          <w:rFonts w:cs="Arial"/>
          <w:szCs w:val="20"/>
          <w:lang w:eastAsia="pl-PL"/>
        </w:rPr>
        <w:t xml:space="preserve">od daty </w:t>
      </w:r>
      <w:r w:rsidR="00F12115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 xml:space="preserve">„termin realizacji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>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4897AC24" w14:textId="0A1DD8AC" w:rsidR="00FB1BF5" w:rsidRPr="00591ED9" w:rsidRDefault="00FB1BF5" w:rsidP="00FB1BF5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lastRenderedPageBreak/>
        <w:t xml:space="preserve">-  </w:t>
      </w:r>
      <w:r w:rsidR="00CD08FA">
        <w:rPr>
          <w:rFonts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jeżeli zaoferowany w ofercie </w:t>
      </w:r>
      <w:r w:rsidRPr="00591ED9">
        <w:rPr>
          <w:rFonts w:eastAsia="Calibri" w:cs="Arial"/>
          <w:szCs w:val="20"/>
          <w:lang w:eastAsia="pl-PL"/>
        </w:rPr>
        <w:t xml:space="preserve">termin realizacji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będzie dłuższy od maksymalnego dopuszczalnego zgodnie z zapisami rozdz. II ust. </w:t>
      </w:r>
      <w:r>
        <w:rPr>
          <w:rFonts w:cs="Arial"/>
          <w:szCs w:val="20"/>
          <w:lang w:eastAsia="pl-PL"/>
        </w:rPr>
        <w:t xml:space="preserve">8 SWZ, tj. dłuższy niż </w:t>
      </w:r>
      <w:r w:rsidR="00070D49">
        <w:rPr>
          <w:rFonts w:cs="Arial"/>
          <w:szCs w:val="20"/>
          <w:lang w:eastAsia="pl-PL"/>
        </w:rPr>
        <w:t>28</w:t>
      </w:r>
      <w:r w:rsidR="00302506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 xml:space="preserve">dni </w:t>
      </w:r>
      <w:r w:rsidRPr="00591ED9">
        <w:rPr>
          <w:rFonts w:cs="Arial"/>
          <w:szCs w:val="20"/>
          <w:lang w:eastAsia="pl-PL"/>
        </w:rPr>
        <w:t xml:space="preserve">od daty </w:t>
      </w:r>
      <w:r w:rsidR="00F12115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- </w:t>
      </w:r>
      <w:r w:rsidRPr="00FE1D79">
        <w:rPr>
          <w:rFonts w:eastAsia="Palatino Linotype" w:cs="Arial"/>
          <w:color w:val="000000"/>
          <w:szCs w:val="20"/>
          <w:lang w:eastAsia="pl-PL"/>
        </w:rPr>
        <w:t>oferta zostanie odrzucona jako niezgodna z warunkami zamówienia na podstawie art. 226 ust. 1 pkt 5 ustawy Pzp;</w:t>
      </w:r>
    </w:p>
    <w:p w14:paraId="7DB3C481" w14:textId="2D565C25" w:rsidR="00FB1BF5" w:rsidRPr="0007394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>
        <w:rPr>
          <w:rFonts w:cs="Arial"/>
          <w:color w:val="000000"/>
          <w:szCs w:val="20"/>
          <w:lang w:eastAsia="pl-PL"/>
        </w:rPr>
        <w:t xml:space="preserve">e realizacji zamówienia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07394F">
        <w:rPr>
          <w:rFonts w:cs="Arial"/>
          <w:color w:val="000000"/>
          <w:szCs w:val="20"/>
          <w:lang w:eastAsia="pl-PL"/>
        </w:rPr>
        <w:t>oferta zostanie odrzucona na podstawie art. 226 ust. 1 pkt 5) ustawy Pzp</w:t>
      </w:r>
      <w:r w:rsidRPr="0007394F">
        <w:rPr>
          <w:rFonts w:cs="Arial"/>
          <w:color w:val="000000"/>
          <w:szCs w:val="20"/>
          <w:lang w:eastAsia="pl-PL"/>
        </w:rPr>
        <w:t>,</w:t>
      </w:r>
    </w:p>
    <w:p w14:paraId="74868A7D" w14:textId="67E2229D" w:rsidR="00FB1BF5" w:rsidRPr="00F71AFB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 xml:space="preserve">pełne dni </w:t>
      </w:r>
      <w:r w:rsidRPr="00591ED9">
        <w:rPr>
          <w:rFonts w:cs="Arial"/>
          <w:szCs w:val="20"/>
        </w:rPr>
        <w:t xml:space="preserve">potrzebne na zrealizowanie zamówienia, licząc od daty </w:t>
      </w:r>
      <w:r w:rsidR="00670FAF">
        <w:rPr>
          <w:rFonts w:cs="Arial"/>
          <w:szCs w:val="20"/>
        </w:rPr>
        <w:t>przekazania zamówienia</w:t>
      </w:r>
      <w:r w:rsidRPr="00591ED9">
        <w:rPr>
          <w:rFonts w:cs="Arial"/>
          <w:szCs w:val="20"/>
        </w:rPr>
        <w:t>,</w:t>
      </w:r>
    </w:p>
    <w:p w14:paraId="7348A8BA" w14:textId="176A4B89" w:rsidR="00F71AFB" w:rsidRPr="002E60BD" w:rsidRDefault="00F71AFB" w:rsidP="00F71AFB">
      <w:pPr>
        <w:numPr>
          <w:ilvl w:val="1"/>
          <w:numId w:val="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t>Termin realizacji zamówienia</w:t>
      </w:r>
      <w:r w:rsidRPr="002E60BD">
        <w:rPr>
          <w:rFonts w:eastAsia="Arial Unicode MS" w:cs="Arial"/>
          <w:szCs w:val="20"/>
          <w:lang w:eastAsia="pl-PL"/>
        </w:rPr>
        <w:t xml:space="preserve"> należy podać liczbowo i słownie. W przypadku rozbieżności w zakresie </w:t>
      </w:r>
      <w:r>
        <w:rPr>
          <w:rFonts w:eastAsia="Arial Unicode MS" w:cs="Arial"/>
          <w:szCs w:val="20"/>
          <w:lang w:eastAsia="pl-PL"/>
        </w:rPr>
        <w:t>terminu realizacji</w:t>
      </w:r>
      <w:r w:rsidRPr="002E60BD">
        <w:rPr>
          <w:rFonts w:eastAsia="Arial Unicode MS" w:cs="Arial"/>
          <w:szCs w:val="20"/>
          <w:lang w:eastAsia="pl-PL"/>
        </w:rPr>
        <w:t xml:space="preserve"> podanego liczbowo i słownie, Zamawiający za obowiązujący uzna </w:t>
      </w:r>
      <w:r>
        <w:rPr>
          <w:rFonts w:eastAsia="Arial Unicode MS" w:cs="Arial"/>
          <w:szCs w:val="20"/>
          <w:lang w:eastAsia="pl-PL"/>
        </w:rPr>
        <w:t>termin realizacji</w:t>
      </w:r>
      <w:r w:rsidRPr="002E60BD">
        <w:rPr>
          <w:rFonts w:eastAsia="Arial Unicode MS" w:cs="Arial"/>
          <w:szCs w:val="20"/>
          <w:lang w:eastAsia="pl-PL"/>
        </w:rPr>
        <w:t xml:space="preserve"> podany słownie.</w:t>
      </w:r>
    </w:p>
    <w:p w14:paraId="687BC08A" w14:textId="7D6A5625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>
        <w:rPr>
          <w:rFonts w:cs="Arial"/>
          <w:szCs w:val="20"/>
        </w:rPr>
        <w:t xml:space="preserve">rminu w niepełnych dniach np.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2</w:t>
      </w:r>
      <w:r w:rsidRPr="00591ED9">
        <w:rPr>
          <w:rFonts w:cs="Arial"/>
          <w:szCs w:val="20"/>
        </w:rPr>
        <w:t>,5 dnia, Zamawiający do celów punktacji zaokrągli podany termin w górę do pełnych dni</w:t>
      </w:r>
      <w:r w:rsidR="00F12115">
        <w:rPr>
          <w:rFonts w:cs="Arial"/>
          <w:szCs w:val="20"/>
        </w:rPr>
        <w:t xml:space="preserve"> i odpowiednio przyzna punkty</w:t>
      </w:r>
      <w:r w:rsidRPr="00591ED9">
        <w:rPr>
          <w:rFonts w:cs="Arial"/>
          <w:szCs w:val="20"/>
        </w:rPr>
        <w:t xml:space="preserve"> (np. podanie terminu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2</w:t>
      </w:r>
      <w:r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>
        <w:rPr>
          <w:rFonts w:cs="Arial"/>
          <w:szCs w:val="20"/>
        </w:rPr>
        <w:t xml:space="preserve">o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3</w:t>
      </w:r>
      <w:r w:rsidRPr="00591ED9">
        <w:rPr>
          <w:rFonts w:cs="Arial"/>
          <w:szCs w:val="20"/>
        </w:rPr>
        <w:t xml:space="preserve"> dni)</w:t>
      </w:r>
      <w:r w:rsidR="00F12115">
        <w:rPr>
          <w:rFonts w:cs="Arial"/>
          <w:szCs w:val="20"/>
        </w:rPr>
        <w:t>, natomiast w umowie zostanie wpisany termin wskazany w ofercie</w:t>
      </w:r>
      <w:r w:rsidRPr="00591ED9">
        <w:rPr>
          <w:rFonts w:cs="Arial"/>
          <w:szCs w:val="20"/>
        </w:rPr>
        <w:t>;</w:t>
      </w:r>
    </w:p>
    <w:p w14:paraId="6E9653F5" w14:textId="527DAE0D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>punkty w tym kryterium „</w:t>
      </w:r>
      <w:r w:rsidRPr="00591ED9">
        <w:rPr>
          <w:rFonts w:cs="Arial"/>
          <w:szCs w:val="20"/>
        </w:rPr>
        <w:t xml:space="preserve">termin realizacji </w:t>
      </w:r>
      <w:r>
        <w:rPr>
          <w:rFonts w:cs="Arial"/>
          <w:szCs w:val="20"/>
        </w:rPr>
        <w:t>zamówienia</w:t>
      </w:r>
      <w:r w:rsidRPr="00591ED9">
        <w:rPr>
          <w:rFonts w:cs="Arial"/>
          <w:szCs w:val="20"/>
        </w:rPr>
        <w:t xml:space="preserve">” </w:t>
      </w:r>
      <w:r w:rsidRPr="00591ED9">
        <w:rPr>
          <w:rFonts w:cs="Arial"/>
          <w:szCs w:val="20"/>
          <w:lang w:eastAsia="pl-PL"/>
        </w:rPr>
        <w:t xml:space="preserve">będą przyznawane wg. zasady: </w:t>
      </w:r>
    </w:p>
    <w:p w14:paraId="661FCBDE" w14:textId="4F66C59D" w:rsidR="00F315F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28</w:t>
      </w:r>
      <w:r>
        <w:rPr>
          <w:rFonts w:eastAsia="Palatino Linotype" w:cs="Arial"/>
          <w:szCs w:val="20"/>
          <w:lang w:eastAsia="pl-PL"/>
        </w:rPr>
        <w:t xml:space="preserve"> dni od daty zawarcia umowy – 0 pkt</w:t>
      </w:r>
      <w:r w:rsidR="00F315FF">
        <w:rPr>
          <w:rFonts w:ascii="Arial" w:eastAsia="Times New Roman" w:hAnsi="Arial" w:cs="Arial"/>
          <w:szCs w:val="20"/>
          <w:lang w:eastAsia="ar-SA"/>
        </w:rPr>
        <w:t>,</w:t>
      </w:r>
    </w:p>
    <w:p w14:paraId="71F731A3" w14:textId="1A3FCCA1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27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2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33381B8C" w14:textId="06E3BA3D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26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4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0A85A1E7" w14:textId="42C32204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25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6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43A0DECE" w14:textId="2C798638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24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8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0D904E0B" w14:textId="337A99BA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23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1</w:t>
      </w:r>
      <w:r>
        <w:rPr>
          <w:rFonts w:eastAsia="Palatino Linotype" w:cs="Arial"/>
          <w:szCs w:val="20"/>
          <w:lang w:eastAsia="pl-PL"/>
        </w:rPr>
        <w:t>0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717D5BCB" w14:textId="64371DB5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22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12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7137740D" w14:textId="792B7DD6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21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14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776C19EB" w14:textId="002417C2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20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16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092B4EAD" w14:textId="7FC01ECB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19</w:t>
      </w:r>
      <w:r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46A3E">
        <w:rPr>
          <w:rFonts w:eastAsia="Palatino Linotype" w:cs="Arial"/>
          <w:szCs w:val="20"/>
          <w:lang w:eastAsia="pl-PL"/>
        </w:rPr>
        <w:t>18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5D75F187" w14:textId="2F3F5402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</w:t>
      </w:r>
      <w:r w:rsidR="00E46A3E">
        <w:rPr>
          <w:rFonts w:eastAsia="Palatino Linotype" w:cs="Arial"/>
          <w:szCs w:val="20"/>
          <w:lang w:eastAsia="pl-PL"/>
        </w:rPr>
        <w:t>18</w:t>
      </w:r>
      <w:r w:rsidR="00C94645">
        <w:rPr>
          <w:rFonts w:eastAsia="Palatino Linotype" w:cs="Arial"/>
          <w:szCs w:val="20"/>
          <w:lang w:eastAsia="pl-PL"/>
        </w:rPr>
        <w:t xml:space="preserve"> </w:t>
      </w:r>
      <w:r>
        <w:rPr>
          <w:rFonts w:eastAsia="Palatino Linotype" w:cs="Arial"/>
          <w:szCs w:val="20"/>
          <w:lang w:eastAsia="pl-PL"/>
        </w:rPr>
        <w:t>dni</w:t>
      </w:r>
      <w:r w:rsidR="006D2833">
        <w:rPr>
          <w:rFonts w:eastAsia="Palatino Linotype" w:cs="Arial"/>
          <w:szCs w:val="20"/>
          <w:lang w:eastAsia="pl-PL"/>
        </w:rPr>
        <w:t>a</w:t>
      </w:r>
      <w:r>
        <w:rPr>
          <w:rFonts w:eastAsia="Palatino Linotype" w:cs="Arial"/>
          <w:szCs w:val="20"/>
          <w:lang w:eastAsia="pl-PL"/>
        </w:rPr>
        <w:t xml:space="preserve"> od daty zawarcia umowy – </w:t>
      </w:r>
      <w:r w:rsidR="00C94645">
        <w:rPr>
          <w:rFonts w:eastAsia="Palatino Linotype" w:cs="Arial"/>
          <w:szCs w:val="20"/>
          <w:lang w:eastAsia="pl-PL"/>
        </w:rPr>
        <w:t>2</w:t>
      </w:r>
      <w:r>
        <w:rPr>
          <w:rFonts w:eastAsia="Palatino Linotype" w:cs="Arial"/>
          <w:szCs w:val="20"/>
          <w:lang w:eastAsia="pl-PL"/>
        </w:rPr>
        <w:t>0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6AEEFDA6" w14:textId="68C7D171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-- 17 dni od daty zawarcia umowy – </w:t>
      </w:r>
      <w:r w:rsidR="00C94645">
        <w:rPr>
          <w:rFonts w:eastAsia="Palatino Linotype" w:cs="Arial"/>
          <w:szCs w:val="20"/>
          <w:lang w:eastAsia="pl-PL"/>
        </w:rPr>
        <w:t>22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6D85AC22" w14:textId="3C082E85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-- 16 dni od daty zawarcia umowy – </w:t>
      </w:r>
      <w:r w:rsidR="00C94645">
        <w:rPr>
          <w:rFonts w:eastAsia="Palatino Linotype" w:cs="Arial"/>
          <w:szCs w:val="20"/>
          <w:lang w:eastAsia="pl-PL"/>
        </w:rPr>
        <w:t>24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3C2984AB" w14:textId="23ABF044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-- 15 dni od daty zawarcia umowy – </w:t>
      </w:r>
      <w:r w:rsidR="00C94645">
        <w:rPr>
          <w:rFonts w:eastAsia="Palatino Linotype" w:cs="Arial"/>
          <w:szCs w:val="20"/>
          <w:lang w:eastAsia="pl-PL"/>
        </w:rPr>
        <w:t>26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1FD378C1" w14:textId="5F991EC3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>-- 14 dni od daty zawarcia umowy – 2</w:t>
      </w:r>
      <w:r w:rsidR="00C94645">
        <w:rPr>
          <w:rFonts w:eastAsia="Palatino Linotype" w:cs="Arial"/>
          <w:szCs w:val="20"/>
          <w:lang w:eastAsia="pl-PL"/>
        </w:rPr>
        <w:t>8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0ECC356B" w14:textId="3AA41F5C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-- 13 dni od daty zawarcia umowy – </w:t>
      </w:r>
      <w:r w:rsidR="00C94645">
        <w:rPr>
          <w:rFonts w:eastAsia="Palatino Linotype" w:cs="Arial"/>
          <w:szCs w:val="20"/>
          <w:lang w:eastAsia="pl-PL"/>
        </w:rPr>
        <w:t>30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4B2A1147" w14:textId="35176CBB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 xml:space="preserve">-- 12 dni od daty zawarcia umowy – </w:t>
      </w:r>
      <w:r w:rsidR="00C94645">
        <w:rPr>
          <w:rFonts w:eastAsia="Palatino Linotype" w:cs="Arial"/>
          <w:szCs w:val="20"/>
          <w:lang w:eastAsia="pl-PL"/>
        </w:rPr>
        <w:t>32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27E5AE9B" w14:textId="1765B64E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>-- 11 dni od daty zawarcia umowy – 3</w:t>
      </w:r>
      <w:r w:rsidR="00C94645">
        <w:rPr>
          <w:rFonts w:eastAsia="Palatino Linotype" w:cs="Arial"/>
          <w:szCs w:val="20"/>
          <w:lang w:eastAsia="pl-PL"/>
        </w:rPr>
        <w:t>4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316833AC" w14:textId="0E7917A2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>-- 10 dni od daty zawarcia umowy – 36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05930C47" w14:textId="7F9EC549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>-- 9</w:t>
      </w:r>
      <w:r w:rsidR="00C94645">
        <w:rPr>
          <w:rFonts w:eastAsia="Palatino Linotype" w:cs="Arial"/>
          <w:szCs w:val="20"/>
          <w:lang w:eastAsia="pl-PL"/>
        </w:rPr>
        <w:t xml:space="preserve"> </w:t>
      </w:r>
      <w:r>
        <w:rPr>
          <w:rFonts w:eastAsia="Palatino Linotype" w:cs="Arial"/>
          <w:szCs w:val="20"/>
          <w:lang w:eastAsia="pl-PL"/>
        </w:rPr>
        <w:t xml:space="preserve">dni od daty zawarcia umowy – </w:t>
      </w:r>
      <w:r w:rsidR="00C94645">
        <w:rPr>
          <w:rFonts w:eastAsia="Palatino Linotype" w:cs="Arial"/>
          <w:szCs w:val="20"/>
          <w:lang w:eastAsia="pl-PL"/>
        </w:rPr>
        <w:t>38</w:t>
      </w:r>
      <w:r>
        <w:rPr>
          <w:rFonts w:eastAsia="Palatino Linotype" w:cs="Arial"/>
          <w:szCs w:val="20"/>
          <w:lang w:eastAsia="pl-PL"/>
        </w:rPr>
        <w:t xml:space="preserve">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1A1C415C" w14:textId="3DE3B868" w:rsidR="00E46A3E" w:rsidRDefault="00E46A3E" w:rsidP="00E46A3E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>
        <w:rPr>
          <w:rFonts w:eastAsia="Palatino Linotype" w:cs="Arial"/>
          <w:szCs w:val="20"/>
          <w:lang w:eastAsia="pl-PL"/>
        </w:rPr>
        <w:t>-- 8-1 dnia od daty zawarcia umowy – 40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5431DB70" w14:textId="17BC41DD" w:rsidR="00070D49" w:rsidRDefault="00070D49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</w:p>
    <w:p w14:paraId="17D70441" w14:textId="68B35D87" w:rsidR="00FB1BF5" w:rsidRDefault="00FB1BF5" w:rsidP="00FB1BF5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bookmarkStart w:id="30" w:name="_Hlk164241983"/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>
        <w:rPr>
          <w:rFonts w:eastAsia="Calibri" w:cs="Arial"/>
          <w:szCs w:val="20"/>
          <w:lang w:eastAsia="pl-PL"/>
        </w:rPr>
        <w:t>realizacji zamówienia</w:t>
      </w:r>
      <w:r>
        <w:rPr>
          <w:rFonts w:cs="Arial"/>
          <w:szCs w:val="20"/>
          <w:lang w:eastAsia="pl-PL"/>
        </w:rPr>
        <w:t xml:space="preserve">” </w:t>
      </w:r>
    </w:p>
    <w:bookmarkEnd w:id="30"/>
    <w:p w14:paraId="2ECAFD11" w14:textId="718B4B76" w:rsidR="00FB1BF5" w:rsidRDefault="00FB1BF5" w:rsidP="00FB1BF5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D2833"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07DAEAED" w14:textId="74733FB7" w:rsidR="00805C65" w:rsidRDefault="00805C65" w:rsidP="00FB1BF5">
      <w:pPr>
        <w:rPr>
          <w:rFonts w:cs="Arial"/>
          <w:b/>
          <w:color w:val="000000" w:themeColor="text1"/>
          <w:szCs w:val="20"/>
          <w:lang w:eastAsia="pl-PL"/>
        </w:rPr>
      </w:pPr>
    </w:p>
    <w:p w14:paraId="38A67DCA" w14:textId="77777777" w:rsidR="00046949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</w:p>
    <w:p w14:paraId="0B86EAA3" w14:textId="315A99B0" w:rsidR="00FB1BF5" w:rsidRDefault="00F85C46" w:rsidP="00046949">
      <w:pPr>
        <w:pStyle w:val="Akapitzlist"/>
        <w:spacing w:before="120"/>
        <w:ind w:left="567" w:firstLine="0"/>
      </w:pPr>
      <w:r w:rsidRPr="005B5BDF">
        <w:t>cena brutto + term</w:t>
      </w:r>
      <w:r w:rsidR="000A37EA" w:rsidRPr="005B5BDF">
        <w:t>in realizacji</w:t>
      </w:r>
      <w:r w:rsidR="002516A1">
        <w:t xml:space="preserve"> zamówienia</w:t>
      </w:r>
      <w:r w:rsidR="000A37EA" w:rsidRPr="005B5BDF">
        <w:t>;</w:t>
      </w:r>
    </w:p>
    <w:p w14:paraId="5875D8D8" w14:textId="4CEED8BF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W</w:t>
      </w:r>
      <w:r w:rsidR="00F85C46" w:rsidRPr="005B5BDF">
        <w:t xml:space="preserve">yliczenie punktów </w:t>
      </w:r>
      <w:r w:rsidR="00902121">
        <w:t xml:space="preserve">w danej części </w:t>
      </w:r>
      <w:r w:rsidR="00F85C46" w:rsidRPr="005B5BDF">
        <w:t>zostanie dokonane z dokładnością do dwóch miejsc po przecinku, zgodnie</w:t>
      </w:r>
      <w:r w:rsidR="00902121">
        <w:t xml:space="preserve"> </w:t>
      </w:r>
      <w:r w:rsidR="00F85C46" w:rsidRPr="005B5BDF">
        <w:t>z matematycznymi zasadami zaokrąglania. Maksymalna łączna suma punktów we wskazanych wyżej kryteriach  – 100</w:t>
      </w:r>
      <w:r w:rsidRPr="005B5BDF">
        <w:t>;</w:t>
      </w:r>
    </w:p>
    <w:p w14:paraId="188AB63D" w14:textId="602471DD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Z</w:t>
      </w:r>
      <w:r w:rsidR="00F85C46" w:rsidRPr="005B5BDF">
        <w:t>a ofertę najkorzystniejszą</w:t>
      </w:r>
      <w:r w:rsidR="00902121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515C7608" w:rsidR="003636A2" w:rsidRPr="005B5BDF" w:rsidRDefault="003636A2" w:rsidP="00B66E01">
      <w:pPr>
        <w:pStyle w:val="Nagwek3"/>
        <w:numPr>
          <w:ilvl w:val="0"/>
          <w:numId w:val="50"/>
        </w:numPr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43E0D231" w:rsidR="003636A2" w:rsidRPr="005B5BDF" w:rsidRDefault="003636A2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B66E01">
      <w:pPr>
        <w:pStyle w:val="Nagwek3"/>
        <w:numPr>
          <w:ilvl w:val="0"/>
          <w:numId w:val="50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DF45EE">
      <w:pPr>
        <w:pStyle w:val="Nagwek1"/>
        <w:keepNext/>
      </w:pPr>
      <w:bookmarkStart w:id="31" w:name="_Toc96068017"/>
      <w:r w:rsidRPr="005B5BDF">
        <w:lastRenderedPageBreak/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1"/>
      <w:r w:rsidRPr="005B5BDF">
        <w:t xml:space="preserve"> </w:t>
      </w:r>
    </w:p>
    <w:p w14:paraId="49DDEBE7" w14:textId="6A1AE650" w:rsidR="009E363B" w:rsidRDefault="009E363B" w:rsidP="00DF45EE">
      <w:pPr>
        <w:pStyle w:val="Tekstpodstawowy"/>
        <w:keepNext/>
        <w:rPr>
          <w:lang w:val="pl-PL" w:eastAsia="x-none"/>
        </w:rPr>
      </w:pPr>
    </w:p>
    <w:p w14:paraId="46297F5C" w14:textId="77777777" w:rsidR="001A3180" w:rsidRPr="001A3180" w:rsidRDefault="001A3180" w:rsidP="00DF45EE">
      <w:pPr>
        <w:pStyle w:val="Tekstpodstawowy"/>
        <w:keepNext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131160E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30FABCC9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</w:t>
      </w:r>
      <w:r w:rsidR="006362CB">
        <w:rPr>
          <w:rFonts w:ascii="Bahnschrift" w:hAnsi="Bahnschrift"/>
          <w:sz w:val="20"/>
          <w:lang w:val="pl-PL" w:eastAsia="x-none"/>
        </w:rPr>
        <w:t>a</w:t>
      </w:r>
      <w:r w:rsidR="00A67C4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>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77777777" w:rsidR="009E363B" w:rsidRP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2" w:name="_Toc96068018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2"/>
    </w:p>
    <w:p w14:paraId="78D2F2E9" w14:textId="694A153C" w:rsidR="00762B2C" w:rsidRPr="00762B2C" w:rsidRDefault="000D7D8E" w:rsidP="00EC69F6">
      <w:pPr>
        <w:pStyle w:val="Nagwek2"/>
        <w:numPr>
          <w:ilvl w:val="0"/>
          <w:numId w:val="39"/>
        </w:numPr>
        <w:spacing w:before="240"/>
        <w:ind w:left="142" w:hanging="142"/>
      </w:pPr>
      <w:r>
        <w:t xml:space="preserve"> </w:t>
      </w:r>
      <w:r w:rsidR="00762B2C" w:rsidRPr="00762B2C">
        <w:t>Środki ochrony prawnej.</w:t>
      </w:r>
    </w:p>
    <w:p w14:paraId="4FBDD2C0" w14:textId="54B18C27" w:rsidR="00762B2C" w:rsidRPr="00A67C4D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A67C4D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Środki ochrony prawnej wobec ogłoszenia wszczynającego postępowanie o udzielenie zamówienia oraz dokumentów zamówienia przysługują również organizacjom wpisanym na listę organizacji </w:t>
      </w:r>
      <w:r w:rsidRPr="00762B2C">
        <w:rPr>
          <w:rFonts w:eastAsia="Times New Roman" w:cs="Times New Roman"/>
          <w:bCs/>
          <w:szCs w:val="26"/>
          <w:lang w:eastAsia="x-none"/>
        </w:rPr>
        <w:lastRenderedPageBreak/>
        <w:t>uprawnionych do wnoszenia środków ochrony prawnej prowadzoną przez Prezesa UZP oraz Rzecznikowi Małych i Średnich Przedsiębiorców.</w:t>
      </w:r>
    </w:p>
    <w:p w14:paraId="3AE8FBA3" w14:textId="170A8245" w:rsid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EC69F6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78DC86CE" w14:textId="5D28A045" w:rsidR="00FE62B7" w:rsidRPr="004033EC" w:rsidRDefault="00762B2C" w:rsidP="00EC69F6">
      <w:pPr>
        <w:pStyle w:val="Akapitzlist"/>
        <w:numPr>
          <w:ilvl w:val="0"/>
          <w:numId w:val="4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77777777" w:rsidR="00762B2C" w:rsidRPr="00762B2C" w:rsidRDefault="00762B2C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3" w:name="_Toc96068019"/>
      <w:r w:rsidRPr="005B5BDF">
        <w:t>Informacje dodatkowe.</w:t>
      </w:r>
      <w:bookmarkEnd w:id="33"/>
    </w:p>
    <w:p w14:paraId="5B19376B" w14:textId="59623ABD" w:rsidR="00F85C46" w:rsidRPr="005B5BDF" w:rsidRDefault="00FE10A7" w:rsidP="00EC69F6">
      <w:pPr>
        <w:pStyle w:val="Nagwek2"/>
        <w:numPr>
          <w:ilvl w:val="0"/>
          <w:numId w:val="29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lastRenderedPageBreak/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</w:pPr>
      <w:r w:rsidRPr="005B5BDF">
        <w:t>Ochrona danych osobowych.</w:t>
      </w:r>
    </w:p>
    <w:p w14:paraId="39DDDF9C" w14:textId="2A10ABBC" w:rsidR="00F85C46" w:rsidRPr="005B5BDF" w:rsidRDefault="00F85C46" w:rsidP="00EC69F6">
      <w:pPr>
        <w:pStyle w:val="Nagwek3"/>
        <w:numPr>
          <w:ilvl w:val="0"/>
          <w:numId w:val="30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0023A44C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3E28A6">
        <w:rPr>
          <w:b/>
          <w:lang w:val="pl-PL"/>
        </w:rPr>
        <w:t>77</w:t>
      </w:r>
      <w:r w:rsidR="00BA329E">
        <w:rPr>
          <w:b/>
          <w:lang w:val="pl-PL"/>
        </w:rPr>
        <w:t>.202</w:t>
      </w:r>
      <w:r w:rsidR="00A67C4D">
        <w:rPr>
          <w:b/>
          <w:lang w:val="pl-PL"/>
        </w:rPr>
        <w:t>4</w:t>
      </w:r>
      <w:r w:rsidRPr="005B5BDF">
        <w:t xml:space="preserve"> o nazwie </w:t>
      </w:r>
      <w:r w:rsidR="00AE4CD2" w:rsidRPr="00E45F65">
        <w:rPr>
          <w:b/>
        </w:rPr>
        <w:t>„</w:t>
      </w:r>
      <w:r w:rsidR="00493E23">
        <w:rPr>
          <w:b/>
          <w:lang w:val="pl-PL"/>
        </w:rPr>
        <w:t>Dostawa sprzętu multimedialnego</w:t>
      </w:r>
      <w:r w:rsidR="003E28A6">
        <w:rPr>
          <w:b/>
          <w:lang w:val="pl-PL"/>
        </w:rPr>
        <w:t xml:space="preserve"> – odtwarzaczy Blu-Ray oraz systemu mikrofonów bezprzewodowych</w:t>
      </w:r>
      <w:r w:rsidR="00A67C4D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</w:t>
      </w:r>
      <w:r w:rsidRPr="005B5BDF">
        <w:lastRenderedPageBreak/>
        <w:t>danych wynikają z ustawy Pzp. W odniesieniu do Pani/Pana danych osobowych decyzje nie będą podejmowane w sposób zautomatyzowany, stosowanie do art. 22 RODO;</w:t>
      </w:r>
    </w:p>
    <w:p w14:paraId="1D0C3B36" w14:textId="0FEF0439" w:rsidR="00F85C46" w:rsidRPr="005B5BDF" w:rsidRDefault="00F85C46" w:rsidP="00EC69F6">
      <w:pPr>
        <w:pStyle w:val="Nagwek4"/>
        <w:numPr>
          <w:ilvl w:val="0"/>
          <w:numId w:val="40"/>
        </w:numPr>
        <w:ind w:left="851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315AF6">
        <w:rPr>
          <w:lang w:val="pl-PL"/>
        </w:rPr>
        <w:t>3</w:t>
      </w:r>
      <w:r w:rsidR="00EC05FC" w:rsidRPr="00EC05FC">
        <w:rPr>
          <w:lang w:val="pl-PL"/>
        </w:rPr>
        <w:t xml:space="preserve"> poz. </w:t>
      </w:r>
      <w:r w:rsidR="00315AF6">
        <w:rPr>
          <w:lang w:val="pl-PL"/>
        </w:rPr>
        <w:t>1605</w:t>
      </w:r>
      <w:r w:rsidR="00EC05FC" w:rsidRPr="00EC05FC">
        <w:rPr>
          <w:lang w:val="pl-PL"/>
        </w:rPr>
        <w:t xml:space="preserve"> z </w:t>
      </w:r>
      <w:proofErr w:type="spellStart"/>
      <w:r w:rsidR="00EC05FC" w:rsidRPr="00EC05FC">
        <w:rPr>
          <w:lang w:val="pl-PL"/>
        </w:rPr>
        <w:t>późn</w:t>
      </w:r>
      <w:proofErr w:type="spellEnd"/>
      <w:r w:rsidR="00EC05FC" w:rsidRPr="00EC05FC">
        <w:rPr>
          <w:lang w:val="pl-PL"/>
        </w:rPr>
        <w:t xml:space="preserve">. </w:t>
      </w:r>
      <w:proofErr w:type="spellStart"/>
      <w:r w:rsidR="00EC05FC" w:rsidRPr="00EC05FC">
        <w:rPr>
          <w:lang w:val="pl-PL"/>
        </w:rPr>
        <w:t>zm</w:t>
      </w:r>
      <w:proofErr w:type="spellEnd"/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2020 r. poz. 2176)</w:t>
      </w:r>
      <w:r w:rsidR="003144B0" w:rsidRPr="00FB1BF5">
        <w:t>. Udostępnianie danych ma zast</w:t>
      </w:r>
      <w:r w:rsidR="003144B0" w:rsidRPr="005B5BDF">
        <w:t>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</w:t>
      </w:r>
      <w:r w:rsidR="003144B0" w:rsidRPr="005B5BDF">
        <w:rPr>
          <w:rFonts w:cs="Arial"/>
          <w:szCs w:val="20"/>
          <w:lang w:eastAsia="ar-SA"/>
        </w:rPr>
        <w:lastRenderedPageBreak/>
        <w:t>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EC69F6">
      <w:pPr>
        <w:pStyle w:val="Nagwek3"/>
        <w:numPr>
          <w:ilvl w:val="0"/>
          <w:numId w:val="30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593B8F35" w:rsidR="00F85C46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p w14:paraId="04D325DB" w14:textId="1E2927B7" w:rsidR="00D063C5" w:rsidRPr="00D063C5" w:rsidRDefault="00D063C5" w:rsidP="00D063C5">
      <w:pPr>
        <w:pStyle w:val="Akapitzlist"/>
        <w:numPr>
          <w:ilvl w:val="0"/>
          <w:numId w:val="30"/>
        </w:numPr>
        <w:ind w:left="567"/>
        <w:outlineLvl w:val="2"/>
        <w:rPr>
          <w:rFonts w:eastAsia="Calibri" w:cs="Times New Roman"/>
          <w:bCs/>
          <w:noProof/>
          <w:szCs w:val="20"/>
          <w:lang w:eastAsia="ar-SA"/>
        </w:rPr>
      </w:pPr>
      <w:r w:rsidRPr="00D063C5">
        <w:rPr>
          <w:rFonts w:eastAsia="Calibri" w:cs="Times New Roman"/>
          <w:bCs/>
          <w:noProof/>
          <w:szCs w:val="20"/>
          <w:lang w:eastAsia="ar-SA"/>
        </w:rPr>
        <w:t>Dostawa będąca przedmiotem niniejszego postępowania o zamówienie publiczne jest finansowana w ramach projektu pt. „jUŚt transition – Potencjał Uniwersytetu Śląskiego podstawą Sprawiedliwej Transformacji regionu” Fundusze Europejskie dla Śląskiego 2021-2027. Tym samym Uniwersytet Śląski w Katowicach jako Beneficjent projektu jest zobowiązany, w celach rozliczeniowych, sprawozdawczych i kontrolnych do przekazania danych wyłonionego w postępowaniu przetargowym Wykonawcy dostaw realizowanych w ramach projektu.</w:t>
      </w:r>
    </w:p>
    <w:p w14:paraId="3360046C" w14:textId="11F39CF7" w:rsidR="00D063C5" w:rsidRPr="00D063C5" w:rsidRDefault="00D063C5" w:rsidP="00070D49">
      <w:pPr>
        <w:pStyle w:val="Akapitzlist"/>
        <w:ind w:left="567" w:firstLine="0"/>
        <w:outlineLvl w:val="2"/>
        <w:rPr>
          <w:rFonts w:cs="Arial"/>
          <w:b/>
          <w:szCs w:val="20"/>
          <w:lang w:eastAsia="ar-SA"/>
        </w:rPr>
      </w:pPr>
      <w:r w:rsidRPr="00D063C5">
        <w:rPr>
          <w:lang w:eastAsia="ar-SA"/>
        </w:rPr>
        <w:lastRenderedPageBreak/>
        <w:t>Mając pow</w:t>
      </w:r>
      <w:r w:rsidR="00044CFC">
        <w:rPr>
          <w:lang w:eastAsia="ar-SA"/>
        </w:rPr>
        <w:t>y</w:t>
      </w:r>
      <w:r w:rsidRPr="00D063C5">
        <w:rPr>
          <w:lang w:eastAsia="ar-SA"/>
        </w:rPr>
        <w:t xml:space="preserve">ższe na względzie Instytucja Zarządzająca projektem tj. Zarząd Województwa Śląskiego </w:t>
      </w:r>
      <w:r w:rsidRPr="00D063C5">
        <w:rPr>
          <w:rFonts w:eastAsia="Calibri" w:cs="Times New Roman"/>
          <w:bCs/>
          <w:noProof/>
          <w:szCs w:val="20"/>
          <w:lang w:eastAsia="ar-SA"/>
        </w:rPr>
        <w:t>staje</w:t>
      </w:r>
      <w:r w:rsidRPr="00D063C5">
        <w:rPr>
          <w:lang w:eastAsia="ar-SA"/>
        </w:rPr>
        <w:t xml:space="preserve"> się odrębnym Administratorem Państwa danych. Klauzula informacyjna RODO dla podmiotów realizujących projekt znajduje się pod adresem:</w:t>
      </w:r>
      <w:r w:rsidR="00602CCD">
        <w:rPr>
          <w:lang w:eastAsia="ar-SA"/>
        </w:rPr>
        <w:t xml:space="preserve"> </w:t>
      </w:r>
      <w:hyperlink r:id="rId34" w:history="1">
        <w:r w:rsidR="00602CCD" w:rsidRPr="0069717E">
          <w:rPr>
            <w:rStyle w:val="Hipercze"/>
            <w:lang w:eastAsia="ar-SA"/>
          </w:rPr>
          <w:t>https://funduszeue.slaskie.pl/czytaj/infor_podo_dla_reprez_wniosk</w:t>
        </w:r>
      </w:hyperlink>
    </w:p>
    <w:sectPr w:rsidR="00D063C5" w:rsidRPr="00D063C5" w:rsidSect="0020091C">
      <w:headerReference w:type="default" r:id="rId35"/>
      <w:footerReference w:type="default" r:id="rId36"/>
      <w:headerReference w:type="first" r:id="rId37"/>
      <w:footerReference w:type="first" r:id="rId38"/>
      <w:pgSz w:w="11906" w:h="16838" w:code="9"/>
      <w:pgMar w:top="1560" w:right="1134" w:bottom="567" w:left="1134" w:header="0" w:footer="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1A61E" w16cex:dateUtc="2024-06-22T17:35:00Z"/>
  <w16cex:commentExtensible w16cex:durableId="2A21A520" w16cex:dateUtc="2024-06-22T17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281B" w14:textId="77777777" w:rsidR="006362CB" w:rsidRDefault="006362CB" w:rsidP="005D63CD">
      <w:pPr>
        <w:spacing w:line="240" w:lineRule="auto"/>
      </w:pPr>
      <w:r>
        <w:separator/>
      </w:r>
    </w:p>
  </w:endnote>
  <w:endnote w:type="continuationSeparator" w:id="0">
    <w:p w14:paraId="297C4E45" w14:textId="77777777" w:rsidR="006362CB" w:rsidRDefault="006362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2BEBFBE8" w:rsidR="006362CB" w:rsidRDefault="006362CB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D77075" wp14:editId="5C2CEB77">
              <wp:simplePos x="0" y="0"/>
              <wp:positionH relativeFrom="rightMargin">
                <wp:posOffset>-271145</wp:posOffset>
              </wp:positionH>
              <wp:positionV relativeFrom="margin">
                <wp:posOffset>9010650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6362CB" w:rsidRPr="00FD62F5" w:rsidRDefault="006362CB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-21.35pt;margin-top:709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" o:allowincell="f" stroked="f">
              <v:textbox style="mso-fit-shape-to-text:t" inset="0,,0">
                <w:txbxContent>
                  <w:p w14:paraId="6E3F838F" w14:textId="77777777" w:rsidR="006362CB" w:rsidRPr="00FD62F5" w:rsidRDefault="006362CB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F45EE" w:rsidRPr="00D063C5" w14:paraId="49DAA7EF" w14:textId="77777777" w:rsidTr="003C7A09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1E42B696" w14:textId="77777777" w:rsidR="00DF45EE" w:rsidRPr="00D063C5" w:rsidRDefault="00DF45EE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00634CB9" w14:textId="77777777" w:rsidR="00DF45EE" w:rsidRPr="00D063C5" w:rsidRDefault="00DF45EE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7C82F978" w14:textId="77777777" w:rsidR="00DF45EE" w:rsidRPr="00D063C5" w:rsidRDefault="00DF45EE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47A96D80" w14:textId="77777777" w:rsidR="00DF45EE" w:rsidRPr="00D063C5" w:rsidRDefault="00DF45EE" w:rsidP="00DF45EE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64694CE5" wp14:editId="36B7DB90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CEA258" w14:textId="51BD715D" w:rsidR="006362CB" w:rsidRDefault="006362CB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795AD00A" w:rsidR="006362CB" w:rsidRPr="00602A59" w:rsidRDefault="006362CB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6362CB" w:rsidRPr="006B318B" w:rsidRDefault="006362CB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6362CB" w:rsidRPr="00D063C5" w14:paraId="5C424237" w14:textId="77777777" w:rsidTr="00794786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5DF5EB4B" w14:textId="77777777" w:rsidR="006362CB" w:rsidRPr="00D063C5" w:rsidRDefault="006362CB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34" w:name="_Hlk98499597"/>
          <w:bookmarkStart w:id="35" w:name="_Hlk98499598"/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3E5090C3" w14:textId="77777777" w:rsidR="006362CB" w:rsidRPr="00D063C5" w:rsidRDefault="006362CB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33CE4DA0" w14:textId="77777777" w:rsidR="006362CB" w:rsidRPr="00D063C5" w:rsidRDefault="006362CB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0C84C33A" w14:textId="77777777" w:rsidR="006362CB" w:rsidRPr="00D063C5" w:rsidRDefault="006362CB" w:rsidP="00D063C5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74F31005" wp14:editId="2BBA7A11">
                <wp:extent cx="2174562" cy="257175"/>
                <wp:effectExtent l="0" t="0" r="0" b="0"/>
                <wp:docPr id="9" name="Obraz 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4"/>
    <w:bookmarkEnd w:id="35"/>
  </w:tbl>
  <w:p w14:paraId="13061C26" w14:textId="77777777" w:rsidR="006362CB" w:rsidRPr="00FF31E6" w:rsidRDefault="006362CB" w:rsidP="006B35B6">
    <w:pPr>
      <w:pStyle w:val="Stopka"/>
      <w:jc w:val="center"/>
      <w:rPr>
        <w:szCs w:val="20"/>
      </w:rPr>
    </w:pPr>
  </w:p>
  <w:p w14:paraId="72289625" w14:textId="77777777" w:rsidR="006362CB" w:rsidRDefault="006362CB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14346" w14:textId="77777777" w:rsidR="006362CB" w:rsidRDefault="006362CB" w:rsidP="005D63CD">
      <w:pPr>
        <w:spacing w:line="240" w:lineRule="auto"/>
      </w:pPr>
      <w:r>
        <w:separator/>
      </w:r>
    </w:p>
  </w:footnote>
  <w:footnote w:type="continuationSeparator" w:id="0">
    <w:p w14:paraId="4E58208C" w14:textId="77777777" w:rsidR="006362CB" w:rsidRDefault="006362CB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6362CB" w:rsidRDefault="006362CB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6362CB" w:rsidRDefault="006362CB" w:rsidP="000729DF">
    <w:pPr>
      <w:pStyle w:val="Nagwek"/>
      <w:tabs>
        <w:tab w:val="clear" w:pos="4536"/>
        <w:tab w:val="clear" w:pos="9072"/>
        <w:tab w:val="left" w:pos="1650"/>
      </w:tabs>
    </w:pPr>
  </w:p>
  <w:p w14:paraId="12699165" w14:textId="77777777" w:rsidR="00DF45EE" w:rsidRDefault="00DF45EE" w:rsidP="00DF45EE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36EE4DAB" wp14:editId="6F267D5F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FB7AD9" w14:textId="77777777" w:rsidR="00DF45EE" w:rsidRDefault="00DF45EE" w:rsidP="00DF45EE">
    <w:pPr>
      <w:pStyle w:val="Nagwek"/>
    </w:pPr>
  </w:p>
  <w:p w14:paraId="28A4C8A6" w14:textId="77777777" w:rsidR="00DF45EE" w:rsidRDefault="00DF45EE" w:rsidP="00DF45EE">
    <w:pPr>
      <w:pStyle w:val="Nagwek"/>
      <w:jc w:val="center"/>
    </w:pPr>
  </w:p>
  <w:p w14:paraId="54B25ED9" w14:textId="77777777" w:rsidR="00DF45EE" w:rsidRPr="00304094" w:rsidRDefault="00DF45EE" w:rsidP="00DF45E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59ED7CCD" w14:textId="77777777" w:rsidR="00DF45EE" w:rsidRPr="00304094" w:rsidRDefault="00DF45EE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06D9B9BD" w14:textId="77777777" w:rsidR="00DF45EE" w:rsidRDefault="00DF45EE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69B74566" w14:textId="77777777" w:rsidR="00DF45EE" w:rsidRPr="00304094" w:rsidRDefault="00DF45EE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221291A8" w14:textId="39B2EC7B" w:rsidR="006362CB" w:rsidRDefault="006362C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45B5" w14:textId="77777777" w:rsidR="006362CB" w:rsidRDefault="006362CB" w:rsidP="00D063C5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62525111" wp14:editId="0AFCDC16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5154F" w14:textId="77777777" w:rsidR="006362CB" w:rsidRDefault="006362CB" w:rsidP="00D063C5">
    <w:pPr>
      <w:pStyle w:val="Nagwek"/>
    </w:pPr>
  </w:p>
  <w:p w14:paraId="3FDF4866" w14:textId="77777777" w:rsidR="006362CB" w:rsidRDefault="006362CB" w:rsidP="00D063C5">
    <w:pPr>
      <w:pStyle w:val="Nagwek"/>
      <w:jc w:val="center"/>
    </w:pPr>
  </w:p>
  <w:p w14:paraId="73E93C94" w14:textId="77777777" w:rsidR="006362CB" w:rsidRPr="00304094" w:rsidRDefault="006362CB" w:rsidP="00D063C5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55C5FD90" w14:textId="77777777" w:rsidR="006362CB" w:rsidRPr="00304094" w:rsidRDefault="006362CB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279D6AA2" w14:textId="77777777" w:rsidR="006362CB" w:rsidRDefault="006362CB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5D10A337" w14:textId="77777777" w:rsidR="006362CB" w:rsidRPr="00304094" w:rsidRDefault="006362CB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6059B8D5" w14:textId="7487735F" w:rsidR="006362CB" w:rsidRPr="003F4892" w:rsidRDefault="006362CB" w:rsidP="009E0ED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D7A55"/>
    <w:multiLevelType w:val="hybridMultilevel"/>
    <w:tmpl w:val="AE58E256"/>
    <w:lvl w:ilvl="0" w:tplc="28780FC2">
      <w:start w:val="2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ED52E6FA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C5C22E48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74B48620"/>
    <w:lvl w:ilvl="0" w:tplc="2490FFB2">
      <w:start w:val="1"/>
      <w:numFmt w:val="decimal"/>
      <w:lvlText w:val="%1)"/>
      <w:lvlJc w:val="left"/>
      <w:pPr>
        <w:ind w:left="36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41B6568A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5BD8D1F4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D5753D"/>
    <w:multiLevelType w:val="hybridMultilevel"/>
    <w:tmpl w:val="45D8CC42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C729CA4">
      <w:start w:val="1"/>
      <w:numFmt w:val="lowerLetter"/>
      <w:lvlText w:val="%2)"/>
      <w:lvlJc w:val="left"/>
      <w:pPr>
        <w:ind w:left="1440" w:hanging="360"/>
      </w:pPr>
      <w:rPr>
        <w:rFonts w:ascii="Bahnschrift" w:eastAsia="Times New Roman" w:hAnsi="Bahnschrif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79D6890"/>
    <w:multiLevelType w:val="hybridMultilevel"/>
    <w:tmpl w:val="94EA7682"/>
    <w:lvl w:ilvl="0" w:tplc="03007B1E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33E3E"/>
    <w:multiLevelType w:val="hybridMultilevel"/>
    <w:tmpl w:val="40B24152"/>
    <w:lvl w:ilvl="0" w:tplc="936287C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536FED"/>
    <w:multiLevelType w:val="hybridMultilevel"/>
    <w:tmpl w:val="FB3E0C08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F89E821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7"/>
  </w:num>
  <w:num w:numId="7">
    <w:abstractNumId w:val="26"/>
  </w:num>
  <w:num w:numId="8">
    <w:abstractNumId w:val="9"/>
    <w:lvlOverride w:ilvl="0">
      <w:startOverride w:val="1"/>
    </w:lvlOverride>
  </w:num>
  <w:num w:numId="9">
    <w:abstractNumId w:val="22"/>
  </w:num>
  <w:num w:numId="10">
    <w:abstractNumId w:val="21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2"/>
    </w:lvlOverride>
  </w:num>
  <w:num w:numId="26">
    <w:abstractNumId w:val="8"/>
  </w:num>
  <w:num w:numId="27">
    <w:abstractNumId w:val="4"/>
    <w:lvlOverride w:ilvl="0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5"/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0"/>
  </w:num>
  <w:num w:numId="37">
    <w:abstractNumId w:val="12"/>
  </w:num>
  <w:num w:numId="38">
    <w:abstractNumId w:val="6"/>
  </w:num>
  <w:num w:numId="39">
    <w:abstractNumId w:val="9"/>
    <w:lvlOverride w:ilvl="0">
      <w:startOverride w:val="1"/>
    </w:lvlOverride>
  </w:num>
  <w:num w:numId="40">
    <w:abstractNumId w:val="7"/>
  </w:num>
  <w:num w:numId="41">
    <w:abstractNumId w:val="24"/>
  </w:num>
  <w:num w:numId="42">
    <w:abstractNumId w:val="3"/>
  </w:num>
  <w:num w:numId="43">
    <w:abstractNumId w:val="16"/>
  </w:num>
  <w:num w:numId="44">
    <w:abstractNumId w:val="14"/>
  </w:num>
  <w:num w:numId="45">
    <w:abstractNumId w:val="5"/>
  </w:num>
  <w:num w:numId="46">
    <w:abstractNumId w:val="2"/>
  </w:num>
  <w:num w:numId="47">
    <w:abstractNumId w:val="20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9">
    <w:abstractNumId w:val="25"/>
  </w:num>
  <w:num w:numId="50">
    <w:abstractNumId w:val="23"/>
  </w:num>
  <w:num w:numId="51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0ED0"/>
    <w:rsid w:val="0001285D"/>
    <w:rsid w:val="00017990"/>
    <w:rsid w:val="00021C6F"/>
    <w:rsid w:val="00023CE7"/>
    <w:rsid w:val="0002557B"/>
    <w:rsid w:val="000335FC"/>
    <w:rsid w:val="00034894"/>
    <w:rsid w:val="0003593D"/>
    <w:rsid w:val="000368D4"/>
    <w:rsid w:val="00040894"/>
    <w:rsid w:val="000431C2"/>
    <w:rsid w:val="00044CFC"/>
    <w:rsid w:val="00046949"/>
    <w:rsid w:val="000479C6"/>
    <w:rsid w:val="000518A0"/>
    <w:rsid w:val="00052289"/>
    <w:rsid w:val="0006226D"/>
    <w:rsid w:val="00062715"/>
    <w:rsid w:val="0006396E"/>
    <w:rsid w:val="000649CD"/>
    <w:rsid w:val="00065E6E"/>
    <w:rsid w:val="00066CCC"/>
    <w:rsid w:val="00070C25"/>
    <w:rsid w:val="00070D49"/>
    <w:rsid w:val="00072653"/>
    <w:rsid w:val="000729DF"/>
    <w:rsid w:val="00072A6B"/>
    <w:rsid w:val="0007394F"/>
    <w:rsid w:val="00073AF7"/>
    <w:rsid w:val="00080C23"/>
    <w:rsid w:val="00081323"/>
    <w:rsid w:val="00081FD8"/>
    <w:rsid w:val="00083060"/>
    <w:rsid w:val="000836B7"/>
    <w:rsid w:val="00094AA9"/>
    <w:rsid w:val="00097E19"/>
    <w:rsid w:val="000A2883"/>
    <w:rsid w:val="000A37EA"/>
    <w:rsid w:val="000A3D64"/>
    <w:rsid w:val="000A5BCB"/>
    <w:rsid w:val="000B0AAE"/>
    <w:rsid w:val="000C5ABC"/>
    <w:rsid w:val="000C767C"/>
    <w:rsid w:val="000D10E1"/>
    <w:rsid w:val="000D1F37"/>
    <w:rsid w:val="000D4319"/>
    <w:rsid w:val="000D7746"/>
    <w:rsid w:val="000D7D8E"/>
    <w:rsid w:val="000E587B"/>
    <w:rsid w:val="000E5D19"/>
    <w:rsid w:val="000E71E1"/>
    <w:rsid w:val="000E730F"/>
    <w:rsid w:val="00103256"/>
    <w:rsid w:val="00110217"/>
    <w:rsid w:val="00111FD4"/>
    <w:rsid w:val="00113823"/>
    <w:rsid w:val="00115822"/>
    <w:rsid w:val="00120932"/>
    <w:rsid w:val="00120996"/>
    <w:rsid w:val="00122C86"/>
    <w:rsid w:val="00125FCF"/>
    <w:rsid w:val="00126D47"/>
    <w:rsid w:val="0013760F"/>
    <w:rsid w:val="0014503A"/>
    <w:rsid w:val="001455CE"/>
    <w:rsid w:val="001463E7"/>
    <w:rsid w:val="00147280"/>
    <w:rsid w:val="001507BC"/>
    <w:rsid w:val="001509D7"/>
    <w:rsid w:val="00154F97"/>
    <w:rsid w:val="00155256"/>
    <w:rsid w:val="00157982"/>
    <w:rsid w:val="001615F5"/>
    <w:rsid w:val="00167AD7"/>
    <w:rsid w:val="00170642"/>
    <w:rsid w:val="00172905"/>
    <w:rsid w:val="001740D0"/>
    <w:rsid w:val="001814C5"/>
    <w:rsid w:val="001824B0"/>
    <w:rsid w:val="001849FF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2AFE"/>
    <w:rsid w:val="001B3CC9"/>
    <w:rsid w:val="001B52C6"/>
    <w:rsid w:val="001B565E"/>
    <w:rsid w:val="001B6A6B"/>
    <w:rsid w:val="001C43D0"/>
    <w:rsid w:val="001D05CD"/>
    <w:rsid w:val="001D338A"/>
    <w:rsid w:val="001D497D"/>
    <w:rsid w:val="001D52C5"/>
    <w:rsid w:val="001E0160"/>
    <w:rsid w:val="001E1CE8"/>
    <w:rsid w:val="001E1EB1"/>
    <w:rsid w:val="001E5A79"/>
    <w:rsid w:val="001E7198"/>
    <w:rsid w:val="00200757"/>
    <w:rsid w:val="0020091C"/>
    <w:rsid w:val="00200A27"/>
    <w:rsid w:val="0020199B"/>
    <w:rsid w:val="00212984"/>
    <w:rsid w:val="00213027"/>
    <w:rsid w:val="0022031B"/>
    <w:rsid w:val="00221638"/>
    <w:rsid w:val="00222B33"/>
    <w:rsid w:val="00226310"/>
    <w:rsid w:val="002278D2"/>
    <w:rsid w:val="00230DBE"/>
    <w:rsid w:val="00230DE9"/>
    <w:rsid w:val="002318AB"/>
    <w:rsid w:val="00235A92"/>
    <w:rsid w:val="00235BF8"/>
    <w:rsid w:val="0023734C"/>
    <w:rsid w:val="00237D14"/>
    <w:rsid w:val="00240A60"/>
    <w:rsid w:val="00241D9C"/>
    <w:rsid w:val="00244022"/>
    <w:rsid w:val="002516A1"/>
    <w:rsid w:val="00272E3F"/>
    <w:rsid w:val="0027567D"/>
    <w:rsid w:val="002767DF"/>
    <w:rsid w:val="0027702E"/>
    <w:rsid w:val="002821D4"/>
    <w:rsid w:val="00286153"/>
    <w:rsid w:val="002953B7"/>
    <w:rsid w:val="00297EB3"/>
    <w:rsid w:val="002A3574"/>
    <w:rsid w:val="002A41FD"/>
    <w:rsid w:val="002A50F6"/>
    <w:rsid w:val="002B0578"/>
    <w:rsid w:val="002B20B0"/>
    <w:rsid w:val="002B3B39"/>
    <w:rsid w:val="002B580B"/>
    <w:rsid w:val="002B5872"/>
    <w:rsid w:val="002B58E1"/>
    <w:rsid w:val="002B6782"/>
    <w:rsid w:val="002B7763"/>
    <w:rsid w:val="002D273D"/>
    <w:rsid w:val="002D2F12"/>
    <w:rsid w:val="002D64F0"/>
    <w:rsid w:val="002E4CF0"/>
    <w:rsid w:val="002E60BD"/>
    <w:rsid w:val="002E61FF"/>
    <w:rsid w:val="002E6AAD"/>
    <w:rsid w:val="002F2EEE"/>
    <w:rsid w:val="002F5524"/>
    <w:rsid w:val="002F56CF"/>
    <w:rsid w:val="002F69B6"/>
    <w:rsid w:val="00301EA8"/>
    <w:rsid w:val="0030231B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37855"/>
    <w:rsid w:val="00341DCF"/>
    <w:rsid w:val="003439DD"/>
    <w:rsid w:val="00343B22"/>
    <w:rsid w:val="0035176B"/>
    <w:rsid w:val="00354EEE"/>
    <w:rsid w:val="00357D01"/>
    <w:rsid w:val="003605F4"/>
    <w:rsid w:val="003636A2"/>
    <w:rsid w:val="00366694"/>
    <w:rsid w:val="00381133"/>
    <w:rsid w:val="00382315"/>
    <w:rsid w:val="003835A5"/>
    <w:rsid w:val="00384DA3"/>
    <w:rsid w:val="00385E23"/>
    <w:rsid w:val="0039065F"/>
    <w:rsid w:val="003913E1"/>
    <w:rsid w:val="003925AC"/>
    <w:rsid w:val="00394ABD"/>
    <w:rsid w:val="003B3416"/>
    <w:rsid w:val="003B4EFE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D23EF"/>
    <w:rsid w:val="003E05AE"/>
    <w:rsid w:val="003E1DB0"/>
    <w:rsid w:val="003E28A6"/>
    <w:rsid w:val="003E36AD"/>
    <w:rsid w:val="003E3BDD"/>
    <w:rsid w:val="003E6CB0"/>
    <w:rsid w:val="003F4892"/>
    <w:rsid w:val="003F6BC9"/>
    <w:rsid w:val="004033EC"/>
    <w:rsid w:val="00404C44"/>
    <w:rsid w:val="004054BE"/>
    <w:rsid w:val="00410DFD"/>
    <w:rsid w:val="0041583C"/>
    <w:rsid w:val="00416D20"/>
    <w:rsid w:val="00416D5A"/>
    <w:rsid w:val="00420B69"/>
    <w:rsid w:val="00430D9E"/>
    <w:rsid w:val="0043134E"/>
    <w:rsid w:val="00432A69"/>
    <w:rsid w:val="00434214"/>
    <w:rsid w:val="00436F8D"/>
    <w:rsid w:val="0043701C"/>
    <w:rsid w:val="00441EC0"/>
    <w:rsid w:val="004516FA"/>
    <w:rsid w:val="00453A7B"/>
    <w:rsid w:val="00455B33"/>
    <w:rsid w:val="00457D79"/>
    <w:rsid w:val="00466258"/>
    <w:rsid w:val="0046749E"/>
    <w:rsid w:val="00467882"/>
    <w:rsid w:val="00471B27"/>
    <w:rsid w:val="00472193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2B8D"/>
    <w:rsid w:val="00493E23"/>
    <w:rsid w:val="0049570C"/>
    <w:rsid w:val="004960E1"/>
    <w:rsid w:val="004A2BDB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7CC"/>
    <w:rsid w:val="00501F30"/>
    <w:rsid w:val="00504EB8"/>
    <w:rsid w:val="005149DB"/>
    <w:rsid w:val="00515101"/>
    <w:rsid w:val="00522B61"/>
    <w:rsid w:val="00530958"/>
    <w:rsid w:val="00530CAA"/>
    <w:rsid w:val="0053656A"/>
    <w:rsid w:val="0054055E"/>
    <w:rsid w:val="005425C4"/>
    <w:rsid w:val="0054486C"/>
    <w:rsid w:val="0055317F"/>
    <w:rsid w:val="00553D74"/>
    <w:rsid w:val="00557CB8"/>
    <w:rsid w:val="005625C2"/>
    <w:rsid w:val="00567937"/>
    <w:rsid w:val="00580C90"/>
    <w:rsid w:val="00583177"/>
    <w:rsid w:val="00583793"/>
    <w:rsid w:val="00584E90"/>
    <w:rsid w:val="00586657"/>
    <w:rsid w:val="005907F1"/>
    <w:rsid w:val="00593C25"/>
    <w:rsid w:val="00594E26"/>
    <w:rsid w:val="005968E9"/>
    <w:rsid w:val="005A0F0B"/>
    <w:rsid w:val="005A186A"/>
    <w:rsid w:val="005A19CF"/>
    <w:rsid w:val="005A1B75"/>
    <w:rsid w:val="005A269D"/>
    <w:rsid w:val="005B34FE"/>
    <w:rsid w:val="005B5871"/>
    <w:rsid w:val="005B5BA7"/>
    <w:rsid w:val="005B5BDF"/>
    <w:rsid w:val="005B5C4C"/>
    <w:rsid w:val="005C144F"/>
    <w:rsid w:val="005C4889"/>
    <w:rsid w:val="005C5AB7"/>
    <w:rsid w:val="005C66B9"/>
    <w:rsid w:val="005D2930"/>
    <w:rsid w:val="005D4855"/>
    <w:rsid w:val="005D63CD"/>
    <w:rsid w:val="005D6498"/>
    <w:rsid w:val="005D75BF"/>
    <w:rsid w:val="005D7EA1"/>
    <w:rsid w:val="005E427A"/>
    <w:rsid w:val="005E7B56"/>
    <w:rsid w:val="005F0C33"/>
    <w:rsid w:val="005F2A5F"/>
    <w:rsid w:val="005F5918"/>
    <w:rsid w:val="005F5ABD"/>
    <w:rsid w:val="005F722C"/>
    <w:rsid w:val="00602A59"/>
    <w:rsid w:val="00602CCD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6A91"/>
    <w:rsid w:val="00627500"/>
    <w:rsid w:val="00635695"/>
    <w:rsid w:val="006362CB"/>
    <w:rsid w:val="006364F5"/>
    <w:rsid w:val="00636F3B"/>
    <w:rsid w:val="00637464"/>
    <w:rsid w:val="006378CF"/>
    <w:rsid w:val="00637C64"/>
    <w:rsid w:val="00642C54"/>
    <w:rsid w:val="006528BD"/>
    <w:rsid w:val="00656AE8"/>
    <w:rsid w:val="00660E10"/>
    <w:rsid w:val="0066172A"/>
    <w:rsid w:val="00663D66"/>
    <w:rsid w:val="00664C22"/>
    <w:rsid w:val="006675AE"/>
    <w:rsid w:val="00670FAF"/>
    <w:rsid w:val="006727FE"/>
    <w:rsid w:val="00673F0B"/>
    <w:rsid w:val="00686521"/>
    <w:rsid w:val="00687243"/>
    <w:rsid w:val="006873D8"/>
    <w:rsid w:val="00693A09"/>
    <w:rsid w:val="00696973"/>
    <w:rsid w:val="006A1250"/>
    <w:rsid w:val="006A2B8B"/>
    <w:rsid w:val="006A4DA6"/>
    <w:rsid w:val="006A5DE3"/>
    <w:rsid w:val="006A5F11"/>
    <w:rsid w:val="006A5FB0"/>
    <w:rsid w:val="006A784F"/>
    <w:rsid w:val="006B0886"/>
    <w:rsid w:val="006B14D7"/>
    <w:rsid w:val="006B2658"/>
    <w:rsid w:val="006B318B"/>
    <w:rsid w:val="006B35B6"/>
    <w:rsid w:val="006C0B41"/>
    <w:rsid w:val="006C251D"/>
    <w:rsid w:val="006C5845"/>
    <w:rsid w:val="006C5B66"/>
    <w:rsid w:val="006C76A2"/>
    <w:rsid w:val="006D2833"/>
    <w:rsid w:val="006D3219"/>
    <w:rsid w:val="006D4E1B"/>
    <w:rsid w:val="006D6009"/>
    <w:rsid w:val="006E1313"/>
    <w:rsid w:val="006E2700"/>
    <w:rsid w:val="006E33C4"/>
    <w:rsid w:val="006E3EF8"/>
    <w:rsid w:val="006F2012"/>
    <w:rsid w:val="006F2450"/>
    <w:rsid w:val="00701AB4"/>
    <w:rsid w:val="007051BA"/>
    <w:rsid w:val="00705575"/>
    <w:rsid w:val="00706215"/>
    <w:rsid w:val="0070662F"/>
    <w:rsid w:val="007124B4"/>
    <w:rsid w:val="007130EC"/>
    <w:rsid w:val="0071379B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586F"/>
    <w:rsid w:val="00747C84"/>
    <w:rsid w:val="00751D66"/>
    <w:rsid w:val="00753946"/>
    <w:rsid w:val="00755F50"/>
    <w:rsid w:val="00756496"/>
    <w:rsid w:val="00762B2C"/>
    <w:rsid w:val="00765CD8"/>
    <w:rsid w:val="00765F16"/>
    <w:rsid w:val="007667C8"/>
    <w:rsid w:val="00771C3B"/>
    <w:rsid w:val="007736C6"/>
    <w:rsid w:val="00774987"/>
    <w:rsid w:val="00780BB9"/>
    <w:rsid w:val="00781509"/>
    <w:rsid w:val="00781B28"/>
    <w:rsid w:val="00781DBE"/>
    <w:rsid w:val="00782008"/>
    <w:rsid w:val="00782455"/>
    <w:rsid w:val="007905BE"/>
    <w:rsid w:val="00791BE2"/>
    <w:rsid w:val="0079207F"/>
    <w:rsid w:val="00794699"/>
    <w:rsid w:val="00794786"/>
    <w:rsid w:val="00794879"/>
    <w:rsid w:val="00795E5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37BE"/>
    <w:rsid w:val="007C52C3"/>
    <w:rsid w:val="007C7952"/>
    <w:rsid w:val="007D0738"/>
    <w:rsid w:val="007D4F30"/>
    <w:rsid w:val="007D67F0"/>
    <w:rsid w:val="007E1600"/>
    <w:rsid w:val="007E1CA4"/>
    <w:rsid w:val="007E1EB6"/>
    <w:rsid w:val="007E39C8"/>
    <w:rsid w:val="007F153F"/>
    <w:rsid w:val="007F1CC6"/>
    <w:rsid w:val="007F728E"/>
    <w:rsid w:val="00801A5D"/>
    <w:rsid w:val="00802322"/>
    <w:rsid w:val="0080375C"/>
    <w:rsid w:val="00803842"/>
    <w:rsid w:val="0080582A"/>
    <w:rsid w:val="00805C65"/>
    <w:rsid w:val="0081004B"/>
    <w:rsid w:val="0081100D"/>
    <w:rsid w:val="00812D89"/>
    <w:rsid w:val="00815FE8"/>
    <w:rsid w:val="0082259F"/>
    <w:rsid w:val="008267E1"/>
    <w:rsid w:val="008278FB"/>
    <w:rsid w:val="008325FA"/>
    <w:rsid w:val="0084270D"/>
    <w:rsid w:val="00842750"/>
    <w:rsid w:val="00845B0F"/>
    <w:rsid w:val="00853907"/>
    <w:rsid w:val="008603CF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C2832"/>
    <w:rsid w:val="008D2094"/>
    <w:rsid w:val="008D5E0B"/>
    <w:rsid w:val="008D6FBC"/>
    <w:rsid w:val="008E0881"/>
    <w:rsid w:val="008E1291"/>
    <w:rsid w:val="008E27FB"/>
    <w:rsid w:val="008E7BEC"/>
    <w:rsid w:val="008F1477"/>
    <w:rsid w:val="008F26C9"/>
    <w:rsid w:val="008F2B8E"/>
    <w:rsid w:val="00902121"/>
    <w:rsid w:val="009055D5"/>
    <w:rsid w:val="00907E2D"/>
    <w:rsid w:val="00912E09"/>
    <w:rsid w:val="009135A0"/>
    <w:rsid w:val="009159B0"/>
    <w:rsid w:val="00915A9C"/>
    <w:rsid w:val="0091618D"/>
    <w:rsid w:val="009161D6"/>
    <w:rsid w:val="009168EB"/>
    <w:rsid w:val="00916BA2"/>
    <w:rsid w:val="0091754D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8442D"/>
    <w:rsid w:val="0098480F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388F"/>
    <w:rsid w:val="009A798F"/>
    <w:rsid w:val="009A7AB0"/>
    <w:rsid w:val="009B5DBA"/>
    <w:rsid w:val="009B64C5"/>
    <w:rsid w:val="009C0358"/>
    <w:rsid w:val="009C40E6"/>
    <w:rsid w:val="009C4387"/>
    <w:rsid w:val="009D33A0"/>
    <w:rsid w:val="009D561E"/>
    <w:rsid w:val="009D7BC2"/>
    <w:rsid w:val="009E0ED6"/>
    <w:rsid w:val="009E363B"/>
    <w:rsid w:val="009E4BCB"/>
    <w:rsid w:val="009E68C1"/>
    <w:rsid w:val="009F0FC8"/>
    <w:rsid w:val="009F21F0"/>
    <w:rsid w:val="009F2A53"/>
    <w:rsid w:val="009F4AE3"/>
    <w:rsid w:val="009F5C6B"/>
    <w:rsid w:val="009F6A1C"/>
    <w:rsid w:val="009F6B67"/>
    <w:rsid w:val="009F79A4"/>
    <w:rsid w:val="00A0368D"/>
    <w:rsid w:val="00A2561E"/>
    <w:rsid w:val="00A26D36"/>
    <w:rsid w:val="00A31BAC"/>
    <w:rsid w:val="00A32F57"/>
    <w:rsid w:val="00A35784"/>
    <w:rsid w:val="00A40B55"/>
    <w:rsid w:val="00A42B6D"/>
    <w:rsid w:val="00A42E37"/>
    <w:rsid w:val="00A45576"/>
    <w:rsid w:val="00A47932"/>
    <w:rsid w:val="00A568A1"/>
    <w:rsid w:val="00A57F79"/>
    <w:rsid w:val="00A604EE"/>
    <w:rsid w:val="00A62353"/>
    <w:rsid w:val="00A62983"/>
    <w:rsid w:val="00A62DD6"/>
    <w:rsid w:val="00A67C4D"/>
    <w:rsid w:val="00A867B7"/>
    <w:rsid w:val="00A934DC"/>
    <w:rsid w:val="00A953DB"/>
    <w:rsid w:val="00AA477E"/>
    <w:rsid w:val="00AA748B"/>
    <w:rsid w:val="00AB0015"/>
    <w:rsid w:val="00AB29F6"/>
    <w:rsid w:val="00AB5F93"/>
    <w:rsid w:val="00AD16D5"/>
    <w:rsid w:val="00AD1DEF"/>
    <w:rsid w:val="00AD452C"/>
    <w:rsid w:val="00AD4BFC"/>
    <w:rsid w:val="00AD7B52"/>
    <w:rsid w:val="00AE0D46"/>
    <w:rsid w:val="00AE0FC0"/>
    <w:rsid w:val="00AE4CD2"/>
    <w:rsid w:val="00AF09ED"/>
    <w:rsid w:val="00AF32F3"/>
    <w:rsid w:val="00AF6DA0"/>
    <w:rsid w:val="00AF6E83"/>
    <w:rsid w:val="00AF756E"/>
    <w:rsid w:val="00AF799B"/>
    <w:rsid w:val="00AF7FE4"/>
    <w:rsid w:val="00B0024C"/>
    <w:rsid w:val="00B01AF8"/>
    <w:rsid w:val="00B0793D"/>
    <w:rsid w:val="00B10EB8"/>
    <w:rsid w:val="00B1250E"/>
    <w:rsid w:val="00B15A1F"/>
    <w:rsid w:val="00B15EC6"/>
    <w:rsid w:val="00B16EC9"/>
    <w:rsid w:val="00B173C4"/>
    <w:rsid w:val="00B17E13"/>
    <w:rsid w:val="00B21686"/>
    <w:rsid w:val="00B241D6"/>
    <w:rsid w:val="00B262D1"/>
    <w:rsid w:val="00B3055B"/>
    <w:rsid w:val="00B328AF"/>
    <w:rsid w:val="00B3356E"/>
    <w:rsid w:val="00B340B0"/>
    <w:rsid w:val="00B376D2"/>
    <w:rsid w:val="00B477EB"/>
    <w:rsid w:val="00B47927"/>
    <w:rsid w:val="00B518CF"/>
    <w:rsid w:val="00B53EEB"/>
    <w:rsid w:val="00B61F3A"/>
    <w:rsid w:val="00B66BD4"/>
    <w:rsid w:val="00B66E01"/>
    <w:rsid w:val="00B67DD5"/>
    <w:rsid w:val="00B73B67"/>
    <w:rsid w:val="00B73FB2"/>
    <w:rsid w:val="00B75EAD"/>
    <w:rsid w:val="00B7608D"/>
    <w:rsid w:val="00B76184"/>
    <w:rsid w:val="00B76598"/>
    <w:rsid w:val="00B77470"/>
    <w:rsid w:val="00B859CA"/>
    <w:rsid w:val="00B859DB"/>
    <w:rsid w:val="00B945EF"/>
    <w:rsid w:val="00BA0F74"/>
    <w:rsid w:val="00BA329E"/>
    <w:rsid w:val="00BA4B90"/>
    <w:rsid w:val="00BA4C2B"/>
    <w:rsid w:val="00BA4FE0"/>
    <w:rsid w:val="00BA6887"/>
    <w:rsid w:val="00BA7E0B"/>
    <w:rsid w:val="00BB0D6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4BB9"/>
    <w:rsid w:val="00BF716F"/>
    <w:rsid w:val="00BF753A"/>
    <w:rsid w:val="00C0076A"/>
    <w:rsid w:val="00C035AE"/>
    <w:rsid w:val="00C0411E"/>
    <w:rsid w:val="00C06BAC"/>
    <w:rsid w:val="00C0760D"/>
    <w:rsid w:val="00C12F23"/>
    <w:rsid w:val="00C13AFF"/>
    <w:rsid w:val="00C14A8D"/>
    <w:rsid w:val="00C152E0"/>
    <w:rsid w:val="00C243F8"/>
    <w:rsid w:val="00C25340"/>
    <w:rsid w:val="00C32198"/>
    <w:rsid w:val="00C325E2"/>
    <w:rsid w:val="00C35370"/>
    <w:rsid w:val="00C45E70"/>
    <w:rsid w:val="00C470E9"/>
    <w:rsid w:val="00C525F3"/>
    <w:rsid w:val="00C540B8"/>
    <w:rsid w:val="00C61E02"/>
    <w:rsid w:val="00C6398C"/>
    <w:rsid w:val="00C66027"/>
    <w:rsid w:val="00C66483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90C14"/>
    <w:rsid w:val="00C94645"/>
    <w:rsid w:val="00C949AC"/>
    <w:rsid w:val="00CA318B"/>
    <w:rsid w:val="00CA3460"/>
    <w:rsid w:val="00CA4C5D"/>
    <w:rsid w:val="00CB21C0"/>
    <w:rsid w:val="00CB38DE"/>
    <w:rsid w:val="00CC1292"/>
    <w:rsid w:val="00CC6329"/>
    <w:rsid w:val="00CD08FA"/>
    <w:rsid w:val="00CD1C73"/>
    <w:rsid w:val="00CD2A5D"/>
    <w:rsid w:val="00CD466A"/>
    <w:rsid w:val="00CD5F51"/>
    <w:rsid w:val="00CD6350"/>
    <w:rsid w:val="00CE0BE8"/>
    <w:rsid w:val="00CE4765"/>
    <w:rsid w:val="00CE4834"/>
    <w:rsid w:val="00CE7E76"/>
    <w:rsid w:val="00CF275B"/>
    <w:rsid w:val="00CF4850"/>
    <w:rsid w:val="00CF4C52"/>
    <w:rsid w:val="00CF6A08"/>
    <w:rsid w:val="00D0074D"/>
    <w:rsid w:val="00D00A2F"/>
    <w:rsid w:val="00D00D00"/>
    <w:rsid w:val="00D027DC"/>
    <w:rsid w:val="00D0409E"/>
    <w:rsid w:val="00D052E5"/>
    <w:rsid w:val="00D059BF"/>
    <w:rsid w:val="00D05F0F"/>
    <w:rsid w:val="00D063C5"/>
    <w:rsid w:val="00D06776"/>
    <w:rsid w:val="00D106D0"/>
    <w:rsid w:val="00D1198C"/>
    <w:rsid w:val="00D24664"/>
    <w:rsid w:val="00D3061C"/>
    <w:rsid w:val="00D310A4"/>
    <w:rsid w:val="00D31A33"/>
    <w:rsid w:val="00D35735"/>
    <w:rsid w:val="00D35B4B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49C0"/>
    <w:rsid w:val="00D7626E"/>
    <w:rsid w:val="00D80B9C"/>
    <w:rsid w:val="00D83EC3"/>
    <w:rsid w:val="00D963CD"/>
    <w:rsid w:val="00DA216F"/>
    <w:rsid w:val="00DA312F"/>
    <w:rsid w:val="00DA6B21"/>
    <w:rsid w:val="00DA74F9"/>
    <w:rsid w:val="00DB261B"/>
    <w:rsid w:val="00DB42F0"/>
    <w:rsid w:val="00DB4A14"/>
    <w:rsid w:val="00DB655D"/>
    <w:rsid w:val="00DD1CDA"/>
    <w:rsid w:val="00DD3628"/>
    <w:rsid w:val="00DD4EB3"/>
    <w:rsid w:val="00DD537C"/>
    <w:rsid w:val="00DE1639"/>
    <w:rsid w:val="00DE720A"/>
    <w:rsid w:val="00DF1BF1"/>
    <w:rsid w:val="00DF45EE"/>
    <w:rsid w:val="00E054BA"/>
    <w:rsid w:val="00E078F5"/>
    <w:rsid w:val="00E1063E"/>
    <w:rsid w:val="00E1454C"/>
    <w:rsid w:val="00E1641F"/>
    <w:rsid w:val="00E17C5A"/>
    <w:rsid w:val="00E17D81"/>
    <w:rsid w:val="00E23287"/>
    <w:rsid w:val="00E247B9"/>
    <w:rsid w:val="00E25C1E"/>
    <w:rsid w:val="00E30A1A"/>
    <w:rsid w:val="00E45F65"/>
    <w:rsid w:val="00E46A3E"/>
    <w:rsid w:val="00E50E74"/>
    <w:rsid w:val="00E51823"/>
    <w:rsid w:val="00E56D9B"/>
    <w:rsid w:val="00E57DC0"/>
    <w:rsid w:val="00E60D50"/>
    <w:rsid w:val="00E65319"/>
    <w:rsid w:val="00E654E3"/>
    <w:rsid w:val="00E7441E"/>
    <w:rsid w:val="00E75684"/>
    <w:rsid w:val="00E769ED"/>
    <w:rsid w:val="00E81D74"/>
    <w:rsid w:val="00E83039"/>
    <w:rsid w:val="00E87EC3"/>
    <w:rsid w:val="00E91836"/>
    <w:rsid w:val="00E9373B"/>
    <w:rsid w:val="00E93D14"/>
    <w:rsid w:val="00EA3288"/>
    <w:rsid w:val="00EA5094"/>
    <w:rsid w:val="00EA5F05"/>
    <w:rsid w:val="00EB2564"/>
    <w:rsid w:val="00EB2B58"/>
    <w:rsid w:val="00EC05FC"/>
    <w:rsid w:val="00EC642E"/>
    <w:rsid w:val="00EC69F6"/>
    <w:rsid w:val="00ED0956"/>
    <w:rsid w:val="00ED1B83"/>
    <w:rsid w:val="00ED2E68"/>
    <w:rsid w:val="00ED5508"/>
    <w:rsid w:val="00ED5566"/>
    <w:rsid w:val="00ED57DE"/>
    <w:rsid w:val="00ED6871"/>
    <w:rsid w:val="00EE14B3"/>
    <w:rsid w:val="00EE380D"/>
    <w:rsid w:val="00EE444D"/>
    <w:rsid w:val="00EE6932"/>
    <w:rsid w:val="00EE70FA"/>
    <w:rsid w:val="00EF25C6"/>
    <w:rsid w:val="00F0343C"/>
    <w:rsid w:val="00F04EF5"/>
    <w:rsid w:val="00F063E7"/>
    <w:rsid w:val="00F10A86"/>
    <w:rsid w:val="00F12115"/>
    <w:rsid w:val="00F1351F"/>
    <w:rsid w:val="00F15E23"/>
    <w:rsid w:val="00F16680"/>
    <w:rsid w:val="00F17680"/>
    <w:rsid w:val="00F23144"/>
    <w:rsid w:val="00F315FF"/>
    <w:rsid w:val="00F325A8"/>
    <w:rsid w:val="00F32C36"/>
    <w:rsid w:val="00F3531D"/>
    <w:rsid w:val="00F40F7B"/>
    <w:rsid w:val="00F43774"/>
    <w:rsid w:val="00F45E59"/>
    <w:rsid w:val="00F47A89"/>
    <w:rsid w:val="00F47E48"/>
    <w:rsid w:val="00F54060"/>
    <w:rsid w:val="00F649C5"/>
    <w:rsid w:val="00F65870"/>
    <w:rsid w:val="00F65A36"/>
    <w:rsid w:val="00F65E99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5587"/>
    <w:rsid w:val="00FA6B17"/>
    <w:rsid w:val="00FB0199"/>
    <w:rsid w:val="00FB1BF5"/>
    <w:rsid w:val="00FB1D1B"/>
    <w:rsid w:val="00FB3F58"/>
    <w:rsid w:val="00FC0CC1"/>
    <w:rsid w:val="00FC3A95"/>
    <w:rsid w:val="00FC74E9"/>
    <w:rsid w:val="00FD2DC0"/>
    <w:rsid w:val="00FD42A1"/>
    <w:rsid w:val="00FD474A"/>
    <w:rsid w:val="00FD5254"/>
    <w:rsid w:val="00FD62F5"/>
    <w:rsid w:val="00FD6A03"/>
    <w:rsid w:val="00FE10A7"/>
    <w:rsid w:val="00FE2B3F"/>
    <w:rsid w:val="00FE3370"/>
    <w:rsid w:val="00FE62B7"/>
    <w:rsid w:val="00FE6C26"/>
    <w:rsid w:val="00FF053C"/>
    <w:rsid w:val="00FF3885"/>
    <w:rsid w:val="00FF556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8C4AC8E0-80D4-4451-B9A1-3D6C3B9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AAD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D063C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funduszeue.slaskie.pl/czytaj/infor_podo_dla_reprez_wniosk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45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CEBAB-6E02-4E80-8796-0300B76A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29</Pages>
  <Words>9519</Words>
  <Characters>57119</Characters>
  <Application>Microsoft Office Word</Application>
  <DocSecurity>0</DocSecurity>
  <Lines>475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93</cp:revision>
  <cp:lastPrinted>2024-07-09T08:28:00Z</cp:lastPrinted>
  <dcterms:created xsi:type="dcterms:W3CDTF">2021-02-03T06:43:00Z</dcterms:created>
  <dcterms:modified xsi:type="dcterms:W3CDTF">2024-08-27T10:00:00Z</dcterms:modified>
</cp:coreProperties>
</file>